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kronolojik eğitim/test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 Detector robustness deneyi — rv_baseline (%60.7), rv_dwell (%60.4) ve HMM (%81.8) dedektörleri ile 20 tohumda yinelenen analiz — null sonucun dedektör seçiminden bağımsız olduğunu doğrulamıştır (tüm dedektörler için Sharpe bazlı p &gt; 0.08).</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Chronological Train/Test Split (Kronolojik Eğitim/Test Bölünmesi)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verisinin kronolojik sıraya göre eğitim ve test kümelerine bölünmesi yöntemi. Bu çalışmada her seed için ilk %70 adım eğitim, son %30 adım test olarak kullanılmıştır. Look-ahead bias’ı önlemek için test verisi hiçbir zaman eğitimde kullanılmamıştır.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kronolojik eğitim/test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pPr>
        <w:spacing w:before="0" w:after="1200"/>
        <w:jc w:val="both"/>
      </w:pPr>
      <w:r>
        <w:rPr>
          <w:rFonts w:ascii="Times New Roman" w:cs="Times New Roman" w:eastAsia="Times New Roman" w:hAnsi="Times New Roman"/>
          <w:sz w:val="22"/>
          <w:szCs w:val="22"/>
        </w:rPr>
        <w:t xml:space="preserve">(4) Detector robustness analizi gerçekleştirilmiş; rv_baseline, rv_dwell ve HMM dedektörleri ile 20 tohumda yinelenen deney, null sonucun dedektör seçiminden bağımsız olduğunu doğrulamıştır.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spacing w:before="0" w:after="80"/>
        <w:jc w:val="both"/>
      </w:pPr>
      <w:r>
        <w:rPr>
          <w:rFonts w:ascii="Times New Roman" w:cs="Times New Roman" w:eastAsia="Times New Roman" w:hAnsi="Times New Roman"/>
          <w:sz w:val="24"/>
          <w:szCs w:val="24"/>
        </w:rPr>
        <w:t xml:space="preserve">Detector robustness analizi kapsamında iki ek tespit yöntemi karşılaştırılmıştır: (i) dwell filtreli RV (rv_dwell): kısa süreli (&lt;5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kronolojik eğitim/test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 Mutlak equity açısından AS (5.05) ve naif (4.49) stratejilerin PPO varyantlarından (4.10–4.42) yüksek görünmesi, bu stratejilerin geniş spreadlerden yüksek brüt gelir elde etmesinden kaynaklanmaktadır; ancak söz konusu gelir yüksek envanter riski pahasına elde edilmektedir. PPO’nun üstünlüğü mutlak getiri değil, risk-düzeltmeli performans (Sharpe) ve tutarlılık (düşük equity std) boyutlarında ortaya çıkmaktadır.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düşüktür. Bu durum, PPO’nun yalnızca daha yüksek Sharpe oranı değil, aynı zamanda daha tutarlı ve güvenilir bir performans profili sunduğuna işaret etmektedir.</w:t>
      </w:r>
    </w:p>
    <w:p>
      <w:pPr>
        <w:jc w:val="center"/>
      </w:pPr>
      <w:r>
        <w:drawing>
          <wp:inline xmlns:a="http://schemas.openxmlformats.org/drawingml/2006/main" xmlns:pic="http://schemas.openxmlformats.org/drawingml/2006/picture">
            <wp:extent cx="5486400" cy="2305771"/>
            <wp:docPr id="5" name="Picture 5"/>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486400" cy="2305771"/>
                    </a:xfrm>
                    <a:prstGeom prst="rect"/>
                  </pic:spPr>
                </pic:pic>
              </a:graphicData>
            </a:graphic>
          </wp:inline>
        </w:drawing>
      </w:r>
    </w:p>
    <w:p>
      <w:pPr>
        <w:jc w:val="center"/>
      </w:pPr>
      <w:r>
        <w:rPr>
          <w:rFonts w:ascii="Times New Roman" w:hAnsi="Times New Roman" w:cs="Times New Roman" w:eastAsia="Times New Roman"/>
          <w:i/>
          <w:sz w:val="20"/>
        </w:rPr>
        <w:t>Şekil 1. Out-of-sample performans özeti (20 tohum, ortalama ± std). Sol: Sharpe oranı. Sağ: envanter riski (inv_p99). Lower inv_p99 is better.</w:t>
      </w:r>
    </w:p>
    <w:p>
      <w:pPr>
        <w:jc w:val="both"/>
        <w:spacing w:before="60" w:after="80"/>
      </w:pPr>
      <w:r>
        <w:rPr>
          <w:rFonts w:ascii="Times New Roman" w:hAnsi="Times New Roman" w:cs="Times New Roman" w:eastAsia="Times New Roman"/>
          <w:sz w:val="22"/>
        </w:rPr>
        <w:t>Şekil 1, PPO’nun üstünlüğünün kaynağını görsel olarak ortaya koymaktadır. Sol panelde her iki PPO varyantının Sharpe oranı AS ve Naive stratejileri belirgin biçimde aşmaktadır. Sağ panelde bu performansın temel mekanizması görülmektedir: PPO ajanları inv_p99 ≈ 2 lot düzeyinde çalışırken klasik stratejiler 20–30 lot envanter taşımaktadır.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Detector robustness deneyi bu hipotezi geçersiz kılmaktadır: %81.8 doğruluklu HMM dedektörü ile dahi null sonuç korunmaktadır (p=0.082). Dolayısıyla tespit kalitesi belirleyici değildir; açıklayıcı güç (a) hipotezinde yoğunlaşmaktadır.</w:t>
      </w:r>
    </w:p>
    <w:p>
      <w:pPr>
        <w:jc w:val="center"/>
      </w:pPr>
      <w:r>
        <w:drawing>
          <wp:inline xmlns:a="http://schemas.openxmlformats.org/drawingml/2006/main" xmlns:pic="http://schemas.openxmlformats.org/drawingml/2006/picture">
            <wp:extent cx="5486400" cy="2206735"/>
            <wp:docPr id="4" name="Picture 4"/>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486400" cy="2206735"/>
                    </a:xfrm>
                    <a:prstGeom prst="rect"/>
                  </pic:spPr>
                </pic:pic>
              </a:graphicData>
            </a:graphic>
          </wp:inline>
        </w:drawing>
      </w:r>
    </w:p>
    <w:p>
      <w:pPr>
        <w:jc w:val="center"/>
      </w:pPr>
      <w:r>
        <w:rPr>
          <w:rFonts w:ascii="Times New Roman" w:hAnsi="Times New Roman" w:cs="Times New Roman" w:eastAsia="Times New Roman"/>
          <w:i/>
          <w:sz w:val="20"/>
        </w:rPr>
        <w:t>Şekil 2. Seed bazında PPO-aware ve PPO-blind karşılaştırması (her nokta bir seed, n=20). Kesikli çizgi y=x referansıdır. Sol: Sharpe (Wilcoxon p=0.261). Sağ: Final equity (paired t-test p=0.023).</w:t>
      </w:r>
    </w:p>
    <w:p>
      <w:pPr>
        <w:jc w:val="both"/>
        <w:spacing w:before="60" w:after="80"/>
      </w:pPr>
      <w:r>
        <w:rPr>
          <w:rFonts w:ascii="Times New Roman" w:hAnsi="Times New Roman" w:cs="Times New Roman" w:eastAsia="Times New Roman"/>
          <w:sz w:val="22"/>
        </w:rPr>
        <w:t>Şekil 2, null sonucu seed düzeyinde görselleştirmektedir. Sol panelde noktaların y=x çizgisi etrafında simetrik dağılımı — PPO-aware’in 11/20 seed’de üstün olmasına karşın — Sharpe bazında istatistiksel anlamlılık eşiğine ulaşılmadığını göstermektedir (p=0.261). Sağ panelde ise noktaların çoğunluğunun y=x çizgisinin altında kalması, equity metriğinde PPO-blind’ın sistematik avantajına işaret etmektedir (p=0.023).</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9"/>
                    <a:stretch>
                      <a:fillRect/>
                    </a:stretch>
                  </pic:blipFill>
                  <pic:spPr>
                    <a:xfrm>
                      <a:off x="0" y="0"/>
                      <a:ext cx="5486400" cy="3291840"/>
                    </a:xfrm>
                    <a:prstGeom prst="rect"/>
                  </pic:spPr>
                </pic:pic>
              </a:graphicData>
            </a:graphic>
          </wp:inline>
        </w:drawing>
      </w:r>
    </w:p>
    <w:p>
      <w:pPr>
        <w:jc w:val="center"/>
      </w:pPr>
      <w:r>
        <w:rPr>
          <w:rFonts w:ascii="Times New Roman" w:hAnsi="Times New Roman" w:cs="Times New Roman" w:eastAsia="Times New Roman"/>
          <w:i/>
          <w:sz w:val="20"/>
        </w:rPr>
        <w:t>Şekil 3. Rejim bazında eylem dağılımı (20 tohum, ortalama ± std). Üst: half-spread h. Alt: skew m. Sol sütun: PPO-aware. Sağ sütun: PPO-blind.</w:t>
      </w:r>
    </w:p>
    <w:p>
      <w:pPr>
        <w:jc w:val="both"/>
        <w:spacing w:before="60" w:after="80"/>
      </w:pPr>
      <w:r>
        <w:rPr>
          <w:rFonts w:ascii="Times New Roman" w:hAnsi="Times New Roman" w:cs="Times New Roman" w:eastAsia="Times New Roman"/>
          <w:sz w:val="22"/>
        </w:rPr>
        <w:t>Şekil 3, her iki ajanın rejimler arasında sınırlı davranışsal farklılaşma sergilediğini göstermektedir. Half-spread h değerleri L’den H’ye hafif artış göstermekte; ancak yüksek varyans nedeniyle bu artış istatistiksel olarak güçlü değildir. Skew m değerleri her iki ajanda da m ≈ 0 civarında kalmaktadır. PPO-aware ile PPO-blind arasında anlamlı politika ayrışması gözlemlenmemekte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jc w:val="center"/>
      </w:pPr>
      <w:r>
        <w:drawing>
          <wp:inline xmlns:a="http://schemas.openxmlformats.org/drawingml/2006/main" xmlns:pic="http://schemas.openxmlformats.org/drawingml/2006/picture">
            <wp:extent cx="5486400" cy="2302063"/>
            <wp:docPr id="2" name="Picture 2"/>
            <wp:cNvGraphicFramePr>
              <a:graphicFrameLocks noChangeAspect="1"/>
            </wp:cNvGraphicFramePr>
            <a:graphic>
              <a:graphicData uri="http://schemas.openxmlformats.org/drawingml/2006/picture">
                <pic:pic>
                  <pic:nvPicPr>
                    <pic:cNvPr id="0" name="fig3_regime_sharpe.png"/>
                    <pic:cNvPicPr/>
                  </pic:nvPicPr>
                  <pic:blipFill>
                    <a:blip r:embed="rId8"/>
                    <a:stretch>
                      <a:fillRect/>
                    </a:stretch>
                  </pic:blipFill>
                  <pic:spPr>
                    <a:xfrm>
                      <a:off x="0" y="0"/>
                      <a:ext cx="5486400" cy="2302063"/>
                    </a:xfrm>
                    <a:prstGeom prst="rect"/>
                  </pic:spPr>
                </pic:pic>
              </a:graphicData>
            </a:graphic>
          </wp:inline>
        </w:drawing>
      </w:r>
    </w:p>
    <w:p>
      <w:pPr>
        <w:jc w:val="center"/>
      </w:pPr>
      <w:r>
        <w:rPr>
          <w:rFonts w:ascii="Times New Roman" w:hAnsi="Times New Roman" w:cs="Times New Roman" w:eastAsia="Times New Roman"/>
          <w:i/>
          <w:sz w:val="20"/>
        </w:rPr>
        <w:t>Şekil 4. Volatilite rejimine göre Sharpe oranı (20 tohum, ortalama ± std). Regime-wise metrics are grouped by the true synthetic regime (ex-post attribution).</w:t>
      </w:r>
    </w:p>
    <w:p>
      <w:pPr>
        <w:jc w:val="both"/>
        <w:spacing w:before="60" w:after="80"/>
      </w:pPr>
      <w:r>
        <w:rPr>
          <w:rFonts w:ascii="Times New Roman" w:hAnsi="Times New Roman" w:cs="Times New Roman" w:eastAsia="Times New Roman"/>
          <w:sz w:val="22"/>
        </w:rPr>
        <w:t>Şekil 4, PPO’nun üstünlüğünün tüm volatilite rejimlerinde geçerli olduğunu göstermektedir. Yüksek volatilite (H) rejiminde tüm stratejilerin Sharpe değerleri düşmekte; ancak PPO varyantları bu rejimde dahi klasik stratejileri belirgin biçimde geride bırakmaktadır. PPO-aware ve PPO-blind her rejimde birbirine yakın performans sergilemekte olup bu durum Tablo 3 ile tutarlıdır.</w:t>
      </w:r>
    </w:p>
    <w:p>
      <w:pPr>
        <w:pStyle w:val="Heading2"/>
        <w:spacing w:before="200" w:after="100"/>
      </w:pPr>
      <w:r>
        <w:rPr>
          <w:rFonts w:ascii="Times New Roman" w:cs="Times New Roman" w:eastAsia="Times New Roman" w:hAnsi="Times New Roman"/>
          <w:b/>
          <w:bCs/>
          <w:sz w:val="24"/>
          <w:szCs w:val="24"/>
        </w:rPr>
        <w:t xml:space="preserve">4.4 Detector Robustness Analizi</w:t>
      </w:r>
    </w:p>
    <w:p>
      <w:pPr>
        <w:spacing w:before="0" w:after="80"/>
        <w:jc w:val="both"/>
      </w:pPr>
      <w:r>
        <w:rPr>
          <w:rFonts w:ascii="Times New Roman" w:cs="Times New Roman" w:eastAsia="Times New Roman" w:hAnsi="Times New Roman"/>
          <w:sz w:val="24"/>
          <w:szCs w:val="24"/>
        </w:rPr>
        <w:t xml:space="preserve">Null sonucun rejim tespit kalitesine duyarlılığını değerlendirmek amacıyla üç farklı dedektör ile 20 tohumda yeniden analiz gerçekleştirilmiştir.</w:t>
      </w:r>
    </w:p>
    <w:p>
      <w:pPr>
        <w:spacing w:before="0" w:after="80"/>
        <w:jc w:val="both"/>
      </w:pPr>
      <w:r>
        <w:rPr>
          <w:rFonts w:ascii="Times New Roman" w:cs="Times New Roman" w:eastAsia="Times New Roman" w:hAnsi="Times New Roman"/>
          <w:sz w:val="24"/>
          <w:szCs w:val="24"/>
        </w:rPr>
        <w:t xml:space="preserve">Tablo 4: Detector Robustness — Ortalama Sharpe (20 Tohum)</w:t>
      </w:r>
    </w:p>
    <w:tbl>
      <w:tblPr>
        <w:tblW w:type="pct" w:w="5000"/>
        <w:tblBorders>
          <w:top w:val="single" w:color="000000" w:sz="4" w:space="0"/>
          <w:bottom w:val="single" w:color="000000" w:sz="4" w:space="0"/>
          <w:insideH w:val="single" w:color="000000" w:sz="4" w:space="0"/>
        </w:tblBorders>
      </w:tblPr>
      <w:tr>
        <w:tc>
          <w:tcPr>
            <w:tcW w:type="dxa" w:w="2400"/>
          </w:tcPr>
          <w:p>
            <w:r>
              <w:rPr>
                <w:rFonts w:ascii="Times New Roman" w:cs="Times New Roman" w:eastAsia="Times New Roman" w:hAnsi="Times New Roman"/>
                <w:b/>
                <w:bCs/>
                <w:sz w:val="24"/>
                <w:szCs w:val="24"/>
              </w:rPr>
              <w:t>Dedektör</w:t>
            </w:r>
          </w:p>
        </w:tc>
        <w:tc>
          <w:tcPr>
            <w:tcW w:type="dxa" w:w="1800"/>
          </w:tcPr>
          <w:p>
            <w:r>
              <w:rPr>
                <w:rFonts w:ascii="Times New Roman" w:cs="Times New Roman" w:eastAsia="Times New Roman" w:hAnsi="Times New Roman"/>
                <w:b/>
                <w:bCs/>
                <w:sz w:val="24"/>
                <w:szCs w:val="24"/>
              </w:rPr>
              <w:t>Doğruluk</w:t>
            </w:r>
          </w:p>
        </w:tc>
        <w:tc>
          <w:tcPr>
            <w:tcW w:type="dxa" w:w="1800"/>
          </w:tcPr>
          <w:p>
            <w:r>
              <w:rPr>
                <w:rFonts w:ascii="Times New Roman" w:cs="Times New Roman" w:eastAsia="Times New Roman" w:hAnsi="Times New Roman"/>
                <w:b/>
                <w:bCs/>
                <w:sz w:val="24"/>
                <w:szCs w:val="24"/>
              </w:rPr>
              <w:t>ppo_aware</w:t>
            </w:r>
          </w:p>
        </w:tc>
        <w:tc>
          <w:tcPr>
            <w:tcW w:type="dxa" w:w="1800"/>
          </w:tcPr>
          <w:p>
            <w:r>
              <w:rPr>
                <w:rFonts w:ascii="Times New Roman" w:cs="Times New Roman" w:eastAsia="Times New Roman" w:hAnsi="Times New Roman"/>
                <w:b/>
                <w:bCs/>
                <w:sz w:val="24"/>
                <w:szCs w:val="24"/>
              </w:rPr>
              <w:t>ppo_blind</w:t>
            </w:r>
          </w:p>
        </w:tc>
      </w:tr>
      <w:tr>
        <w:tc>
          <w:tcPr>
            <w:tcW w:type="dxa" w:w="2400"/>
          </w:tcPr>
          <w:p>
            <w:r>
              <w:rPr>
                <w:rFonts w:ascii="Times New Roman" w:cs="Times New Roman" w:eastAsia="Times New Roman" w:hAnsi="Times New Roman"/>
                <w:sz w:val="24"/>
                <w:szCs w:val="24"/>
              </w:rPr>
              <w:t>rv_baseline</w:t>
            </w:r>
          </w:p>
        </w:tc>
        <w:tc>
          <w:tcPr>
            <w:tcW w:type="dxa" w:w="1800"/>
          </w:tcPr>
          <w:p>
            <w:r>
              <w:rPr>
                <w:rFonts w:ascii="Times New Roman" w:cs="Times New Roman" w:eastAsia="Times New Roman" w:hAnsi="Times New Roman"/>
                <w:sz w:val="24"/>
                <w:szCs w:val="24"/>
              </w:rPr>
              <w:t>%60.7</w:t>
            </w:r>
          </w:p>
        </w:tc>
        <w:tc>
          <w:tcPr>
            <w:tcW w:type="dxa" w:w="1800"/>
          </w:tcPr>
          <w:p>
            <w:r>
              <w:rPr>
                <w:rFonts w:ascii="Times New Roman" w:cs="Times New Roman" w:eastAsia="Times New Roman" w:hAnsi="Times New Roman"/>
                <w:sz w:val="24"/>
                <w:szCs w:val="24"/>
              </w:rPr>
              <w:t>0.718</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rv_dwell</w:t>
            </w:r>
          </w:p>
        </w:tc>
        <w:tc>
          <w:tcPr>
            <w:tcW w:type="dxa" w:w="1800"/>
          </w:tcPr>
          <w:p>
            <w:r>
              <w:rPr>
                <w:rFonts w:ascii="Times New Roman" w:cs="Times New Roman" w:eastAsia="Times New Roman" w:hAnsi="Times New Roman"/>
                <w:sz w:val="24"/>
                <w:szCs w:val="24"/>
              </w:rPr>
              <w:t>%60.4</w:t>
            </w:r>
          </w:p>
        </w:tc>
        <w:tc>
          <w:tcPr>
            <w:tcW w:type="dxa" w:w="1800"/>
          </w:tcPr>
          <w:p>
            <w:r>
              <w:rPr>
                <w:rFonts w:ascii="Times New Roman" w:cs="Times New Roman" w:eastAsia="Times New Roman" w:hAnsi="Times New Roman"/>
                <w:sz w:val="24"/>
                <w:szCs w:val="24"/>
              </w:rPr>
              <w:t>0.716</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HMM</w:t>
            </w:r>
          </w:p>
        </w:tc>
        <w:tc>
          <w:tcPr>
            <w:tcW w:type="dxa" w:w="1800"/>
          </w:tcPr>
          <w:p>
            <w:r>
              <w:rPr>
                <w:rFonts w:ascii="Times New Roman" w:cs="Times New Roman" w:eastAsia="Times New Roman" w:hAnsi="Times New Roman"/>
                <w:sz w:val="24"/>
                <w:szCs w:val="24"/>
              </w:rPr>
              <w:t>%81.8</w:t>
            </w:r>
          </w:p>
        </w:tc>
        <w:tc>
          <w:tcPr>
            <w:tcW w:type="dxa" w:w="1800"/>
          </w:tcPr>
          <w:p>
            <w:r>
              <w:rPr>
                <w:rFonts w:ascii="Times New Roman" w:cs="Times New Roman" w:eastAsia="Times New Roman" w:hAnsi="Times New Roman"/>
                <w:sz w:val="24"/>
                <w:szCs w:val="24"/>
              </w:rPr>
              <w:t>0.719</w:t>
            </w:r>
          </w:p>
        </w:tc>
        <w:tc>
          <w:tcPr>
            <w:tcW w:type="dxa" w:w="1800"/>
          </w:tcPr>
          <w:p>
            <w:r>
              <w:rPr>
                <w:rFonts w:ascii="Times New Roman" w:cs="Times New Roman" w:eastAsia="Times New Roman" w:hAnsi="Times New Roman"/>
                <w:sz w:val="24"/>
                <w:szCs w:val="24"/>
              </w:rPr>
              <w:t>0.753</w:t>
            </w:r>
          </w:p>
        </w:tc>
      </w:tr>
    </w:tbl>
    <w:p>
      <w:pPr>
        <w:jc w:val="center"/>
      </w:pPr>
      <w:r>
        <w:drawing>
          <wp:inline xmlns:a="http://schemas.openxmlformats.org/drawingml/2006/main" xmlns:pic="http://schemas.openxmlformats.org/drawingml/2006/picture">
            <wp:extent cx="5029200" cy="3426675"/>
            <wp:docPr id="1" name="Picture 1"/>
            <wp:cNvGraphicFramePr>
              <a:graphicFrameLocks noChangeAspect="1"/>
            </wp:cNvGraphicFramePr>
            <a:graphic>
              <a:graphicData uri="http://schemas.openxmlformats.org/drawingml/2006/picture">
                <pic:pic>
                  <pic:nvPicPr>
                    <pic:cNvPr id="0" name="fig4_detector_robustness.png"/>
                    <pic:cNvPicPr/>
                  </pic:nvPicPr>
                  <pic:blipFill>
                    <a:blip r:embed="rId7"/>
                    <a:stretch>
                      <a:fillRect/>
                    </a:stretch>
                  </pic:blipFill>
                  <pic:spPr>
                    <a:xfrm>
                      <a:off x="0" y="0"/>
                      <a:ext cx="5029200" cy="3426675"/>
                    </a:xfrm>
                    <a:prstGeom prst="rect"/>
                  </pic:spPr>
                </pic:pic>
              </a:graphicData>
            </a:graphic>
          </wp:inline>
        </w:drawing>
      </w:r>
    </w:p>
    <w:p>
      <w:pPr>
        <w:jc w:val="center"/>
      </w:pPr>
      <w:r>
        <w:rPr>
          <w:rFonts w:ascii="Times New Roman" w:hAnsi="Times New Roman" w:cs="Times New Roman" w:eastAsia="Times New Roman"/>
          <w:i/>
          <w:sz w:val="20"/>
        </w:rPr>
        <w:t>Şekil 5. Dedektör bazında ortalama Sharpe (20 tohum). Daire: PPO-aware, kare: PPO-blind. Y-axis is zoomed (0.60–0.80) to highlight detector-level differences. Alt satır: paired t-test p-değerleri.</w:t>
      </w:r>
    </w:p>
    <w:p>
      <w:pPr>
        <w:jc w:val="both"/>
        <w:spacing w:before="60" w:after="80"/>
      </w:pPr>
      <w:r>
        <w:rPr>
          <w:rFonts w:ascii="Times New Roman" w:hAnsi="Times New Roman" w:cs="Times New Roman" w:eastAsia="Times New Roman"/>
          <w:sz w:val="22"/>
        </w:rPr>
        <w:t>Şekil 5, null sonucun tespit kalitesine duyarsızlığını çarpıcı biçimde ortaya koymaktadır. PPO-blind Sharpe değeri tüm dedektörlerde 0.753 olarak sabit kalmakta; PPO-aware ise dedektör seçiminden bağımsız olarak ~0.717–0.719 düzeyinde seyretmektedir. Farkın istatistiksel olarak anlamlı olmadığı (tüm p &gt; 0.08) ve dedektör kalitesinin belirleyici bir faktör olmadığı (ANOVA: F=0.003, p=0.997) görülmektedir.</w:t>
      </w:r>
    </w:p>
    <w:p>
      <w:pPr>
        <w:spacing w:before="0" w:after="80"/>
        <w:jc w:val="both"/>
      </w:pPr>
      <w:r>
        <w:rPr>
          <w:rFonts w:ascii="Times New Roman" w:cs="Times New Roman" w:eastAsia="Times New Roman" w:hAnsi="Times New Roman"/>
          <w:sz w:val="24"/>
          <w:szCs w:val="24"/>
        </w:rPr>
        <w:t xml:space="preserve">Bulgular üç temel gözlemi ortaya koymaktadır. Birincisi, ppo_blind tüm dedektörlerde identik performans sergilemiştir (Sharpe = 0.753); bu beklenen bir sonuçtur, zira blind ajan rejim etiketlerini gözlem uzayına almamaktadır. İkincisi, ppo_aware tüm dedektörlerde ppo_blind’ın hafifçe altında kalmıştır; %81.8 doğruluklu HMM ile dahi bu örüntü değişmemiştir. Üçüncüsü, paired t-test sonuçları Sharpe metriğinde hiçbir dedektör için istatistiksel anlamlılık eşiğine ulaşmamıştır (rv_baseline: p=0.114, rv_dwell: p=0.110, HMM: p=0.082). Equity metriğinde ise tüm dedektörlerde ppo_blind lehine anlamlı fark gözlemlenmiştir (p &lt; 0.05). One-way ANOVA analizi, ppo_aware performansının dedektör seçimine göre anlamlı biçimde değişmediğini doğrulamaktadır (F=0.003, p=0.997).</w:t>
      </w:r>
    </w:p>
    <w:p>
      <w:pPr>
        <w:spacing w:before="0" w:after="80"/>
        <w:jc w:val="both"/>
      </w:pPr>
      <w:r>
        <w:rPr>
          <w:rFonts w:ascii="Times New Roman" w:cs="Times New Roman" w:eastAsia="Times New Roman" w:hAnsi="Times New Roman"/>
          <w:sz w:val="24"/>
          <w:szCs w:val="24"/>
        </w:rPr>
        <w:t xml:space="preserve">Bu bulgular, null sonucun zayıf tespit kalitesinden kaynaklanmadığını güçlü biçimde desteklemektedir. Gözlem uzayında hâlihazırda mevcut olan sigma_hat değişkeni, açık rejim etiketinin sağladığı bilgiyi örtük olarak içermektedir.</w:t>
      </w:r>
    </w:p>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 Detector robustness deneyi bu yorumu desteklemektedir: rv_baseline (%60.7), rv_dwell (%60.4) ve HMM (%81.8) dedektörleri ile yinelenen analizde null sonuç tutarlı biçimde korunmuş; ANOVA testi dedektör seçiminin ppo_aware performansını anlamlı ölçüde etkilemediğini doğrulamıştır (F=0.003, p=0.997).</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