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AI/ML ENGINEER – CANDIDATE A2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AI/ML Engineer with 10+ years of experience applying machine learning in fintech and trading systems. Expert in fraud detection, time-series forecasting, and scalable ML infrastructures.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Lead ML Engineer, FinBank AG; Frankfurt, Germany — 2021–Present</w:t>
      </w:r>
    </w:p>
    <w:p w14:paraId="508442A9" w14:textId="77777777" w:rsidR="00073C93" w:rsidRDefault="00000000">
      <w:pPr>
        <w:pStyle w:val="Body"/>
      </w:pPr>
      <w:r>
        <w:t>Developed real-time fraud detection models; reduced false positives by 30%. Led ML model deployment using GCP Vertex AI and Terraform.</w:t>
      </w:r>
    </w:p>
    <w:p w14:paraId="7CFE39F6" w14:textId="77777777" w:rsidR="00073C93" w:rsidRDefault="00000000">
      <w:pPr>
        <w:pStyle w:val="Subheading"/>
      </w:pPr>
      <w:r>
        <w:t>ML Engineer, QuantEdge GmbH; Stuttgart, Germany — 2018–2021</w:t>
      </w:r>
    </w:p>
    <w:p w14:paraId="40029A23" w14:textId="77777777" w:rsidR="00073C93" w:rsidRDefault="00000000">
      <w:pPr>
        <w:pStyle w:val="Body"/>
      </w:pPr>
      <w:r>
        <w:t>Built market anomaly prediction models using XGBoost and LSTMs; increased trading strategy returns by 8%.</w:t>
      </w:r>
    </w:p>
    <w:p w14:paraId="3EE00FA6" w14:textId="77777777" w:rsidR="00073C93" w:rsidRDefault="00000000">
      <w:pPr>
        <w:pStyle w:val="Subheading"/>
      </w:pPr>
      <w:r>
        <w:t>Senior Data Scientist, FinMetric Inc.; Berlin, Germany — 2015–2018</w:t>
      </w:r>
    </w:p>
    <w:p w14:paraId="34C53277" w14:textId="77777777" w:rsidR="00073C93" w:rsidRDefault="00000000">
      <w:pPr>
        <w:pStyle w:val="Body"/>
      </w:pPr>
      <w:r>
        <w:t>Deployed scalable pipeline with Apache Beam and BigQuery. Led a team of 3 data scientists.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RWTH Aachen — M.Sc. Computer Science, 2014</w:t>
        <w:br/>
        <w:t>Istanbul Technical University — B.Sc. Statistics, 2011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Python, XGBoost, LightGBM, TensorFlow, GCP, Vertex AI, Apache Beam, BigQuery, Terraform, SQL, CI/CD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GCP Professional ML Engineer | TensorFlow Developer | FinData Hackathon 1st Place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