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SİVAS BELEDİYESİ</w:t>
      </w:r>
    </w:p>
    <w:p>
      <w:pPr>
        <w:spacing w:after="240"/>
        <w:jc w:val="center"/>
      </w:pPr>
      <w:r>
        <w:rPr>
          <w:sz w:val="22"/>
          <w:szCs w:val="22"/>
        </w:rPr>
        <w:t xml:space="preserve">Dijital Arşiv Projesi</w:t>
      </w:r>
    </w:p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KARAR DOSYASI</w:t>
      </w:r>
    </w:p>
    <w:p>
      <w:pPr>
        <w:spacing w:after="60"/>
        <w:jc w:val="center"/>
      </w:pPr>
      <w:r>
        <w:rPr>
          <w:sz w:val="26"/>
          <w:szCs w:val="26"/>
        </w:rPr>
        <w:t xml:space="preserve">Üretim Yerleşimi ve İş Etki Analizi Kararları</w:t>
      </w:r>
    </w:p>
    <w:p>
      <w:pPr>
        <w:spacing w:after="300"/>
        <w:jc w:val="center"/>
      </w:pPr>
      <w:r>
        <w:rPr>
          <w:sz w:val="22"/>
          <w:szCs w:val="22"/>
        </w:rPr>
        <w:t xml:space="preserve">Toplantı tarihi: ____ / ____ / 2026</w:t>
      </w:r>
    </w:p>
    <w:p>
      <w:pPr>
        <w:pStyle w:val="Heading2"/>
        <w:spacing w:after="120" w:before="240"/>
      </w:pPr>
      <w:r>
        <w:t xml:space="preserve">Amaç ve zemin</w:t>
      </w:r>
    </w:p>
    <w:p>
      <w:pPr>
        <w:spacing w:after="120"/>
      </w:pPr>
      <w:r>
        <w:t xml:space="preserve">Bu dosya, S3 Depolama ve Değişmezlik Politikası'nın "üretim öncesinde kurum sahiplerince onaylanacak kararlar" listesindeki YEDİ kararı tek toplantıda sonuçlandırmak için hazırlanmıştır. Her karar için bağlam, seçenekler ve teknik öneri sunulur; KARAR kutuları toplantıda doldurulur.</w:t>
      </w:r>
    </w:p>
    <w:p>
      <w:pPr>
        <w:spacing w:after="120"/>
      </w:pPr>
      <w:r>
        <w:t xml:space="preserve">Teknik zemin: Faz 1 güvenli kabul hattı ve 19 canlı kabul testi tamamlanmıştır; kurum içi çalışma zamanı (Node + SQLite + MinIO) portu bitmiş ve 320 birim testiyle doğrulanmıştır (YOL_HARITASI_FAZLAR.md §13). Bu kararlar verilmeden üretim kurulumuna başlanmaz.</w:t>
      </w:r>
    </w:p>
    <w:p>
      <w:pPr>
        <w:pStyle w:val="Heading1"/>
        <w:spacing w:after="140" w:before="280"/>
      </w:pPr>
      <w:r>
        <w:t xml:space="preserve">Karar 1 — Üretim S3 sağlayıcısı ve kurum içi/bulut yerleşimi</w:t>
      </w:r>
    </w:p>
    <w:p>
      <w:pPr>
        <w:spacing w:after="60" w:before="160"/>
      </w:pPr>
      <w:r>
        <w:rPr>
          <w:b/>
          <w:bCs/>
        </w:rPr>
        <w:t xml:space="preserve">Bağlam.</w:t>
      </w:r>
    </w:p>
    <w:p>
      <w:pPr>
        <w:spacing w:after="120"/>
      </w:pPr>
      <w:r>
        <w:t xml:space="preserve">Pilot, Cloudflare (Workers + D1 + R2) üzerinde geliştirildi; tasarım belgesi bunu açıkça "dikey pilot" sayar. Belediye verisinin yerleşimi KVKK ve kurumsal politika konusudur.</w:t>
      </w:r>
    </w:p>
    <w:p>
      <w:pPr>
        <w:spacing w:after="60" w:before="160"/>
      </w:pPr>
      <w:r>
        <w:rPr>
          <w:b/>
          <w:bCs/>
        </w:rPr>
        <w:t xml:space="preserve">Seçenekler.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A) Kurum içi MinIO + Node yığını (ÖNERİLEN). </w:t>
      </w:r>
      <w:r>
        <w:t xml:space="preserve">Veri kurum sınırında; asıl kasa MinIO Object Lock ile gerçek WORM (ADR-016 iyileşmesi); port hazır ve testli. Maliyet: sunucu + işletim sorumluluğu kurumda.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B) Cloudflare'de kalmak. </w:t>
      </w:r>
      <w:r>
        <w:t xml:space="preserve">İşletim yükü düşük; ancak veri yurt dışı bulutta, R2 kilidi mevzuatsal WORM sayılmaz, üretim hedef mimarisiyle çelişir.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C) Hibrit (kurum içi asıl + bulut yedek). </w:t>
      </w:r>
      <w:r>
        <w:t xml:space="preserve">İkinci hata alanına bulut cevabı verir; KVKK değerlendirmesi yedek kopya için de gerekir.</w:t>
      </w:r>
    </w:p>
    <w:p>
      <w:pPr>
        <w:spacing w:after="60" w:before="160"/>
      </w:pPr>
      <w:r>
        <w:rPr>
          <w:b/>
          <w:bCs/>
        </w:rPr>
        <w:t xml:space="preserve">Öneri.</w:t>
      </w:r>
    </w:p>
    <w:p>
      <w:pPr>
        <w:spacing w:after="120"/>
      </w:pPr>
      <w:r>
        <w:t xml:space="preserve">Seçenek A; Cloudflare ortamı yalnız sentetik veriyle CI/deneme amaçlı tutulabilir ya da tamamen kapatılır.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rHeight w:val="1300" w:hRule="atLeast"/>
        </w:trPr>
        <w:tc>
          <w:tcPr>
            <w:tcW w:type="dxa" w:w="902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KARAR:</w:t>
            </w:r>
          </w:p>
        </w:tc>
      </w:tr>
      <w:tr>
        <w:trPr>
          <w:trHeight w:val="700" w:hRule="atLeast"/>
        </w:trP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Tarih: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İmza (Bilgi İşlem):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40" w:before="280"/>
      </w:pPr>
      <w:r>
        <w:t xml:space="preserve">Karar 2 — KMS/anahtar sahipliği ve dönüşüm süresi</w:t>
      </w:r>
    </w:p>
    <w:p>
      <w:pPr>
        <w:spacing w:after="60" w:before="160"/>
      </w:pPr>
      <w:r>
        <w:rPr>
          <w:b/>
          <w:bCs/>
        </w:rPr>
        <w:t xml:space="preserve">Bağlam.</w:t>
      </w:r>
    </w:p>
    <w:p>
      <w:pPr>
        <w:spacing w:after="120"/>
      </w:pPr>
      <w:r>
        <w:t xml:space="preserve">Pilotta şifreleme sağlayıcı yönetimindeydi. Kurum içinde disk ve nesne şifrelemesinin anahtar sahipliği tanımlanmalıdır.</w:t>
      </w:r>
    </w:p>
    <w:p>
      <w:pPr>
        <w:spacing w:after="60" w:before="160"/>
      </w:pPr>
      <w:r>
        <w:rPr>
          <w:b/>
          <w:bCs/>
        </w:rPr>
        <w:t xml:space="preserve">Öneri.</w:t>
      </w:r>
    </w:p>
    <w:p>
      <w:pPr>
        <w:spacing w:after="120"/>
      </w:pPr>
      <w:r>
        <w:t xml:space="preserve">1. dalga: sunucu disklerinde LUKS + MinIO erişim denetimi. 2. dalga: MinIO KES ile SSE ve kurum sahipliğinde anahtar (yıllık dönüşüm). Anahtar yedeği çevrimdışı kasada, iki ayrı yetkilide.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rHeight w:val="1300" w:hRule="atLeast"/>
        </w:trPr>
        <w:tc>
          <w:tcPr>
            <w:tcW w:type="dxa" w:w="902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KARAR:</w:t>
            </w:r>
          </w:p>
        </w:tc>
      </w:tr>
      <w:tr>
        <w:trPr>
          <w:trHeight w:val="700" w:hRule="atLeast"/>
        </w:trP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Tarih: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İmza (Bilgi Güvenliği):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40" w:before="280"/>
      </w:pPr>
      <w:r>
        <w:t xml:space="preserve">Karar 3 — Nihai RPO/RTO, kapasite ve büyüme hedefi</w:t>
      </w:r>
    </w:p>
    <w:p>
      <w:pPr>
        <w:spacing w:after="60" w:before="160"/>
      </w:pPr>
      <w:r>
        <w:rPr>
          <w:b/>
          <w:bCs/>
        </w:rPr>
        <w:t xml:space="preserve">Bağlam.</w:t>
      </w:r>
    </w:p>
    <w:p>
      <w:pPr>
        <w:spacing w:after="120"/>
      </w:pPr>
      <w:r>
        <w:t xml:space="preserve">ADR-017 pilot hedefleri: belge üst verisi RPO 15 dk / RTO 4 saat; kabul edilmiş asıllar RPO 1 saat / RTO 8 saat; türevler 24 saat (yeniden üretilebilir). Geri yükleme tatbikatı (T-09) bu hedefe karşı ölçüm yapar.</w:t>
      </w:r>
    </w:p>
    <w:p>
      <w:pPr>
        <w:spacing w:after="60" w:before="160"/>
      </w:pPr>
      <w:r>
        <w:rPr>
          <w:b/>
          <w:bCs/>
        </w:rPr>
        <w:t xml:space="preserve">Karar gerektirenler.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Pilot tablosu üretim hedefi olarak onaylanıyor mu, sıkılaştırılıyor mu? (Sessizce gevşetme ADR gereği yasaktır.)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Kapasite: yıllık beklenen belge adedi/hacmi ve 5 yıllık büyüme tahmini (disk planlaması ve eşzamanlılık profili buna bağlanır).</w:t>
      </w:r>
    </w:p>
    <w:p>
      <w:pPr>
        <w:spacing w:after="60" w:before="160"/>
      </w:pPr>
      <w:r>
        <w:rPr>
          <w:b/>
          <w:bCs/>
        </w:rPr>
        <w:t xml:space="preserve">Öneri.</w:t>
      </w:r>
    </w:p>
    <w:p>
      <w:pPr>
        <w:spacing w:after="120"/>
      </w:pPr>
      <w:r>
        <w:t xml:space="preserve">Pilot tablosunu üretim hedefi olarak onaylamak; hacim tahminini Yazı İşleri ve Arşiv'den almak.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rHeight w:val="1300" w:hRule="atLeast"/>
        </w:trPr>
        <w:tc>
          <w:tcPr>
            <w:tcW w:type="dxa" w:w="902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KARAR:</w:t>
            </w:r>
          </w:p>
        </w:tc>
      </w:tr>
      <w:tr>
        <w:trPr>
          <w:trHeight w:val="700" w:hRule="atLeast"/>
        </w:trP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Tarih: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İmza (Bilgi İşlem + Arşiv):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40" w:before="280"/>
      </w:pPr>
      <w:r>
        <w:t xml:space="preserve">Karar 4 — İkinci hata alanı ve çevrimdışı yedek hedefi</w:t>
      </w:r>
    </w:p>
    <w:p>
      <w:pPr>
        <w:spacing w:after="60" w:before="160"/>
      </w:pPr>
      <w:r>
        <w:rPr>
          <w:b/>
          <w:bCs/>
        </w:rPr>
        <w:t xml:space="preserve">Bağlam.</w:t>
      </w:r>
    </w:p>
    <w:p>
      <w:pPr>
        <w:spacing w:after="120"/>
      </w:pPr>
      <w:r>
        <w:t xml:space="preserve">Asıl kovasının artımlı kopyası ayrı bir hata alanına gider (ADR-017); taşınabilirlik testi (T-10) ikinci MinIO'yu bu hedefte koşturur. Çevrimdışı (soğuk) yedek, fidye yazılımı senaryosunun son savunmasıdır.</w:t>
      </w:r>
    </w:p>
    <w:p>
      <w:pPr>
        <w:spacing w:after="60" w:before="160"/>
      </w:pPr>
      <w:r>
        <w:rPr>
          <w:b/>
          <w:bCs/>
        </w:rPr>
        <w:t xml:space="preserve">Seçenekler (ikinci alan).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Aynı bina, farklı sistem odası.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İl içinde ayrı belediye tesisi (ÖNERİLEN).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İl dışı kamu veri merkezi.</w:t>
      </w:r>
    </w:p>
    <w:p>
      <w:pPr>
        <w:spacing w:after="60" w:before="160"/>
      </w:pPr>
      <w:r>
        <w:rPr>
          <w:b/>
          <w:bCs/>
        </w:rPr>
        <w:t xml:space="preserve">Öneri.</w:t>
      </w:r>
    </w:p>
    <w:p>
      <w:pPr>
        <w:spacing w:after="120"/>
      </w:pPr>
      <w:r>
        <w:t xml:space="preserve">İl içi ayrı tesiste ikinci MinIO (site replication); aylık çevrimdışı manifest + içerik kopyası (harici, salt-okunur saklanan ortam).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rHeight w:val="1300" w:hRule="atLeast"/>
        </w:trPr>
        <w:tc>
          <w:tcPr>
            <w:tcW w:type="dxa" w:w="902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KARAR:</w:t>
            </w:r>
          </w:p>
        </w:tc>
      </w:tr>
      <w:tr>
        <w:trPr>
          <w:trHeight w:val="700" w:hRule="atLeast"/>
        </w:trP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Tarih: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İmza (Bilgi İşlem):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40" w:before="280"/>
      </w:pPr>
      <w:r>
        <w:t xml:space="preserve">Karar 5 — Dosya planına bağlı saklama süreleri</w:t>
      </w:r>
    </w:p>
    <w:p>
      <w:pPr>
        <w:spacing w:after="60" w:before="160"/>
      </w:pPr>
      <w:r>
        <w:rPr>
          <w:b/>
          <w:bCs/>
        </w:rPr>
        <w:t xml:space="preserve">Bağlam.</w:t>
      </w:r>
    </w:p>
    <w:p>
      <w:pPr>
        <w:spacing w:after="120"/>
      </w:pPr>
      <w:r>
        <w:t xml:space="preserve">Asıl/türev/yedek saklama süreleri Devlet Arşivleri mevzuatı ve kurum dosya planına bağlanmalıdır; MinIO Object Lock bekletme süresi/modu (COMPLIANCE) bu karara göre tanımlanır. Tasfiye ancak kurul kararı ve dört göz ilkesiyle yapılır (ADR-016).</w:t>
      </w:r>
    </w:p>
    <w:p>
      <w:pPr>
        <w:spacing w:after="60" w:before="160"/>
      </w:pPr>
      <w:r>
        <w:rPr>
          <w:b/>
          <w:bCs/>
        </w:rPr>
        <w:t xml:space="preserve">Öneri.</w:t>
      </w:r>
    </w:p>
    <w:p>
      <w:pPr>
        <w:spacing w:after="120"/>
      </w:pPr>
      <w:r>
        <w:t xml:space="preserve">İlk üretim döneminde tasfiye kapalı (süresiz bekletme); dosya planı eşlemesi tamamlandığında sınıf bazlı bekletme, ADR güncellemesiyle devreye alınır.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rHeight w:val="1300" w:hRule="atLeast"/>
        </w:trPr>
        <w:tc>
          <w:tcPr>
            <w:tcW w:type="dxa" w:w="902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KARAR:</w:t>
            </w:r>
          </w:p>
        </w:tc>
      </w:tr>
      <w:tr>
        <w:trPr>
          <w:trHeight w:val="700" w:hRule="atLeast"/>
        </w:trP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Tarih: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İmza (Arşiv + Hukuk/KVKK):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40" w:before="280"/>
      </w:pPr>
      <w:r>
        <w:t xml:space="preserve">Karar 6 — Bütünlük tarama sıklığı ve hizmet seviyesi eşikleri</w:t>
      </w:r>
    </w:p>
    <w:p>
      <w:pPr>
        <w:spacing w:after="60" w:before="160"/>
      </w:pPr>
      <w:r>
        <w:rPr>
          <w:b/>
          <w:bCs/>
        </w:rPr>
        <w:t xml:space="preserve">Bağlam.</w:t>
      </w:r>
    </w:p>
    <w:p>
      <w:pPr>
        <w:spacing w:after="120"/>
      </w:pPr>
      <w:r>
        <w:t xml:space="preserve">Tam SHA bütünlük taraması ve iki yönlü uzlaştırma kalıcı bulgu üretir (T-08/T-12 ile kanıtlı). Sıklık ve alarm eşikleri işletim kararıdır.</w:t>
      </w:r>
    </w:p>
    <w:p>
      <w:pPr>
        <w:spacing w:after="60" w:before="160"/>
      </w:pPr>
      <w:r>
        <w:rPr>
          <w:b/>
          <w:bCs/>
        </w:rPr>
        <w:t xml:space="preserve">Öneri.</w:t>
      </w:r>
    </w:p>
    <w:p>
      <w:pPr>
        <w:spacing w:after="120"/>
      </w:pPr>
      <w:r>
        <w:t xml:space="preserve">Uzlaştırma günlük; tam SHA taraması envanterin tamamını 30 günde bir turlayacak dilimli döngüde. KRİTİK bulguda anında alarm ve 1 iş günü içinde müdahale; açık kritik bulgu varken yeni müdürlük alımı durdurulur.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rHeight w:val="1300" w:hRule="atLeast"/>
        </w:trPr>
        <w:tc>
          <w:tcPr>
            <w:tcW w:type="dxa" w:w="902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KARAR:</w:t>
            </w:r>
          </w:p>
        </w:tc>
      </w:tr>
      <w:tr>
        <w:trPr>
          <w:trHeight w:val="700" w:hRule="atLeast"/>
        </w:trP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Tarih: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İmza (Bilgi Güvenliği + Depolama İşletimi):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40" w:before="280"/>
      </w:pPr>
      <w:r>
        <w:t xml:space="preserve">Karar 7 — Sağlayıcıdan çıkış ve veri imha yetkilileri</w:t>
      </w:r>
    </w:p>
    <w:p>
      <w:pPr>
        <w:spacing w:after="60" w:before="160"/>
      </w:pPr>
      <w:r>
        <w:rPr>
          <w:b/>
          <w:bCs/>
        </w:rPr>
        <w:t xml:space="preserve">Bağlam.</w:t>
      </w:r>
    </w:p>
    <w:p>
      <w:pPr>
        <w:spacing w:after="120"/>
      </w:pPr>
      <w:r>
        <w:t xml:space="preserve">Taşınabilir belge paketi (F1.10) çıkış yolunu teknik olarak kanıtlar (T-10). Çıkış ve imha PROSEDÜRÜNÜN kimin kararıyla, hangi kurulla yürütüleceği tanımlanmalıdır.</w:t>
      </w:r>
    </w:p>
    <w:p>
      <w:pPr>
        <w:spacing w:after="60" w:before="160"/>
      </w:pPr>
      <w:r>
        <w:rPr>
          <w:b/>
          <w:bCs/>
        </w:rPr>
        <w:t xml:space="preserve">Öneri.</w:t>
      </w:r>
    </w:p>
    <w:p>
      <w:pPr>
        <w:spacing w:after="120"/>
      </w:pPr>
      <w:r>
        <w:t xml:space="preserve">Çıkış/imha kararı: Arşiv + Bilgi İşlem + Hukuk/KVKK'dan oluşan kurul; uygulama, dört göz ilkesiyle ayrı tasfiye kimliği üzerinden; her adım denetim kaydına bağlanır.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rHeight w:val="1300" w:hRule="atLeast"/>
        </w:trPr>
        <w:tc>
          <w:tcPr>
            <w:tcW w:type="dxa" w:w="902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KARAR:</w:t>
            </w:r>
          </w:p>
        </w:tc>
      </w:tr>
      <w:tr>
        <w:trPr>
          <w:trHeight w:val="700" w:hRule="atLeast"/>
        </w:trP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Tarih: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İmza (Başkanlık / Yetkili Makam):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40" w:before="280"/>
      </w:pPr>
      <w:r>
        <w:t xml:space="preserve">Karar sonrası: yapılandırmaya işlenecek değerler</w:t>
      </w:r>
    </w:p>
    <w:p>
      <w:pPr>
        <w:spacing w:after="120"/>
      </w:pPr>
      <w:r>
        <w:t xml:space="preserve">Kararlar netleştiğinde geliştirmeye dönecek somut çıktılar: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Karar</w:t>
            </w:r>
          </w:p>
        </w:tc>
        <w:tc>
          <w:tcPr>
            <w:tcW w:type="dxa" w:w="782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Yapılandırma çıktısı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7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Üretim ortam yapılandırması (kanonik alan adı, APP_ENV=production); Cloudflare ortamının kaderi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7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Disk/SSE şifreleme planı; 2. dalga KES işi yol haritasına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7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Geri yükleme RTO hedefi (ACCEPTANCE_RESTORE_RTO_SECONDS); disk kapasite planı; eşzamanlılık profili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7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İkinci MinIO ucu (T-10 hedefi), replikasyon düzeni ve soğuk yedek takvimi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7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Object Lock bekletme modu/süresi; tasfiye prosedürü ADR güncellemesi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7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Tarama zamanlayıcı ayarları ve alarm eşikleri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7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Tasfiye kimliği ve kurul onay akışı</w:t>
            </w:r>
          </w:p>
        </w:tc>
      </w:tr>
    </w:tbl>
    <w:p>
      <w:pPr>
        <w:pStyle w:val="Heading1"/>
        <w:spacing w:after="140" w:before="280"/>
      </w:pPr>
      <w:r>
        <w:t xml:space="preserve">Onay tablosu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42"/>
        <w:gridCol w:w="1500"/>
        <w:gridCol w:w="2084"/>
      </w:tblGrid>
      <w:tr>
        <w:tc>
          <w:tcPr>
            <w:tcW w:type="dxa" w:w="29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</w:t>
            </w:r>
          </w:p>
        </w:tc>
        <w:tc>
          <w:tcPr>
            <w:tcW w:type="dxa" w:w="254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 Soyad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Tarih</w:t>
            </w:r>
          </w:p>
        </w:tc>
        <w:tc>
          <w:tcPr>
            <w:tcW w:type="dxa" w:w="2084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İmza</w:t>
            </w:r>
          </w:p>
        </w:tc>
      </w:tr>
      <w:tr>
        <w:trPr>
          <w:trHeight w:val="600" w:hRule="atLeast"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Bilgi İşlem yöneticisi</w:t>
            </w:r>
          </w:p>
        </w:tc>
        <w:tc>
          <w:tcPr>
            <w:tcW w:type="dxa" w:w="254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Bilgi Güvenliği sorumlusu</w:t>
            </w:r>
          </w:p>
        </w:tc>
        <w:tc>
          <w:tcPr>
            <w:tcW w:type="dxa" w:w="254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Arşiv sorumlusu</w:t>
            </w:r>
          </w:p>
        </w:tc>
        <w:tc>
          <w:tcPr>
            <w:tcW w:type="dxa" w:w="254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Hukuk/KVKK temsilcisi</w:t>
            </w:r>
          </w:p>
        </w:tc>
        <w:tc>
          <w:tcPr>
            <w:tcW w:type="dxa" w:w="254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Sivas Belediyesi Dijital Arşiv — Karar Dosyası — Sayfa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</w:pPr>
    <w:rPr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2026-08-12T06:04:39.911Z</dcterms:created>
  <dcterms:modified xsi:type="dcterms:W3CDTF">2026-08-12T06:04:39.914Z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