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2D5A" w14:textId="77777777" w:rsidR="00C07297" w:rsidRPr="00025EEC" w:rsidRDefault="00000000" w:rsidP="00025EEC">
      <w:pPr>
        <w:spacing w:before="60" w:after="100" w:line="276" w:lineRule="auto"/>
        <w:jc w:val="center"/>
        <w:rPr>
          <w:b/>
          <w:bCs/>
          <w:sz w:val="24"/>
          <w:szCs w:val="24"/>
        </w:rPr>
      </w:pPr>
      <w:r w:rsidRPr="00025EEC">
        <w:rPr>
          <w:b/>
          <w:bCs/>
          <w:sz w:val="24"/>
          <w:szCs w:val="24"/>
        </w:rPr>
        <w:t>BRIEFING NOTE</w:t>
      </w:r>
    </w:p>
    <w:p w14:paraId="680A13E3" w14:textId="7CFC26B6" w:rsidR="00C07297" w:rsidRPr="00025EEC" w:rsidRDefault="00C3772C" w:rsidP="00025EEC">
      <w:pPr>
        <w:spacing w:before="60" w:after="100" w:line="276" w:lineRule="auto"/>
        <w:jc w:val="center"/>
        <w:rPr>
          <w:b/>
          <w:bCs/>
          <w:sz w:val="24"/>
          <w:szCs w:val="24"/>
        </w:rPr>
      </w:pPr>
      <w:r w:rsidRPr="00025EEC">
        <w:rPr>
          <w:b/>
          <w:bCs/>
          <w:sz w:val="24"/>
          <w:szCs w:val="24"/>
        </w:rPr>
        <w:t>UGANDA COFFEE SUPPLY CHAIN  FARMER PROFILING FINDINGS</w:t>
      </w:r>
    </w:p>
    <w:p w14:paraId="65A9D70F" w14:textId="77777777" w:rsidR="00C07297" w:rsidRPr="00025EEC" w:rsidRDefault="00000000" w:rsidP="00025EEC">
      <w:pPr>
        <w:spacing w:before="60" w:after="100" w:line="276" w:lineRule="auto"/>
        <w:rPr>
          <w:b/>
          <w:bCs/>
          <w:sz w:val="24"/>
          <w:szCs w:val="24"/>
        </w:rPr>
      </w:pPr>
      <w:r w:rsidRPr="00025EEC">
        <w:rPr>
          <w:b/>
          <w:bCs/>
          <w:sz w:val="24"/>
          <w:szCs w:val="24"/>
        </w:rPr>
        <w:t>EXECUTIVE SUMMARY</w:t>
      </w:r>
    </w:p>
    <w:p w14:paraId="1A1EBB3E" w14:textId="3BACC4AA" w:rsidR="00890F55" w:rsidRPr="00025EEC" w:rsidRDefault="00890F55" w:rsidP="00025EEC">
      <w:pPr>
        <w:spacing w:before="60" w:after="100" w:line="276" w:lineRule="auto"/>
        <w:jc w:val="both"/>
        <w:rPr>
          <w:sz w:val="24"/>
          <w:szCs w:val="24"/>
        </w:rPr>
      </w:pPr>
      <w:r w:rsidRPr="00890F55">
        <w:rPr>
          <w:sz w:val="24"/>
          <w:szCs w:val="24"/>
        </w:rPr>
        <w:t>A sample of 2,374 coffee farmers in the four districts of Uganda: Kayunga, Luwero, Nakaseke, and Mukono gives a general overview of the supply chain situation. Most farmers have small farms (average 2.5 acres), produce nearly all Robusta coffee and are not part of cooperatives but are independent suppliers. In general FAQ coffee production decreased a little per farmer between 2022 and 2023, with the largest district based on the number of farmers (Kayunga) recording an 11% decline in average yields. The labour practices are mostly adherent, as no verified cases of child labour and the large percentage of minimum wage payment are identified, though the lack of awareness of workers rights in Nakaseke needs to be addressed. The information can be mainly applied in strategic decision making, although there are several quality concerns that are discussed below, which makes some of the numbers to be directional, not definitive.</w:t>
      </w:r>
    </w:p>
    <w:p w14:paraId="181CD70B" w14:textId="706620FB" w:rsidR="00C07297" w:rsidRPr="00025EEC" w:rsidRDefault="00000000" w:rsidP="00025EEC">
      <w:pPr>
        <w:spacing w:before="60" w:after="100" w:line="276" w:lineRule="auto"/>
        <w:rPr>
          <w:b/>
          <w:bCs/>
          <w:sz w:val="24"/>
          <w:szCs w:val="24"/>
        </w:rPr>
      </w:pPr>
      <w:r w:rsidRPr="00025EEC">
        <w:rPr>
          <w:b/>
          <w:bCs/>
          <w:sz w:val="24"/>
          <w:szCs w:val="24"/>
        </w:rPr>
        <w:t>KEY INSIGHT 1  PRODUCTION IS DECLINING IN THE LARGEST DISTRICT</w:t>
      </w:r>
    </w:p>
    <w:tbl>
      <w:tblPr>
        <w:tblStyle w:val="PlainTable1"/>
        <w:tblW w:w="5000" w:type="pct"/>
        <w:tblLook w:val="0000" w:firstRow="0" w:lastRow="0" w:firstColumn="0" w:lastColumn="0" w:noHBand="0" w:noVBand="0"/>
      </w:tblPr>
      <w:tblGrid>
        <w:gridCol w:w="1493"/>
        <w:gridCol w:w="8217"/>
      </w:tblGrid>
      <w:tr w:rsidR="00C07297" w:rsidRPr="00025EEC" w14:paraId="24804870" w14:textId="77777777" w:rsidTr="00025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9" w:type="pct"/>
          </w:tcPr>
          <w:p w14:paraId="25729179" w14:textId="77777777" w:rsidR="00C07297" w:rsidRPr="00025EEC" w:rsidRDefault="00000000" w:rsidP="00025EEC">
            <w:pPr>
              <w:spacing w:before="60" w:after="100" w:line="276" w:lineRule="auto"/>
              <w:jc w:val="both"/>
              <w:rPr>
                <w:sz w:val="24"/>
                <w:szCs w:val="24"/>
              </w:rPr>
            </w:pPr>
            <w:r w:rsidRPr="00025EEC">
              <w:rPr>
                <w:sz w:val="24"/>
                <w:szCs w:val="24"/>
              </w:rPr>
              <w:t>FINDING</w:t>
            </w:r>
          </w:p>
        </w:tc>
        <w:tc>
          <w:tcPr>
            <w:tcW w:w="4231" w:type="pct"/>
          </w:tcPr>
          <w:p w14:paraId="34686891" w14:textId="58072386" w:rsidR="00C07297" w:rsidRPr="00025EEC" w:rsidRDefault="00890F55"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890F55">
              <w:rPr>
                <w:sz w:val="24"/>
                <w:szCs w:val="24"/>
              </w:rPr>
              <w:t>Kayunga covers more than half of all surveyed farmers (1,198 of 2,374) and is the sole biggest supplier of FAQ coffee in the supply chain. In spite of this scale, the average FAQ production per farmer in Kayunga decreased by 11% in 2023, compared to 2022 (1,130 kg to 997 kg). The second-largest district, Luwero, also experienced a small decline in the average yields (1,250 kg to 1,164 kg). Nakaseke experienced the most apparent growth (+4,636%), but this is due to very low data completeness in 2022 (32 of 262 Nakaseke records had 2022 production data) instead of actual agricultural growth. This number cannot be used as the growth indicator.</w:t>
            </w:r>
          </w:p>
        </w:tc>
      </w:tr>
    </w:tbl>
    <w:p w14:paraId="57F3DB76" w14:textId="641E295F" w:rsidR="00890F55" w:rsidRPr="00025EEC" w:rsidRDefault="00000000" w:rsidP="00025EEC">
      <w:pPr>
        <w:spacing w:before="60" w:after="100" w:line="276" w:lineRule="auto"/>
        <w:jc w:val="both"/>
        <w:rPr>
          <w:sz w:val="24"/>
          <w:szCs w:val="24"/>
        </w:rPr>
      </w:pPr>
      <w:r w:rsidRPr="00025EEC">
        <w:rPr>
          <w:sz w:val="24"/>
          <w:szCs w:val="24"/>
        </w:rPr>
        <w:t>A consistent downward trend in the highest-volume district is an early warning signal for supply chain volume. X should investigate whether this reflects environmental conditions (rainfall variability, soil degradation), ageing tree stock, post-harvest losses, or farmers diverting production to alternative buyers. Without understanding the cause, the 11% decline in Kayunga could translate directly to reduced supply availability in the next season.</w:t>
      </w:r>
    </w:p>
    <w:p w14:paraId="6E6227BD" w14:textId="51E181BC" w:rsidR="00C07297" w:rsidRPr="00025EEC" w:rsidRDefault="00000000" w:rsidP="00025EEC">
      <w:pPr>
        <w:spacing w:before="60" w:after="100" w:line="276" w:lineRule="auto"/>
        <w:rPr>
          <w:b/>
          <w:bCs/>
          <w:sz w:val="24"/>
          <w:szCs w:val="24"/>
        </w:rPr>
      </w:pPr>
      <w:r w:rsidRPr="00025EEC">
        <w:rPr>
          <w:b/>
          <w:bCs/>
          <w:sz w:val="24"/>
          <w:szCs w:val="24"/>
        </w:rPr>
        <w:t>KEY INSIGHT 2  COOPERATIVE MEMBERS ARE LARGER FARMERS, BUT A SMALL MINORITY</w:t>
      </w:r>
    </w:p>
    <w:tbl>
      <w:tblPr>
        <w:tblStyle w:val="PlainTable1"/>
        <w:tblW w:w="5000" w:type="pct"/>
        <w:tblLook w:val="0000" w:firstRow="0" w:lastRow="0" w:firstColumn="0" w:lastColumn="0" w:noHBand="0" w:noVBand="0"/>
      </w:tblPr>
      <w:tblGrid>
        <w:gridCol w:w="1493"/>
        <w:gridCol w:w="8217"/>
      </w:tblGrid>
      <w:tr w:rsidR="00C07297" w:rsidRPr="00025EEC" w14:paraId="6E4BD1B7" w14:textId="77777777" w:rsidTr="00025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9" w:type="pct"/>
          </w:tcPr>
          <w:p w14:paraId="469B78D8" w14:textId="77777777" w:rsidR="00C07297" w:rsidRPr="00025EEC" w:rsidRDefault="00000000" w:rsidP="00025EEC">
            <w:pPr>
              <w:spacing w:before="60" w:after="100" w:line="276" w:lineRule="auto"/>
              <w:jc w:val="both"/>
              <w:rPr>
                <w:sz w:val="24"/>
                <w:szCs w:val="24"/>
              </w:rPr>
            </w:pPr>
            <w:r w:rsidRPr="00025EEC">
              <w:rPr>
                <w:sz w:val="24"/>
                <w:szCs w:val="24"/>
              </w:rPr>
              <w:t>FINDING</w:t>
            </w:r>
          </w:p>
        </w:tc>
        <w:tc>
          <w:tcPr>
            <w:tcW w:w="4231" w:type="pct"/>
          </w:tcPr>
          <w:p w14:paraId="5577C19F" w14:textId="77777777" w:rsidR="00C07297" w:rsidRPr="00025EEC" w:rsidRDefault="00000000"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25EEC">
              <w:rPr>
                <w:sz w:val="24"/>
                <w:szCs w:val="24"/>
              </w:rPr>
              <w:t>Only 121 of 2,374 farmers (5.1%) are members of a coffee cooperative. Despite their small number, cooperative members show meaningful differences in farm profile compared to non-members:</w:t>
            </w:r>
          </w:p>
        </w:tc>
      </w:tr>
    </w:tbl>
    <w:p w14:paraId="6DB95B54" w14:textId="77777777" w:rsidR="00C07297" w:rsidRPr="00025EEC" w:rsidRDefault="00C07297" w:rsidP="00025EEC">
      <w:pPr>
        <w:spacing w:before="60" w:after="100" w:line="276" w:lineRule="auto"/>
        <w:jc w:val="both"/>
        <w:rPr>
          <w:sz w:val="24"/>
          <w:szCs w:val="24"/>
        </w:rPr>
      </w:pPr>
    </w:p>
    <w:tbl>
      <w:tblPr>
        <w:tblStyle w:val="PlainTable1"/>
        <w:tblW w:w="5000" w:type="pct"/>
        <w:tblLook w:val="0000" w:firstRow="0" w:lastRow="0" w:firstColumn="0" w:lastColumn="0" w:noHBand="0" w:noVBand="0"/>
      </w:tblPr>
      <w:tblGrid>
        <w:gridCol w:w="4696"/>
        <w:gridCol w:w="2507"/>
        <w:gridCol w:w="2507"/>
      </w:tblGrid>
      <w:tr w:rsidR="00C07297" w:rsidRPr="00025EEC" w14:paraId="40840BA7" w14:textId="77777777" w:rsidTr="00025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8" w:type="pct"/>
          </w:tcPr>
          <w:p w14:paraId="7AF19D79" w14:textId="77777777" w:rsidR="00C07297" w:rsidRPr="00025EEC" w:rsidRDefault="00000000" w:rsidP="00025EEC">
            <w:pPr>
              <w:spacing w:before="60" w:after="100" w:line="276" w:lineRule="auto"/>
              <w:jc w:val="both"/>
              <w:rPr>
                <w:sz w:val="24"/>
                <w:szCs w:val="24"/>
              </w:rPr>
            </w:pPr>
            <w:r w:rsidRPr="00025EEC">
              <w:rPr>
                <w:sz w:val="24"/>
                <w:szCs w:val="24"/>
              </w:rPr>
              <w:t>Metric</w:t>
            </w:r>
          </w:p>
        </w:tc>
        <w:tc>
          <w:tcPr>
            <w:tcW w:w="1291" w:type="pct"/>
          </w:tcPr>
          <w:p w14:paraId="223323D2" w14:textId="77777777" w:rsidR="00C07297" w:rsidRPr="00025EEC" w:rsidRDefault="00000000"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25EEC">
              <w:rPr>
                <w:sz w:val="24"/>
                <w:szCs w:val="24"/>
              </w:rPr>
              <w:t>Cooperative Member</w:t>
            </w:r>
          </w:p>
        </w:tc>
        <w:tc>
          <w:tcPr>
            <w:cnfStyle w:val="000010000000" w:firstRow="0" w:lastRow="0" w:firstColumn="0" w:lastColumn="0" w:oddVBand="1" w:evenVBand="0" w:oddHBand="0" w:evenHBand="0" w:firstRowFirstColumn="0" w:firstRowLastColumn="0" w:lastRowFirstColumn="0" w:lastRowLastColumn="0"/>
            <w:tcW w:w="1291" w:type="pct"/>
          </w:tcPr>
          <w:p w14:paraId="1EF1E251" w14:textId="77777777" w:rsidR="00C07297" w:rsidRPr="00025EEC" w:rsidRDefault="00000000" w:rsidP="00025EEC">
            <w:pPr>
              <w:spacing w:before="60" w:after="100" w:line="276" w:lineRule="auto"/>
              <w:jc w:val="both"/>
              <w:rPr>
                <w:sz w:val="24"/>
                <w:szCs w:val="24"/>
              </w:rPr>
            </w:pPr>
            <w:r w:rsidRPr="00025EEC">
              <w:rPr>
                <w:sz w:val="24"/>
                <w:szCs w:val="24"/>
              </w:rPr>
              <w:t>Non-Member</w:t>
            </w:r>
          </w:p>
        </w:tc>
      </w:tr>
      <w:tr w:rsidR="00C07297" w:rsidRPr="00025EEC" w14:paraId="58A54318" w14:textId="77777777" w:rsidTr="00025EEC">
        <w:tc>
          <w:tcPr>
            <w:cnfStyle w:val="000010000000" w:firstRow="0" w:lastRow="0" w:firstColumn="0" w:lastColumn="0" w:oddVBand="1" w:evenVBand="0" w:oddHBand="0" w:evenHBand="0" w:firstRowFirstColumn="0" w:firstRowLastColumn="0" w:lastRowFirstColumn="0" w:lastRowLastColumn="0"/>
            <w:tcW w:w="2418" w:type="pct"/>
          </w:tcPr>
          <w:p w14:paraId="24BFD16C" w14:textId="77777777" w:rsidR="00C07297" w:rsidRPr="00025EEC" w:rsidRDefault="00000000" w:rsidP="00025EEC">
            <w:pPr>
              <w:spacing w:before="60" w:after="100" w:line="276" w:lineRule="auto"/>
              <w:jc w:val="both"/>
              <w:rPr>
                <w:sz w:val="24"/>
                <w:szCs w:val="24"/>
              </w:rPr>
            </w:pPr>
            <w:r w:rsidRPr="00025EEC">
              <w:rPr>
                <w:sz w:val="24"/>
                <w:szCs w:val="24"/>
              </w:rPr>
              <w:t>Mean Farm Size</w:t>
            </w:r>
          </w:p>
        </w:tc>
        <w:tc>
          <w:tcPr>
            <w:tcW w:w="1291" w:type="pct"/>
          </w:tcPr>
          <w:p w14:paraId="6DD1E836" w14:textId="77777777" w:rsidR="00C07297" w:rsidRPr="00025EEC" w:rsidRDefault="00000000" w:rsidP="00025EEC">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25EEC">
              <w:rPr>
                <w:sz w:val="24"/>
                <w:szCs w:val="24"/>
              </w:rPr>
              <w:t>4.10 acres</w:t>
            </w:r>
          </w:p>
        </w:tc>
        <w:tc>
          <w:tcPr>
            <w:cnfStyle w:val="000010000000" w:firstRow="0" w:lastRow="0" w:firstColumn="0" w:lastColumn="0" w:oddVBand="1" w:evenVBand="0" w:oddHBand="0" w:evenHBand="0" w:firstRowFirstColumn="0" w:firstRowLastColumn="0" w:lastRowFirstColumn="0" w:lastRowLastColumn="0"/>
            <w:tcW w:w="1291" w:type="pct"/>
          </w:tcPr>
          <w:p w14:paraId="28C64080" w14:textId="77777777" w:rsidR="00C07297" w:rsidRPr="00025EEC" w:rsidRDefault="00000000" w:rsidP="00025EEC">
            <w:pPr>
              <w:spacing w:before="60" w:after="100" w:line="276" w:lineRule="auto"/>
              <w:jc w:val="both"/>
              <w:rPr>
                <w:sz w:val="24"/>
                <w:szCs w:val="24"/>
              </w:rPr>
            </w:pPr>
            <w:r w:rsidRPr="00025EEC">
              <w:rPr>
                <w:sz w:val="24"/>
                <w:szCs w:val="24"/>
              </w:rPr>
              <w:t>2.38 acres</w:t>
            </w:r>
          </w:p>
        </w:tc>
      </w:tr>
      <w:tr w:rsidR="00C07297" w:rsidRPr="00025EEC" w14:paraId="0DC47B0C" w14:textId="77777777" w:rsidTr="00025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8" w:type="pct"/>
          </w:tcPr>
          <w:p w14:paraId="570BCC54" w14:textId="77777777" w:rsidR="00C07297" w:rsidRPr="00025EEC" w:rsidRDefault="00000000" w:rsidP="00025EEC">
            <w:pPr>
              <w:spacing w:before="60" w:after="100" w:line="276" w:lineRule="auto"/>
              <w:jc w:val="both"/>
              <w:rPr>
                <w:sz w:val="24"/>
                <w:szCs w:val="24"/>
              </w:rPr>
            </w:pPr>
            <w:r w:rsidRPr="00025EEC">
              <w:rPr>
                <w:sz w:val="24"/>
                <w:szCs w:val="24"/>
              </w:rPr>
              <w:lastRenderedPageBreak/>
              <w:t>Median Farm Size</w:t>
            </w:r>
          </w:p>
        </w:tc>
        <w:tc>
          <w:tcPr>
            <w:tcW w:w="1291" w:type="pct"/>
          </w:tcPr>
          <w:p w14:paraId="7AAA9FD5" w14:textId="77777777" w:rsidR="00C07297" w:rsidRPr="00025EEC" w:rsidRDefault="00000000"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25EEC">
              <w:rPr>
                <w:sz w:val="24"/>
                <w:szCs w:val="24"/>
              </w:rPr>
              <w:t>4.02 acres</w:t>
            </w:r>
          </w:p>
        </w:tc>
        <w:tc>
          <w:tcPr>
            <w:cnfStyle w:val="000010000000" w:firstRow="0" w:lastRow="0" w:firstColumn="0" w:lastColumn="0" w:oddVBand="1" w:evenVBand="0" w:oddHBand="0" w:evenHBand="0" w:firstRowFirstColumn="0" w:firstRowLastColumn="0" w:lastRowFirstColumn="0" w:lastRowLastColumn="0"/>
            <w:tcW w:w="1291" w:type="pct"/>
          </w:tcPr>
          <w:p w14:paraId="7EC2AF1A" w14:textId="77777777" w:rsidR="00C07297" w:rsidRPr="00025EEC" w:rsidRDefault="00000000" w:rsidP="00025EEC">
            <w:pPr>
              <w:spacing w:before="60" w:after="100" w:line="276" w:lineRule="auto"/>
              <w:jc w:val="both"/>
              <w:rPr>
                <w:sz w:val="24"/>
                <w:szCs w:val="24"/>
              </w:rPr>
            </w:pPr>
            <w:r w:rsidRPr="00025EEC">
              <w:rPr>
                <w:sz w:val="24"/>
                <w:szCs w:val="24"/>
              </w:rPr>
              <w:t>2.00 acres</w:t>
            </w:r>
          </w:p>
        </w:tc>
      </w:tr>
      <w:tr w:rsidR="00C07297" w:rsidRPr="00025EEC" w14:paraId="396CD43C" w14:textId="77777777" w:rsidTr="00025EEC">
        <w:tc>
          <w:tcPr>
            <w:cnfStyle w:val="000010000000" w:firstRow="0" w:lastRow="0" w:firstColumn="0" w:lastColumn="0" w:oddVBand="1" w:evenVBand="0" w:oddHBand="0" w:evenHBand="0" w:firstRowFirstColumn="0" w:firstRowLastColumn="0" w:lastRowFirstColumn="0" w:lastRowLastColumn="0"/>
            <w:tcW w:w="2418" w:type="pct"/>
          </w:tcPr>
          <w:p w14:paraId="45B145EA" w14:textId="77777777" w:rsidR="00C07297" w:rsidRPr="00025EEC" w:rsidRDefault="00000000" w:rsidP="00025EEC">
            <w:pPr>
              <w:spacing w:before="60" w:after="100" w:line="276" w:lineRule="auto"/>
              <w:jc w:val="both"/>
              <w:rPr>
                <w:sz w:val="24"/>
                <w:szCs w:val="24"/>
              </w:rPr>
            </w:pPr>
            <w:r w:rsidRPr="00025EEC">
              <w:rPr>
                <w:sz w:val="24"/>
                <w:szCs w:val="24"/>
              </w:rPr>
              <w:t>Mean 2023 FAQ Production</w:t>
            </w:r>
          </w:p>
        </w:tc>
        <w:tc>
          <w:tcPr>
            <w:tcW w:w="1291" w:type="pct"/>
          </w:tcPr>
          <w:p w14:paraId="3CD3F195" w14:textId="77777777" w:rsidR="00C07297" w:rsidRPr="00025EEC" w:rsidRDefault="00000000" w:rsidP="00025EEC">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25EEC">
              <w:rPr>
                <w:sz w:val="24"/>
                <w:szCs w:val="24"/>
              </w:rPr>
              <w:t>850 kg</w:t>
            </w:r>
          </w:p>
        </w:tc>
        <w:tc>
          <w:tcPr>
            <w:cnfStyle w:val="000010000000" w:firstRow="0" w:lastRow="0" w:firstColumn="0" w:lastColumn="0" w:oddVBand="1" w:evenVBand="0" w:oddHBand="0" w:evenHBand="0" w:firstRowFirstColumn="0" w:firstRowLastColumn="0" w:lastRowFirstColumn="0" w:lastRowLastColumn="0"/>
            <w:tcW w:w="1291" w:type="pct"/>
          </w:tcPr>
          <w:p w14:paraId="29E7B739" w14:textId="77777777" w:rsidR="00C07297" w:rsidRPr="00025EEC" w:rsidRDefault="00000000" w:rsidP="00025EEC">
            <w:pPr>
              <w:spacing w:before="60" w:after="100" w:line="276" w:lineRule="auto"/>
              <w:jc w:val="both"/>
              <w:rPr>
                <w:sz w:val="24"/>
                <w:szCs w:val="24"/>
              </w:rPr>
            </w:pPr>
            <w:r w:rsidRPr="00025EEC">
              <w:rPr>
                <w:sz w:val="24"/>
                <w:szCs w:val="24"/>
              </w:rPr>
              <w:t>1,056 kg</w:t>
            </w:r>
          </w:p>
        </w:tc>
      </w:tr>
      <w:tr w:rsidR="00C07297" w:rsidRPr="00025EEC" w14:paraId="3EC91B47" w14:textId="77777777" w:rsidTr="00025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8" w:type="pct"/>
          </w:tcPr>
          <w:p w14:paraId="1F16C310" w14:textId="77777777" w:rsidR="00C07297" w:rsidRPr="00025EEC" w:rsidRDefault="00000000" w:rsidP="00025EEC">
            <w:pPr>
              <w:spacing w:before="60" w:after="100" w:line="276" w:lineRule="auto"/>
              <w:jc w:val="both"/>
              <w:rPr>
                <w:sz w:val="24"/>
                <w:szCs w:val="24"/>
              </w:rPr>
            </w:pPr>
            <w:r w:rsidRPr="00025EEC">
              <w:rPr>
                <w:sz w:val="24"/>
                <w:szCs w:val="24"/>
              </w:rPr>
              <w:t>Mobile Money Access</w:t>
            </w:r>
          </w:p>
        </w:tc>
        <w:tc>
          <w:tcPr>
            <w:tcW w:w="1291" w:type="pct"/>
          </w:tcPr>
          <w:p w14:paraId="4745F84E" w14:textId="77777777" w:rsidR="00C07297" w:rsidRPr="00025EEC" w:rsidRDefault="00000000"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25EEC">
              <w:rPr>
                <w:sz w:val="24"/>
                <w:szCs w:val="24"/>
              </w:rPr>
              <w:t>83.3%</w:t>
            </w:r>
          </w:p>
        </w:tc>
        <w:tc>
          <w:tcPr>
            <w:cnfStyle w:val="000010000000" w:firstRow="0" w:lastRow="0" w:firstColumn="0" w:lastColumn="0" w:oddVBand="1" w:evenVBand="0" w:oddHBand="0" w:evenHBand="0" w:firstRowFirstColumn="0" w:firstRowLastColumn="0" w:lastRowFirstColumn="0" w:lastRowLastColumn="0"/>
            <w:tcW w:w="1291" w:type="pct"/>
          </w:tcPr>
          <w:p w14:paraId="6253AAB7" w14:textId="77777777" w:rsidR="00C07297" w:rsidRPr="00025EEC" w:rsidRDefault="00000000" w:rsidP="00025EEC">
            <w:pPr>
              <w:spacing w:before="60" w:after="100" w:line="276" w:lineRule="auto"/>
              <w:jc w:val="both"/>
              <w:rPr>
                <w:sz w:val="24"/>
                <w:szCs w:val="24"/>
              </w:rPr>
            </w:pPr>
            <w:r w:rsidRPr="00025EEC">
              <w:rPr>
                <w:sz w:val="24"/>
                <w:szCs w:val="24"/>
              </w:rPr>
              <w:t>70.9%</w:t>
            </w:r>
          </w:p>
        </w:tc>
      </w:tr>
      <w:tr w:rsidR="00C07297" w:rsidRPr="00025EEC" w14:paraId="3501F000" w14:textId="77777777" w:rsidTr="00025EEC">
        <w:tc>
          <w:tcPr>
            <w:cnfStyle w:val="000010000000" w:firstRow="0" w:lastRow="0" w:firstColumn="0" w:lastColumn="0" w:oddVBand="1" w:evenVBand="0" w:oddHBand="0" w:evenHBand="0" w:firstRowFirstColumn="0" w:firstRowLastColumn="0" w:lastRowFirstColumn="0" w:lastRowLastColumn="0"/>
            <w:tcW w:w="2418" w:type="pct"/>
          </w:tcPr>
          <w:p w14:paraId="442842BE" w14:textId="77777777" w:rsidR="00C07297" w:rsidRPr="00025EEC" w:rsidRDefault="00000000" w:rsidP="00025EEC">
            <w:pPr>
              <w:spacing w:before="60" w:after="100" w:line="276" w:lineRule="auto"/>
              <w:jc w:val="both"/>
              <w:rPr>
                <w:sz w:val="24"/>
                <w:szCs w:val="24"/>
              </w:rPr>
            </w:pPr>
            <w:r w:rsidRPr="00025EEC">
              <w:rPr>
                <w:sz w:val="24"/>
                <w:szCs w:val="24"/>
              </w:rPr>
              <w:t>% Paying Minimum Wage</w:t>
            </w:r>
          </w:p>
        </w:tc>
        <w:tc>
          <w:tcPr>
            <w:tcW w:w="1291" w:type="pct"/>
          </w:tcPr>
          <w:p w14:paraId="57954598" w14:textId="77777777" w:rsidR="00C07297" w:rsidRPr="00025EEC" w:rsidRDefault="00000000" w:rsidP="00025EEC">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25EEC">
              <w:rPr>
                <w:sz w:val="24"/>
                <w:szCs w:val="24"/>
              </w:rPr>
              <w:t>100%</w:t>
            </w:r>
          </w:p>
        </w:tc>
        <w:tc>
          <w:tcPr>
            <w:cnfStyle w:val="000010000000" w:firstRow="0" w:lastRow="0" w:firstColumn="0" w:lastColumn="0" w:oddVBand="1" w:evenVBand="0" w:oddHBand="0" w:evenHBand="0" w:firstRowFirstColumn="0" w:firstRowLastColumn="0" w:lastRowFirstColumn="0" w:lastRowLastColumn="0"/>
            <w:tcW w:w="1291" w:type="pct"/>
          </w:tcPr>
          <w:p w14:paraId="149BB881" w14:textId="77777777" w:rsidR="00C07297" w:rsidRPr="00025EEC" w:rsidRDefault="00000000" w:rsidP="00025EEC">
            <w:pPr>
              <w:spacing w:before="60" w:after="100" w:line="276" w:lineRule="auto"/>
              <w:jc w:val="both"/>
              <w:rPr>
                <w:sz w:val="24"/>
                <w:szCs w:val="24"/>
              </w:rPr>
            </w:pPr>
            <w:r w:rsidRPr="00025EEC">
              <w:rPr>
                <w:sz w:val="24"/>
                <w:szCs w:val="24"/>
              </w:rPr>
              <w:t>99.8%</w:t>
            </w:r>
          </w:p>
        </w:tc>
      </w:tr>
      <w:tr w:rsidR="00C07297" w:rsidRPr="00025EEC" w14:paraId="6FCF4AEB" w14:textId="77777777" w:rsidTr="00025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8" w:type="pct"/>
          </w:tcPr>
          <w:p w14:paraId="26610040" w14:textId="77777777" w:rsidR="00C07297" w:rsidRPr="00025EEC" w:rsidRDefault="00000000" w:rsidP="00025EEC">
            <w:pPr>
              <w:spacing w:before="60" w:after="100" w:line="276" w:lineRule="auto"/>
              <w:jc w:val="both"/>
              <w:rPr>
                <w:sz w:val="24"/>
                <w:szCs w:val="24"/>
              </w:rPr>
            </w:pPr>
            <w:r w:rsidRPr="00025EEC">
              <w:rPr>
                <w:sz w:val="24"/>
                <w:szCs w:val="24"/>
              </w:rPr>
              <w:t>Female Worker Ratio</w:t>
            </w:r>
          </w:p>
        </w:tc>
        <w:tc>
          <w:tcPr>
            <w:tcW w:w="1291" w:type="pct"/>
          </w:tcPr>
          <w:p w14:paraId="72535F54" w14:textId="77777777" w:rsidR="00C07297" w:rsidRPr="00025EEC" w:rsidRDefault="00000000"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25EEC">
              <w:rPr>
                <w:sz w:val="24"/>
                <w:szCs w:val="24"/>
              </w:rPr>
              <w:t>45.9%</w:t>
            </w:r>
          </w:p>
        </w:tc>
        <w:tc>
          <w:tcPr>
            <w:cnfStyle w:val="000010000000" w:firstRow="0" w:lastRow="0" w:firstColumn="0" w:lastColumn="0" w:oddVBand="1" w:evenVBand="0" w:oddHBand="0" w:evenHBand="0" w:firstRowFirstColumn="0" w:firstRowLastColumn="0" w:lastRowFirstColumn="0" w:lastRowLastColumn="0"/>
            <w:tcW w:w="1291" w:type="pct"/>
          </w:tcPr>
          <w:p w14:paraId="037D0FAE" w14:textId="77777777" w:rsidR="00C07297" w:rsidRPr="00025EEC" w:rsidRDefault="00000000" w:rsidP="00025EEC">
            <w:pPr>
              <w:spacing w:before="60" w:after="100" w:line="276" w:lineRule="auto"/>
              <w:jc w:val="both"/>
              <w:rPr>
                <w:sz w:val="24"/>
                <w:szCs w:val="24"/>
              </w:rPr>
            </w:pPr>
            <w:r w:rsidRPr="00025EEC">
              <w:rPr>
                <w:sz w:val="24"/>
                <w:szCs w:val="24"/>
              </w:rPr>
              <w:t>40.9%</w:t>
            </w:r>
          </w:p>
        </w:tc>
      </w:tr>
    </w:tbl>
    <w:p w14:paraId="7175EE5D" w14:textId="175AD5AB" w:rsidR="00890F55" w:rsidRPr="00025EEC" w:rsidRDefault="00000000" w:rsidP="00025EEC">
      <w:pPr>
        <w:spacing w:before="60" w:after="100" w:line="276" w:lineRule="auto"/>
        <w:jc w:val="both"/>
        <w:rPr>
          <w:sz w:val="24"/>
          <w:szCs w:val="24"/>
        </w:rPr>
      </w:pPr>
      <w:r w:rsidRPr="00025EEC">
        <w:rPr>
          <w:sz w:val="24"/>
          <w:szCs w:val="24"/>
        </w:rPr>
        <w:t xml:space="preserve">Cooperative members hold larger farms and have better financial integration (83% mobile money access vs 71% for non-members), yet their mean FAQ output is actually lower  likely because their larger farms contain a higher proportion of non-coffee crops. </w:t>
      </w:r>
      <w:r w:rsidR="00890F55">
        <w:rPr>
          <w:sz w:val="24"/>
          <w:szCs w:val="24"/>
        </w:rPr>
        <w:t>Majority</w:t>
      </w:r>
      <w:r w:rsidRPr="00025EEC">
        <w:rPr>
          <w:sz w:val="24"/>
          <w:szCs w:val="24"/>
        </w:rPr>
        <w:t xml:space="preserve"> of X's coffee volume flows through non-member farmers selling to independent suppliers (66%) and local traders (21%). Growing cooperative membership among high-productivity smallholders could significantly improve supply chain traceability and compliance verification. A targeted cooperative enrolment programme in Kayunga  where volume is highest  is a concrete opportunity.</w:t>
      </w:r>
    </w:p>
    <w:p w14:paraId="464F9E29" w14:textId="1BD18451" w:rsidR="00C07297" w:rsidRPr="00025EEC" w:rsidRDefault="00000000" w:rsidP="00025EEC">
      <w:pPr>
        <w:spacing w:before="60" w:after="100" w:line="276" w:lineRule="auto"/>
        <w:rPr>
          <w:b/>
          <w:bCs/>
          <w:sz w:val="24"/>
          <w:szCs w:val="24"/>
        </w:rPr>
      </w:pPr>
      <w:r w:rsidRPr="00025EEC">
        <w:rPr>
          <w:b/>
          <w:bCs/>
          <w:sz w:val="24"/>
          <w:szCs w:val="24"/>
        </w:rPr>
        <w:t>KEY INSIGHT 3  LABOUR COMPLIANCE IS STRONG, WITH ONE LOCALISED GAP</w:t>
      </w:r>
    </w:p>
    <w:tbl>
      <w:tblPr>
        <w:tblStyle w:val="PlainTable1"/>
        <w:tblW w:w="5000" w:type="pct"/>
        <w:tblLook w:val="0000" w:firstRow="0" w:lastRow="0" w:firstColumn="0" w:lastColumn="0" w:noHBand="0" w:noVBand="0"/>
      </w:tblPr>
      <w:tblGrid>
        <w:gridCol w:w="1493"/>
        <w:gridCol w:w="8217"/>
      </w:tblGrid>
      <w:tr w:rsidR="00C07297" w:rsidRPr="00025EEC" w14:paraId="3675827D" w14:textId="77777777" w:rsidTr="00025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9" w:type="pct"/>
          </w:tcPr>
          <w:p w14:paraId="77736C86" w14:textId="77777777" w:rsidR="00C07297" w:rsidRPr="00025EEC" w:rsidRDefault="00000000" w:rsidP="00025EEC">
            <w:pPr>
              <w:spacing w:before="60" w:after="100" w:line="276" w:lineRule="auto"/>
              <w:jc w:val="both"/>
              <w:rPr>
                <w:sz w:val="24"/>
                <w:szCs w:val="24"/>
              </w:rPr>
            </w:pPr>
            <w:r w:rsidRPr="00025EEC">
              <w:rPr>
                <w:sz w:val="24"/>
                <w:szCs w:val="24"/>
              </w:rPr>
              <w:t>FINDING</w:t>
            </w:r>
          </w:p>
        </w:tc>
        <w:tc>
          <w:tcPr>
            <w:tcW w:w="4231" w:type="pct"/>
          </w:tcPr>
          <w:p w14:paraId="001B681B" w14:textId="3A51BFDA" w:rsidR="00C07297" w:rsidRPr="00025EEC" w:rsidRDefault="00890F55"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890F55">
              <w:rPr>
                <w:sz w:val="24"/>
                <w:szCs w:val="24"/>
              </w:rPr>
              <w:t>None of the 1,921 consented records found any confirmed incidents of child or underage labour. The compliance with minimum wage is almost universal (99.8%). Nonetheless, Nakaseke is an area of concern in terms of compliance: The percentage of Nakaseke farmers (5 of 52 records who consented) who say their workers are not fully aware of their rights and duties is almost ten times as high (9.6%).. Another 5.8% of Nakaseke farms indicated that workers did not always work 48 hours per week. The zero flags of all the three labour indicators are displayed by Kayunga and Mukono.</w:t>
            </w:r>
          </w:p>
        </w:tc>
      </w:tr>
    </w:tbl>
    <w:p w14:paraId="269D030C" w14:textId="668E7503" w:rsidR="00890F55" w:rsidRPr="00025EEC" w:rsidRDefault="00890F55" w:rsidP="00025EEC">
      <w:pPr>
        <w:spacing w:before="60" w:after="100" w:line="276" w:lineRule="auto"/>
        <w:jc w:val="both"/>
        <w:rPr>
          <w:sz w:val="24"/>
          <w:szCs w:val="24"/>
        </w:rPr>
      </w:pPr>
      <w:r w:rsidRPr="00890F55">
        <w:rPr>
          <w:sz w:val="24"/>
          <w:szCs w:val="24"/>
        </w:rPr>
        <w:t>The general labour outlook is good and needs to be emphasized as a strength of the chain of supply no child labour and almost universal compliance with wage standards are attributes that are important to customers and accreditation authorities. But the gap in the rights-awareness is an expert risk in Nakaseke. This concentrated exposure would be mitigated through a brief training to Nakaseke farmers on worker rights documentation before any third-party audit or a visit by a buyer.</w:t>
      </w:r>
    </w:p>
    <w:p w14:paraId="73CD3C81" w14:textId="77777777" w:rsidR="00C07297" w:rsidRPr="00025EEC" w:rsidRDefault="00000000" w:rsidP="00025EEC">
      <w:pPr>
        <w:spacing w:before="60" w:after="100" w:line="276" w:lineRule="auto"/>
        <w:rPr>
          <w:b/>
          <w:bCs/>
          <w:sz w:val="24"/>
          <w:szCs w:val="24"/>
        </w:rPr>
      </w:pPr>
      <w:r w:rsidRPr="00025EEC">
        <w:rPr>
          <w:b/>
          <w:bCs/>
          <w:sz w:val="24"/>
          <w:szCs w:val="24"/>
        </w:rPr>
        <w:t>DATA LIMITATIONS</w:t>
      </w:r>
    </w:p>
    <w:p w14:paraId="749AC06D" w14:textId="00321162" w:rsidR="00C07297" w:rsidRPr="00025EEC" w:rsidRDefault="00000000" w:rsidP="00025EEC">
      <w:pPr>
        <w:spacing w:before="60" w:after="100" w:line="276" w:lineRule="auto"/>
        <w:jc w:val="both"/>
        <w:rPr>
          <w:sz w:val="24"/>
          <w:szCs w:val="24"/>
        </w:rPr>
      </w:pPr>
      <w:r w:rsidRPr="00025EEC">
        <w:rPr>
          <w:sz w:val="24"/>
          <w:szCs w:val="24"/>
        </w:rPr>
        <w:t>The findings in this briefing are drawn from a real-world field survey and carry the quality characteristics typical of large-scale agricultural data collection. Three issues are important to flag before acting on these findings:</w:t>
      </w:r>
    </w:p>
    <w:tbl>
      <w:tblPr>
        <w:tblStyle w:val="PlainTable1"/>
        <w:tblW w:w="5000" w:type="pct"/>
        <w:tblLook w:val="0000" w:firstRow="0" w:lastRow="0" w:firstColumn="0" w:lastColumn="0" w:noHBand="0" w:noVBand="0"/>
      </w:tblPr>
      <w:tblGrid>
        <w:gridCol w:w="641"/>
        <w:gridCol w:w="9069"/>
      </w:tblGrid>
      <w:tr w:rsidR="00C07297" w:rsidRPr="00025EEC" w14:paraId="19E7FA1E" w14:textId="77777777" w:rsidTr="00025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0" w:type="pct"/>
          </w:tcPr>
          <w:p w14:paraId="6FD4FBCC" w14:textId="77777777" w:rsidR="00C07297" w:rsidRPr="00025EEC" w:rsidRDefault="00000000" w:rsidP="00025EEC">
            <w:pPr>
              <w:spacing w:before="60" w:after="100" w:line="276" w:lineRule="auto"/>
              <w:jc w:val="both"/>
              <w:rPr>
                <w:sz w:val="24"/>
                <w:szCs w:val="24"/>
              </w:rPr>
            </w:pPr>
            <w:r w:rsidRPr="00025EEC">
              <w:rPr>
                <w:sz w:val="24"/>
                <w:szCs w:val="24"/>
              </w:rPr>
              <w:t>1</w:t>
            </w:r>
          </w:p>
        </w:tc>
        <w:tc>
          <w:tcPr>
            <w:tcW w:w="4670" w:type="pct"/>
          </w:tcPr>
          <w:p w14:paraId="58CCB805" w14:textId="267A8E22" w:rsidR="00C07297" w:rsidRPr="00025EEC" w:rsidRDefault="00000000"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25EEC">
              <w:rPr>
                <w:sz w:val="24"/>
                <w:szCs w:val="24"/>
              </w:rPr>
              <w:t>Missing 2022 Production Data  Treat Year-on-Year Comparisons with Caution</w:t>
            </w:r>
          </w:p>
          <w:p w14:paraId="40BC7BD9" w14:textId="4F61129A" w:rsidR="00C07297" w:rsidRPr="00025EEC" w:rsidRDefault="00890F55"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890F55">
              <w:rPr>
                <w:sz w:val="24"/>
                <w:szCs w:val="24"/>
              </w:rPr>
              <w:t xml:space="preserve">520 of 2,374 records (21.9%) have no 2022 FAQ or Kiboko production data. This means 2022 district totals are based on partial samples, making any percentage change figure particularly for Nakaseke (+4,636%) unreliable as a measure of </w:t>
            </w:r>
            <w:r w:rsidRPr="00890F55">
              <w:rPr>
                <w:sz w:val="24"/>
                <w:szCs w:val="24"/>
              </w:rPr>
              <w:lastRenderedPageBreak/>
              <w:t xml:space="preserve">genuine </w:t>
            </w:r>
            <w:proofErr w:type="spellStart"/>
            <w:r w:rsidRPr="00890F55">
              <w:rPr>
                <w:sz w:val="24"/>
                <w:szCs w:val="24"/>
              </w:rPr>
              <w:t>growth.h</w:t>
            </w:r>
            <w:proofErr w:type="spellEnd"/>
            <w:r w:rsidRPr="00890F55">
              <w:rPr>
                <w:sz w:val="24"/>
                <w:szCs w:val="24"/>
              </w:rPr>
              <w:t>. Future data collection should confirm the year on year trends where both the years are recorded in a regular collection round.</w:t>
            </w:r>
          </w:p>
        </w:tc>
      </w:tr>
    </w:tbl>
    <w:p w14:paraId="737312E8" w14:textId="77777777" w:rsidR="00C07297" w:rsidRPr="00025EEC" w:rsidRDefault="00C07297" w:rsidP="00025EEC">
      <w:pPr>
        <w:spacing w:before="60" w:after="100" w:line="276" w:lineRule="auto"/>
        <w:jc w:val="both"/>
        <w:rPr>
          <w:sz w:val="24"/>
          <w:szCs w:val="24"/>
        </w:rPr>
      </w:pPr>
    </w:p>
    <w:tbl>
      <w:tblPr>
        <w:tblStyle w:val="PlainTable1"/>
        <w:tblW w:w="5000" w:type="pct"/>
        <w:tblLook w:val="0000" w:firstRow="0" w:lastRow="0" w:firstColumn="0" w:lastColumn="0" w:noHBand="0" w:noVBand="0"/>
      </w:tblPr>
      <w:tblGrid>
        <w:gridCol w:w="641"/>
        <w:gridCol w:w="9069"/>
      </w:tblGrid>
      <w:tr w:rsidR="00C07297" w:rsidRPr="00025EEC" w14:paraId="69E0B6A8" w14:textId="77777777" w:rsidTr="00025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0" w:type="pct"/>
          </w:tcPr>
          <w:p w14:paraId="20A94F76" w14:textId="77777777" w:rsidR="00C07297" w:rsidRPr="00025EEC" w:rsidRDefault="00000000" w:rsidP="00025EEC">
            <w:pPr>
              <w:spacing w:before="60" w:after="100" w:line="276" w:lineRule="auto"/>
              <w:jc w:val="both"/>
              <w:rPr>
                <w:sz w:val="24"/>
                <w:szCs w:val="24"/>
              </w:rPr>
            </w:pPr>
            <w:r w:rsidRPr="00025EEC">
              <w:rPr>
                <w:sz w:val="24"/>
                <w:szCs w:val="24"/>
              </w:rPr>
              <w:t>2</w:t>
            </w:r>
          </w:p>
        </w:tc>
        <w:tc>
          <w:tcPr>
            <w:tcW w:w="4670" w:type="pct"/>
          </w:tcPr>
          <w:p w14:paraId="1A5A1B0A" w14:textId="77777777" w:rsidR="00C07297" w:rsidRPr="00025EEC" w:rsidRDefault="00000000"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25EEC">
              <w:rPr>
                <w:sz w:val="24"/>
                <w:szCs w:val="24"/>
              </w:rPr>
              <w:t>Kiboko Production Figures May Be Unreliable</w:t>
            </w:r>
          </w:p>
          <w:p w14:paraId="0DCC18D1" w14:textId="0C2A1FBA" w:rsidR="00C07297" w:rsidRPr="00025EEC" w:rsidRDefault="00890F55"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890F55">
              <w:rPr>
                <w:sz w:val="24"/>
                <w:szCs w:val="24"/>
              </w:rPr>
              <w:t>A check of the analysis established that 58% of the farmers reported the same Kiboko production volumes in both the 2022 and 2023 a statistical trend that is a strong indicator that field enumerators copied previous-year data instead of gathering new answers.. The Kiboko production in any report must be considered as tentative until this has been investigated and, where this is necessary, data re-collected in such affected areas.</w:t>
            </w:r>
          </w:p>
        </w:tc>
      </w:tr>
    </w:tbl>
    <w:p w14:paraId="6CCC35BA" w14:textId="77777777" w:rsidR="00C07297" w:rsidRPr="00025EEC" w:rsidRDefault="00C07297" w:rsidP="00025EEC">
      <w:pPr>
        <w:spacing w:before="60" w:after="100" w:line="276" w:lineRule="auto"/>
        <w:jc w:val="both"/>
        <w:rPr>
          <w:sz w:val="24"/>
          <w:szCs w:val="24"/>
        </w:rPr>
      </w:pPr>
    </w:p>
    <w:tbl>
      <w:tblPr>
        <w:tblStyle w:val="PlainTable1"/>
        <w:tblW w:w="5000" w:type="pct"/>
        <w:tblLook w:val="0000" w:firstRow="0" w:lastRow="0" w:firstColumn="0" w:lastColumn="0" w:noHBand="0" w:noVBand="0"/>
      </w:tblPr>
      <w:tblGrid>
        <w:gridCol w:w="641"/>
        <w:gridCol w:w="9069"/>
      </w:tblGrid>
      <w:tr w:rsidR="00C07297" w:rsidRPr="00025EEC" w14:paraId="4ADAB58B" w14:textId="77777777" w:rsidTr="00025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0" w:type="pct"/>
          </w:tcPr>
          <w:p w14:paraId="71361395" w14:textId="77777777" w:rsidR="00C07297" w:rsidRPr="00025EEC" w:rsidRDefault="00000000" w:rsidP="00025EEC">
            <w:pPr>
              <w:spacing w:before="60" w:after="100" w:line="276" w:lineRule="auto"/>
              <w:jc w:val="both"/>
              <w:rPr>
                <w:sz w:val="24"/>
                <w:szCs w:val="24"/>
              </w:rPr>
            </w:pPr>
            <w:r w:rsidRPr="00025EEC">
              <w:rPr>
                <w:sz w:val="24"/>
                <w:szCs w:val="24"/>
              </w:rPr>
              <w:t>3</w:t>
            </w:r>
          </w:p>
        </w:tc>
        <w:tc>
          <w:tcPr>
            <w:tcW w:w="4670" w:type="pct"/>
          </w:tcPr>
          <w:p w14:paraId="429A3470" w14:textId="77777777" w:rsidR="00C07297" w:rsidRPr="00025EEC" w:rsidRDefault="00000000"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25EEC">
              <w:rPr>
                <w:sz w:val="24"/>
                <w:szCs w:val="24"/>
              </w:rPr>
              <w:t>445 Farmer Records Lack Documented Consent</w:t>
            </w:r>
          </w:p>
          <w:p w14:paraId="30DA8986" w14:textId="0DA5DD30" w:rsidR="00C07297" w:rsidRPr="00025EEC" w:rsidRDefault="00890F55" w:rsidP="00025EEC">
            <w:pPr>
              <w:spacing w:before="60" w:after="1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890F55">
              <w:rPr>
                <w:sz w:val="24"/>
                <w:szCs w:val="24"/>
              </w:rPr>
              <w:t xml:space="preserve">18.7% of all records do not have a confirmed consent form on file. These records are not subject to analysis in compliance-sensitive analysis in this briefing, and may not be relied upon in any manner that will involve documented farmer permission such as some manner of client reporting or </w:t>
            </w:r>
            <w:r w:rsidRPr="00890F55">
              <w:rPr>
                <w:sz w:val="24"/>
                <w:szCs w:val="24"/>
              </w:rPr>
              <w:t>certification.</w:t>
            </w:r>
            <w:r w:rsidRPr="00025EEC">
              <w:rPr>
                <w:sz w:val="24"/>
                <w:szCs w:val="24"/>
              </w:rPr>
              <w:t xml:space="preserve"> The</w:t>
            </w:r>
            <w:r w:rsidR="00000000" w:rsidRPr="00025EEC">
              <w:rPr>
                <w:sz w:val="24"/>
                <w:szCs w:val="24"/>
              </w:rPr>
              <w:t xml:space="preserve"> data team is working to verify these records</w:t>
            </w:r>
            <w:r>
              <w:rPr>
                <w:sz w:val="24"/>
                <w:szCs w:val="24"/>
              </w:rPr>
              <w:t>.</w:t>
            </w:r>
          </w:p>
        </w:tc>
      </w:tr>
    </w:tbl>
    <w:p w14:paraId="4373637F" w14:textId="77777777" w:rsidR="00C07297" w:rsidRPr="00025EEC" w:rsidRDefault="00C07297" w:rsidP="00025EEC">
      <w:pPr>
        <w:spacing w:after="60" w:line="276" w:lineRule="auto"/>
        <w:rPr>
          <w:sz w:val="24"/>
          <w:szCs w:val="24"/>
        </w:rPr>
      </w:pPr>
    </w:p>
    <w:p w14:paraId="345E1AAC" w14:textId="77777777" w:rsidR="00C07297" w:rsidRPr="00025EEC" w:rsidRDefault="00000000" w:rsidP="00025EEC">
      <w:pPr>
        <w:spacing w:before="60" w:after="100" w:line="276" w:lineRule="auto"/>
        <w:rPr>
          <w:b/>
          <w:bCs/>
          <w:sz w:val="24"/>
          <w:szCs w:val="24"/>
        </w:rPr>
      </w:pPr>
      <w:r w:rsidRPr="00025EEC">
        <w:rPr>
          <w:b/>
          <w:bCs/>
          <w:sz w:val="24"/>
          <w:szCs w:val="24"/>
        </w:rPr>
        <w:t>RECOMMENDED NEXT STEP</w:t>
      </w:r>
    </w:p>
    <w:tbl>
      <w:tblPr>
        <w:tblStyle w:val="PlainTable1"/>
        <w:tblW w:w="5000" w:type="pct"/>
        <w:tblLook w:val="0000" w:firstRow="0" w:lastRow="0" w:firstColumn="0" w:lastColumn="0" w:noHBand="0" w:noVBand="0"/>
      </w:tblPr>
      <w:tblGrid>
        <w:gridCol w:w="9710"/>
      </w:tblGrid>
      <w:tr w:rsidR="00C07297" w:rsidRPr="00025EEC" w14:paraId="75264E4B" w14:textId="77777777" w:rsidTr="00025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00" w:type="pct"/>
          </w:tcPr>
          <w:p w14:paraId="1932183F" w14:textId="322B96E0" w:rsidR="00C07297" w:rsidRPr="00025EEC" w:rsidRDefault="00000000" w:rsidP="00025EEC">
            <w:pPr>
              <w:spacing w:before="60" w:after="100" w:line="276" w:lineRule="auto"/>
              <w:jc w:val="both"/>
              <w:rPr>
                <w:sz w:val="24"/>
                <w:szCs w:val="24"/>
              </w:rPr>
            </w:pPr>
            <w:r w:rsidRPr="00025EEC">
              <w:rPr>
                <w:sz w:val="24"/>
                <w:szCs w:val="24"/>
              </w:rPr>
              <w:t>Immediate</w:t>
            </w:r>
            <w:r w:rsidR="00890F55">
              <w:rPr>
                <w:sz w:val="24"/>
                <w:szCs w:val="24"/>
              </w:rPr>
              <w:t xml:space="preserve"> Action</w:t>
            </w:r>
            <w:r w:rsidRPr="00025EEC">
              <w:rPr>
                <w:sz w:val="24"/>
                <w:szCs w:val="24"/>
              </w:rPr>
              <w:t>: Investigate Kayunga Yield Decline</w:t>
            </w:r>
          </w:p>
          <w:p w14:paraId="171F0399" w14:textId="77777777" w:rsidR="00890F55" w:rsidRDefault="00890F55" w:rsidP="00025EEC">
            <w:pPr>
              <w:spacing w:before="60" w:after="100" w:line="276" w:lineRule="auto"/>
              <w:jc w:val="both"/>
              <w:rPr>
                <w:sz w:val="24"/>
                <w:szCs w:val="24"/>
              </w:rPr>
            </w:pPr>
            <w:r w:rsidRPr="00890F55">
              <w:rPr>
                <w:sz w:val="24"/>
                <w:szCs w:val="24"/>
              </w:rPr>
              <w:t>The most significant result in this dataset is the 11% reduction in the mean production of FAQ in Kayunga since Kayunga is half of all the farmers profiled and the biggest volume in the supply chain. The field crew of X should carry out a specific interview with 50-100 Kayunga farmers, whose production reduced the most drastically, before the next planting or harvesting season, and this time around, they should answer three questions:</w:t>
            </w:r>
          </w:p>
          <w:p w14:paraId="6853E467" w14:textId="09F0BCE7" w:rsidR="00C07297" w:rsidRPr="00890F55" w:rsidRDefault="00000000" w:rsidP="00890F55">
            <w:pPr>
              <w:pStyle w:val="ListParagraph"/>
              <w:numPr>
                <w:ilvl w:val="0"/>
                <w:numId w:val="3"/>
              </w:numPr>
              <w:spacing w:before="60" w:after="100" w:line="276" w:lineRule="auto"/>
              <w:jc w:val="both"/>
              <w:rPr>
                <w:sz w:val="24"/>
                <w:szCs w:val="24"/>
              </w:rPr>
            </w:pPr>
            <w:r w:rsidRPr="00890F55">
              <w:rPr>
                <w:sz w:val="24"/>
                <w:szCs w:val="24"/>
              </w:rPr>
              <w:t>Did rainfall or weather events disrupt the 2023 season in their area?</w:t>
            </w:r>
          </w:p>
          <w:p w14:paraId="756E2F3D" w14:textId="1337E386" w:rsidR="00C07297" w:rsidRPr="00890F55" w:rsidRDefault="00000000" w:rsidP="00890F55">
            <w:pPr>
              <w:pStyle w:val="ListParagraph"/>
              <w:numPr>
                <w:ilvl w:val="0"/>
                <w:numId w:val="3"/>
              </w:numPr>
              <w:spacing w:before="60" w:after="100" w:line="276" w:lineRule="auto"/>
              <w:jc w:val="both"/>
              <w:rPr>
                <w:sz w:val="24"/>
                <w:szCs w:val="24"/>
              </w:rPr>
            </w:pPr>
            <w:r w:rsidRPr="00890F55">
              <w:rPr>
                <w:sz w:val="24"/>
                <w:szCs w:val="24"/>
              </w:rPr>
              <w:t>Are their coffee trees ageing beyond peak productivity, and if so, what is the average tree age?</w:t>
            </w:r>
          </w:p>
          <w:p w14:paraId="1F171F9D" w14:textId="6898D0FD" w:rsidR="00C07297" w:rsidRPr="00890F55" w:rsidRDefault="00000000" w:rsidP="00890F55">
            <w:pPr>
              <w:pStyle w:val="ListParagraph"/>
              <w:numPr>
                <w:ilvl w:val="0"/>
                <w:numId w:val="3"/>
              </w:numPr>
              <w:spacing w:before="60" w:after="100" w:line="276" w:lineRule="auto"/>
              <w:jc w:val="both"/>
              <w:rPr>
                <w:sz w:val="24"/>
                <w:szCs w:val="24"/>
              </w:rPr>
            </w:pPr>
            <w:r w:rsidRPr="00890F55">
              <w:rPr>
                <w:sz w:val="24"/>
                <w:szCs w:val="24"/>
              </w:rPr>
              <w:t>Did they sell a portion of their production to a different buyer in 2023?</w:t>
            </w:r>
          </w:p>
          <w:p w14:paraId="5524859A" w14:textId="77777777" w:rsidR="00C07297" w:rsidRPr="00025EEC" w:rsidRDefault="00000000" w:rsidP="00025EEC">
            <w:pPr>
              <w:spacing w:before="60" w:after="100" w:line="276" w:lineRule="auto"/>
              <w:jc w:val="both"/>
              <w:rPr>
                <w:sz w:val="24"/>
                <w:szCs w:val="24"/>
              </w:rPr>
            </w:pPr>
            <w:r w:rsidRPr="00025EEC">
              <w:rPr>
                <w:sz w:val="24"/>
                <w:szCs w:val="24"/>
              </w:rPr>
              <w:t>The answers to these three questions will determine whether the decline is a one-season weather event (low risk), a structural productivity problem requiring a tree rejuvenation programme (medium-term investment), or a buyer diversification trend that directly threatens X's volume security (immediate commercial risk). This investigation should be completed before the next seasonal forecast is submitted to senior leadership.</w:t>
            </w:r>
          </w:p>
        </w:tc>
      </w:tr>
    </w:tbl>
    <w:p w14:paraId="7D1CDD21" w14:textId="3C57A6E7" w:rsidR="00C07297" w:rsidRPr="00025EEC" w:rsidRDefault="00C07297" w:rsidP="00025EEC">
      <w:pPr>
        <w:spacing w:before="60" w:after="100" w:line="276" w:lineRule="auto"/>
        <w:jc w:val="both"/>
        <w:cnfStyle w:val="000010100000" w:firstRow="0" w:lastRow="0" w:firstColumn="0" w:lastColumn="0" w:oddVBand="1" w:evenVBand="0" w:oddHBand="1" w:evenHBand="0" w:firstRowFirstColumn="0" w:firstRowLastColumn="0" w:lastRowFirstColumn="0" w:lastRowLastColumn="0"/>
        <w:rPr>
          <w:sz w:val="24"/>
          <w:szCs w:val="24"/>
        </w:rPr>
      </w:pPr>
    </w:p>
    <w:sectPr w:rsidR="00C07297" w:rsidRPr="00025EEC">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875B7" w14:textId="77777777" w:rsidR="000268D1" w:rsidRDefault="000268D1">
      <w:r>
        <w:separator/>
      </w:r>
    </w:p>
  </w:endnote>
  <w:endnote w:type="continuationSeparator" w:id="0">
    <w:p w14:paraId="2D210F46" w14:textId="77777777" w:rsidR="000268D1" w:rsidRDefault="00026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18514"/>
      <w:docPartObj>
        <w:docPartGallery w:val="Page Numbers (Bottom of Page)"/>
        <w:docPartUnique/>
      </w:docPartObj>
    </w:sdtPr>
    <w:sdtEndPr>
      <w:rPr>
        <w:noProof/>
      </w:rPr>
    </w:sdtEndPr>
    <w:sdtContent>
      <w:p w14:paraId="5484B656" w14:textId="1E2814A7" w:rsidR="00C3772C" w:rsidRDefault="00C377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E2F209" w14:textId="33AB7A6F" w:rsidR="00C07297" w:rsidRDefault="00C07297">
    <w:pPr>
      <w:pBdr>
        <w:top w:val="single" w:sz="4" w:space="1" w:color="BDD7EE"/>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657E3" w14:textId="77777777" w:rsidR="000268D1" w:rsidRDefault="000268D1">
      <w:r>
        <w:separator/>
      </w:r>
    </w:p>
  </w:footnote>
  <w:footnote w:type="continuationSeparator" w:id="0">
    <w:p w14:paraId="44ABCD2E" w14:textId="77777777" w:rsidR="000268D1" w:rsidRDefault="00026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1D98"/>
    <w:multiLevelType w:val="hybridMultilevel"/>
    <w:tmpl w:val="EBB2C57C"/>
    <w:lvl w:ilvl="0" w:tplc="D178A090">
      <w:start w:val="1"/>
      <w:numFmt w:val="bullet"/>
      <w:lvlText w:val="●"/>
      <w:lvlJc w:val="left"/>
      <w:pPr>
        <w:ind w:left="720" w:hanging="360"/>
      </w:pPr>
    </w:lvl>
    <w:lvl w:ilvl="1" w:tplc="30F81794">
      <w:start w:val="1"/>
      <w:numFmt w:val="bullet"/>
      <w:lvlText w:val="○"/>
      <w:lvlJc w:val="left"/>
      <w:pPr>
        <w:ind w:left="1440" w:hanging="360"/>
      </w:pPr>
    </w:lvl>
    <w:lvl w:ilvl="2" w:tplc="FBB87A56">
      <w:start w:val="1"/>
      <w:numFmt w:val="bullet"/>
      <w:lvlText w:val="■"/>
      <w:lvlJc w:val="left"/>
      <w:pPr>
        <w:ind w:left="2160" w:hanging="360"/>
      </w:pPr>
    </w:lvl>
    <w:lvl w:ilvl="3" w:tplc="B08C5FDA">
      <w:start w:val="1"/>
      <w:numFmt w:val="bullet"/>
      <w:lvlText w:val="●"/>
      <w:lvlJc w:val="left"/>
      <w:pPr>
        <w:ind w:left="2880" w:hanging="360"/>
      </w:pPr>
    </w:lvl>
    <w:lvl w:ilvl="4" w:tplc="A41665EA">
      <w:start w:val="1"/>
      <w:numFmt w:val="bullet"/>
      <w:lvlText w:val="○"/>
      <w:lvlJc w:val="left"/>
      <w:pPr>
        <w:ind w:left="3600" w:hanging="360"/>
      </w:pPr>
    </w:lvl>
    <w:lvl w:ilvl="5" w:tplc="5D061CCA">
      <w:start w:val="1"/>
      <w:numFmt w:val="bullet"/>
      <w:lvlText w:val="■"/>
      <w:lvlJc w:val="left"/>
      <w:pPr>
        <w:ind w:left="4320" w:hanging="360"/>
      </w:pPr>
    </w:lvl>
    <w:lvl w:ilvl="6" w:tplc="DBDAB280">
      <w:start w:val="1"/>
      <w:numFmt w:val="bullet"/>
      <w:lvlText w:val="●"/>
      <w:lvlJc w:val="left"/>
      <w:pPr>
        <w:ind w:left="5040" w:hanging="360"/>
      </w:pPr>
    </w:lvl>
    <w:lvl w:ilvl="7" w:tplc="83BC5AB6">
      <w:start w:val="1"/>
      <w:numFmt w:val="bullet"/>
      <w:lvlText w:val="●"/>
      <w:lvlJc w:val="left"/>
      <w:pPr>
        <w:ind w:left="5760" w:hanging="360"/>
      </w:pPr>
    </w:lvl>
    <w:lvl w:ilvl="8" w:tplc="80C20C5A">
      <w:start w:val="1"/>
      <w:numFmt w:val="bullet"/>
      <w:lvlText w:val="●"/>
      <w:lvlJc w:val="left"/>
      <w:pPr>
        <w:ind w:left="6480" w:hanging="360"/>
      </w:pPr>
    </w:lvl>
  </w:abstractNum>
  <w:abstractNum w:abstractNumId="1" w15:restartNumberingAfterBreak="0">
    <w:nsid w:val="1AE449F1"/>
    <w:multiLevelType w:val="hybridMultilevel"/>
    <w:tmpl w:val="F280A8E0"/>
    <w:lvl w:ilvl="0" w:tplc="4334AEFA">
      <w:start w:val="1"/>
      <w:numFmt w:val="bullet"/>
      <w:lvlText w:val="•"/>
      <w:lvlJc w:val="left"/>
      <w:pPr>
        <w:ind w:left="600" w:hanging="300"/>
      </w:pPr>
    </w:lvl>
    <w:lvl w:ilvl="1" w:tplc="2EACF01A">
      <w:numFmt w:val="decimal"/>
      <w:lvlText w:val=""/>
      <w:lvlJc w:val="left"/>
    </w:lvl>
    <w:lvl w:ilvl="2" w:tplc="A9C8D754">
      <w:numFmt w:val="decimal"/>
      <w:lvlText w:val=""/>
      <w:lvlJc w:val="left"/>
    </w:lvl>
    <w:lvl w:ilvl="3" w:tplc="3EE2E828">
      <w:numFmt w:val="decimal"/>
      <w:lvlText w:val=""/>
      <w:lvlJc w:val="left"/>
    </w:lvl>
    <w:lvl w:ilvl="4" w:tplc="F8AEEE8A">
      <w:numFmt w:val="decimal"/>
      <w:lvlText w:val=""/>
      <w:lvlJc w:val="left"/>
    </w:lvl>
    <w:lvl w:ilvl="5" w:tplc="DD3E3116">
      <w:numFmt w:val="decimal"/>
      <w:lvlText w:val=""/>
      <w:lvlJc w:val="left"/>
    </w:lvl>
    <w:lvl w:ilvl="6" w:tplc="A1327718">
      <w:numFmt w:val="decimal"/>
      <w:lvlText w:val=""/>
      <w:lvlJc w:val="left"/>
    </w:lvl>
    <w:lvl w:ilvl="7" w:tplc="34921476">
      <w:numFmt w:val="decimal"/>
      <w:lvlText w:val=""/>
      <w:lvlJc w:val="left"/>
    </w:lvl>
    <w:lvl w:ilvl="8" w:tplc="343C5402">
      <w:numFmt w:val="decimal"/>
      <w:lvlText w:val=""/>
      <w:lvlJc w:val="left"/>
    </w:lvl>
  </w:abstractNum>
  <w:abstractNum w:abstractNumId="2" w15:restartNumberingAfterBreak="0">
    <w:nsid w:val="5941694C"/>
    <w:multiLevelType w:val="hybridMultilevel"/>
    <w:tmpl w:val="BBC4F37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7F7C0155"/>
    <w:multiLevelType w:val="hybridMultilevel"/>
    <w:tmpl w:val="C3B23EF2"/>
    <w:lvl w:ilvl="0" w:tplc="86B6772E">
      <w:numFmt w:val="bullet"/>
      <w:lvlText w:val="•"/>
      <w:lvlJc w:val="left"/>
      <w:pPr>
        <w:ind w:left="720" w:hanging="360"/>
      </w:pPr>
      <w:rPr>
        <w:rFonts w:ascii="Arial" w:eastAsia="Arial"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342513852">
    <w:abstractNumId w:val="0"/>
    <w:lvlOverride w:ilvl="0">
      <w:startOverride w:val="1"/>
    </w:lvlOverride>
  </w:num>
  <w:num w:numId="2" w16cid:durableId="612053857">
    <w:abstractNumId w:val="2"/>
  </w:num>
  <w:num w:numId="3" w16cid:durableId="1975671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97"/>
    <w:rsid w:val="00025EEC"/>
    <w:rsid w:val="000268D1"/>
    <w:rsid w:val="00044D66"/>
    <w:rsid w:val="00890F55"/>
    <w:rsid w:val="00C07297"/>
    <w:rsid w:val="00C3772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98C8"/>
  <w15:docId w15:val="{FB3051F8-585E-4195-AA8B-50B361C7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772C"/>
    <w:pPr>
      <w:tabs>
        <w:tab w:val="center" w:pos="4513"/>
        <w:tab w:val="right" w:pos="9026"/>
      </w:tabs>
    </w:pPr>
  </w:style>
  <w:style w:type="character" w:customStyle="1" w:styleId="HeaderChar">
    <w:name w:val="Header Char"/>
    <w:basedOn w:val="DefaultParagraphFont"/>
    <w:link w:val="Header"/>
    <w:uiPriority w:val="99"/>
    <w:rsid w:val="00C3772C"/>
  </w:style>
  <w:style w:type="paragraph" w:styleId="Footer">
    <w:name w:val="footer"/>
    <w:basedOn w:val="Normal"/>
    <w:link w:val="FooterChar"/>
    <w:uiPriority w:val="99"/>
    <w:unhideWhenUsed/>
    <w:rsid w:val="00C3772C"/>
    <w:pPr>
      <w:tabs>
        <w:tab w:val="center" w:pos="4513"/>
        <w:tab w:val="right" w:pos="9026"/>
      </w:tabs>
    </w:pPr>
  </w:style>
  <w:style w:type="character" w:customStyle="1" w:styleId="FooterChar">
    <w:name w:val="Footer Char"/>
    <w:basedOn w:val="DefaultParagraphFont"/>
    <w:link w:val="Footer"/>
    <w:uiPriority w:val="99"/>
    <w:rsid w:val="00C3772C"/>
  </w:style>
  <w:style w:type="table" w:styleId="PlainTable1">
    <w:name w:val="Plain Table 1"/>
    <w:basedOn w:val="TableNormal"/>
    <w:uiPriority w:val="41"/>
    <w:rsid w:val="00025EE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1012</Words>
  <Characters>6267</Characters>
  <Application>Microsoft Office Word</Application>
  <DocSecurity>0</DocSecurity>
  <Lines>202</Lines>
  <Paragraphs>107</Paragraphs>
  <ScaleCrop>false</ScaleCrop>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Felix Otieno</cp:lastModifiedBy>
  <cp:revision>3</cp:revision>
  <dcterms:created xsi:type="dcterms:W3CDTF">2026-04-15T20:27:00Z</dcterms:created>
  <dcterms:modified xsi:type="dcterms:W3CDTF">2026-04-15T20:44:00Z</dcterms:modified>
</cp:coreProperties>
</file>