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E5B8" w14:textId="77777777" w:rsidR="000B317F" w:rsidRPr="00D461DF" w:rsidRDefault="000B317F" w:rsidP="000B317F">
      <w:pPr>
        <w:spacing w:after="160"/>
        <w:jc w:val="center"/>
        <w:rPr>
          <w:rFonts w:ascii="Times New Roman" w:hAnsi="Times New Roman" w:cs="Times New Roman"/>
          <w:b/>
          <w:bCs/>
          <w:sz w:val="28"/>
          <w:szCs w:val="28"/>
        </w:rPr>
      </w:pPr>
      <w:r w:rsidRPr="00D461DF">
        <w:rPr>
          <w:rFonts w:ascii="Times New Roman" w:hAnsi="Times New Roman" w:cs="Times New Roman"/>
          <w:b/>
          <w:bCs/>
          <w:sz w:val="28"/>
          <w:szCs w:val="28"/>
        </w:rPr>
        <w:t>Human-Aligned Hazardous Detection through Gaze-Constrained Learning: Mitigating Mesa-Objective Misalignment in Vision Models</w:t>
      </w:r>
    </w:p>
    <w:p w14:paraId="50057E5D" w14:textId="77777777" w:rsidR="000B317F" w:rsidRDefault="000B317F" w:rsidP="000B317F">
      <w:pPr>
        <w:spacing w:after="160"/>
        <w:jc w:val="center"/>
        <w:rPr>
          <w:rFonts w:ascii="Times New Roman" w:eastAsia="Times New Roman" w:hAnsi="Times New Roman" w:cs="Times New Roman"/>
        </w:rPr>
      </w:pPr>
      <w:r>
        <w:rPr>
          <w:rFonts w:ascii="Times New Roman" w:eastAsia="Times New Roman" w:hAnsi="Times New Roman" w:cs="Times New Roman"/>
        </w:rPr>
        <w:t>Lennox Anderson, Ahmed Boutar, Jonah Mulecrone, and Tal Erez</w:t>
      </w:r>
    </w:p>
    <w:p w14:paraId="7DCD8A4D" w14:textId="77777777" w:rsidR="000B317F" w:rsidRDefault="000B317F" w:rsidP="000B317F">
      <w:pPr>
        <w:spacing w:after="160"/>
        <w:jc w:val="center"/>
        <w:rPr>
          <w:rFonts w:ascii="Times New Roman" w:eastAsia="Times New Roman" w:hAnsi="Times New Roman" w:cs="Times New Roman"/>
        </w:rPr>
      </w:pPr>
    </w:p>
    <w:p w14:paraId="513FA7FA" w14:textId="77777777" w:rsidR="000B317F" w:rsidRDefault="000B317F" w:rsidP="000B317F">
      <w:pPr>
        <w:spacing w:after="160"/>
        <w:jc w:val="center"/>
        <w:rPr>
          <w:rFonts w:ascii="Times New Roman" w:eastAsia="Times New Roman" w:hAnsi="Times New Roman" w:cs="Times New Roman"/>
          <w:sz w:val="24"/>
          <w:szCs w:val="24"/>
        </w:rPr>
        <w:sectPr w:rsidR="000B317F" w:rsidSect="000B317F">
          <w:footerReference w:type="even" r:id="rId7"/>
          <w:footerReference w:type="default" r:id="rId8"/>
          <w:footerReference w:type="first" r:id="rId9"/>
          <w:type w:val="continuous"/>
          <w:pgSz w:w="12240" w:h="15840"/>
          <w:pgMar w:top="1440" w:right="1440" w:bottom="1440" w:left="1440" w:header="720" w:footer="720" w:gutter="0"/>
          <w:pgNumType w:start="1"/>
          <w:cols w:space="720"/>
        </w:sectPr>
      </w:pPr>
    </w:p>
    <w:p w14:paraId="121C1357" w14:textId="77777777" w:rsidR="000B317F" w:rsidRDefault="000B317F" w:rsidP="000B317F">
      <w:pPr>
        <w:spacing w:after="1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p>
    <w:p w14:paraId="5A1EAB33" w14:textId="77777777" w:rsidR="000B317F" w:rsidRDefault="000B317F" w:rsidP="000B317F">
      <w:pPr>
        <w:pStyle w:val="whitespace-normal"/>
      </w:pPr>
      <w:r>
        <w:t xml:space="preserve">     Current hazard detection systems in autonomous driving may develop mesa objectives—learned internal goals that achieve high training performance through spurious correlations rather than genuine hazard recognition. This inner alignment problem, where models optimize proxy objectives misaligned with human safety perception, poses risks for real-world deployment. We propose that incorporating human gaze patterns during training constrains the space of learnable mesa objectives, forcing models to develop representations aligned with human hazard assessment processes.</w:t>
      </w:r>
    </w:p>
    <w:p w14:paraId="659A9F03" w14:textId="77777777" w:rsidR="000B317F" w:rsidRDefault="000B317F" w:rsidP="000B317F">
      <w:pPr>
        <w:pStyle w:val="whitespace-normal"/>
      </w:pPr>
      <w:r>
        <w:t>We collected eye-tracking data from participants viewing driving scenarios, identifying hazardous moments through synchronized gaze patterns and manual annotations. By augmenting standard object detection training (YOLOv8) with gaze-derived spatial attention signals, we provide process-level supervision that must be satisfied simultaneously with hazard detection objectives. This dual constraint reduces the viability of misaligned mesa objectives that could otherwise achieve high accuracy through spurious correlations.</w:t>
      </w:r>
    </w:p>
    <w:p w14:paraId="77D32DF9" w14:textId="77777777" w:rsidR="000B317F" w:rsidRDefault="000B317F" w:rsidP="000B317F">
      <w:pPr>
        <w:pStyle w:val="whitespace-normal"/>
      </w:pPr>
      <w:r>
        <w:t xml:space="preserve">Our results demonstrate that gaze-augmented models achieve superior hazard detection performance compared to standard supervised learning, particularly in scenarios where human perception diverges from geometric risk metrics. The improved generalization suggests that multi-modal supervision successfully constrains internal objective formation. This work provides empirical evidence that process-level supervision through human behavioral signals can partially address the inner alignment problem in practical computer vision systems, with implications for building AI </w:t>
      </w:r>
      <w:r>
        <w:t>systems that better reflect human values and perceptual judgments.</w:t>
      </w:r>
    </w:p>
    <w:p w14:paraId="7B979B45" w14:textId="77777777" w:rsidR="000B317F" w:rsidRDefault="000B317F" w:rsidP="000B317F">
      <w:pPr>
        <w:numPr>
          <w:ilvl w:val="0"/>
          <w:numId w:val="2"/>
        </w:numPr>
        <w:spacing w:after="160"/>
        <w:rPr>
          <w:rFonts w:ascii="Times New Roman" w:eastAsia="Times New Roman" w:hAnsi="Times New Roman" w:cs="Times New Roman"/>
          <w:b/>
          <w:sz w:val="24"/>
          <w:szCs w:val="24"/>
        </w:rPr>
      </w:pPr>
      <w:r>
        <w:rPr>
          <w:rFonts w:ascii="Times New Roman" w:eastAsia="Times New Roman" w:hAnsi="Times New Roman" w:cs="Times New Roman"/>
          <w:b/>
          <w:sz w:val="26"/>
          <w:szCs w:val="26"/>
        </w:rPr>
        <w:t>I</w:t>
      </w:r>
      <w:r>
        <w:rPr>
          <w:rFonts w:ascii="Times New Roman" w:eastAsia="Times New Roman" w:hAnsi="Times New Roman" w:cs="Times New Roman"/>
          <w:b/>
          <w:sz w:val="24"/>
          <w:szCs w:val="24"/>
        </w:rPr>
        <w:t>ntroduction</w:t>
      </w:r>
    </w:p>
    <w:p w14:paraId="022CA2FA" w14:textId="77777777" w:rsidR="000B317F" w:rsidRDefault="000B317F" w:rsidP="000B317F">
      <w:pPr>
        <w:pStyle w:val="whitespace-normal"/>
      </w:pPr>
      <w:r>
        <w:rPr>
          <w:b/>
        </w:rPr>
        <w:t xml:space="preserve">      </w:t>
      </w:r>
      <w:r>
        <w:t>Autonomous driving systems must identify and respond to hazardous situations to ensure passenger safety. However, current approaches to hazard detection often optimize for objectives that diverge from human risk perception, leading to systems that may achieve high technical performance while failing to align with human safety judgments. This misalignment represents a practical instantiation of the inner alignment problem in machine learning: models develop mesa objectives—internal goals learned during training—that differ from the intended base objective of genuine hazard recognition.</w:t>
      </w:r>
    </w:p>
    <w:p w14:paraId="0574FC82" w14:textId="77777777" w:rsidR="000B317F" w:rsidRDefault="000B317F" w:rsidP="000B317F">
      <w:pPr>
        <w:pStyle w:val="whitespace-normal"/>
      </w:pPr>
      <w:r>
        <w:t>The inner alignment problem emerges when gradient descent produces models that achieve high training performance through spurious correlations rather than learning the intended task. In hazard detection, a model might develop mesa objectives such as "flag all moving objects" or "detect anything near the vehicle," which correlate with hazards in training data but fail to capture the nuanced risk assessment humans perform. These misaligned objectives become particularly problematic during deployment, where distributional shift exposes the gap between what the model learned to optimize and what constitutes actual hazards.</w:t>
      </w:r>
    </w:p>
    <w:p w14:paraId="7407B6BB" w14:textId="77777777" w:rsidR="000B317F" w:rsidRDefault="000B317F" w:rsidP="000B317F">
      <w:pPr>
        <w:pStyle w:val="whitespace-normal"/>
      </w:pPr>
      <w:r>
        <w:t xml:space="preserve">Traditional supervised learning approaches to hazard detection suffer from limited supervisory signal: binary labels indicate whether a hazard exists but provide no insight into the human cognitive process that identified it. This outcome-level supervision leaves vast freedom for models to </w:t>
      </w:r>
      <w:r>
        <w:lastRenderedPageBreak/>
        <w:t>develop arbitrary mesa objectives that achieve high training accuracy without genuinely understanding hazard assessment. The problem is exacerbated by class imbalance in driving data, where non-hazardous frames vastly outnumber hazardous ones, incentivizing models to exploit simple discriminative features rather than learning robust hazard representations.</w:t>
      </w:r>
    </w:p>
    <w:p w14:paraId="66FA1AEA" w14:textId="77777777" w:rsidR="000B317F" w:rsidRDefault="000B317F" w:rsidP="000B317F">
      <w:pPr>
        <w:pStyle w:val="whitespace-normal"/>
      </w:pPr>
      <w:r>
        <w:t>We propose that incorporating human gaze patterns during training provides process-level supervision that constrains mesa objective formation. Eye tracking data captures the implicit human decision process—where people look, how long they fixate, and what patterns of visual attention precede hazard identification. By requiring models to satisfy both hazard detection performance and correlation with human attention patterns, we reduce the space of viable mesa objectives that could emerge during training.</w:t>
      </w:r>
    </w:p>
    <w:p w14:paraId="23E7664A" w14:textId="77777777" w:rsidR="000B317F" w:rsidRPr="005E5176" w:rsidRDefault="000B317F" w:rsidP="000B317F">
      <w:pPr>
        <w:pStyle w:val="Heading3"/>
        <w:rPr>
          <w:rFonts w:ascii="Times New Roman" w:hAnsi="Times New Roman" w:cs="Times New Roman"/>
          <w:sz w:val="24"/>
          <w:szCs w:val="24"/>
        </w:rPr>
      </w:pPr>
      <w:r w:rsidRPr="005E5176">
        <w:rPr>
          <w:rStyle w:val="Strong"/>
          <w:rFonts w:ascii="Times New Roman" w:hAnsi="Times New Roman" w:cs="Times New Roman"/>
          <w:b w:val="0"/>
          <w:bCs w:val="0"/>
          <w:sz w:val="24"/>
          <w:szCs w:val="24"/>
        </w:rPr>
        <w:t>Null Hypothesis (H₀):</w:t>
      </w:r>
    </w:p>
    <w:p w14:paraId="7F4BF235" w14:textId="77777777" w:rsidR="000B317F" w:rsidRPr="005E5176" w:rsidRDefault="000B317F" w:rsidP="000B317F">
      <w:pPr>
        <w:pStyle w:val="whitespace-normal"/>
      </w:pPr>
      <w:r w:rsidRPr="005E5176">
        <w:t>"Eye tracking data does NOT constrain mesa objectives - models with eye-tracking supervision will show the SAME vulnerability to adversarial attacks as models without it, indicating persistent misaligned internal objectives."</w:t>
      </w:r>
    </w:p>
    <w:p w14:paraId="1F97C67B" w14:textId="77777777" w:rsidR="000B317F" w:rsidRPr="005E5176" w:rsidRDefault="000B317F" w:rsidP="000B317F">
      <w:pPr>
        <w:pStyle w:val="Heading3"/>
        <w:rPr>
          <w:rFonts w:ascii="Times New Roman" w:hAnsi="Times New Roman" w:cs="Times New Roman"/>
          <w:sz w:val="24"/>
          <w:szCs w:val="24"/>
        </w:rPr>
      </w:pPr>
      <w:r w:rsidRPr="005E5176">
        <w:rPr>
          <w:rStyle w:val="Strong"/>
          <w:rFonts w:ascii="Times New Roman" w:hAnsi="Times New Roman" w:cs="Times New Roman"/>
          <w:b w:val="0"/>
          <w:bCs w:val="0"/>
          <w:sz w:val="24"/>
          <w:szCs w:val="24"/>
        </w:rPr>
        <w:t>Alternative Hypothesis (H₁):</w:t>
      </w:r>
    </w:p>
    <w:p w14:paraId="1CA60D77" w14:textId="77777777" w:rsidR="000B317F" w:rsidRDefault="000B317F" w:rsidP="000B317F">
      <w:pPr>
        <w:pStyle w:val="whitespace-normal"/>
      </w:pPr>
      <w:r w:rsidRPr="005E5176">
        <w:t>"Eye tracking data DOES constrain mesa objectives - models with eye-tracking supervision will show REDUCED vulnerability to adversarial attacks, indicating aligned internal objectives with human perception."</w:t>
      </w:r>
    </w:p>
    <w:p w14:paraId="295F4B39" w14:textId="77777777" w:rsidR="000B317F" w:rsidRDefault="000B317F" w:rsidP="000B317F">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Pr>
          <w:rFonts w:ascii="Times New Roman" w:eastAsia="Times New Roman" w:hAnsi="Times New Roman" w:cs="Times New Roman"/>
          <w:b/>
          <w:sz w:val="26"/>
          <w:szCs w:val="26"/>
        </w:rPr>
        <w:t>Literature</w:t>
      </w:r>
      <w:r>
        <w:rPr>
          <w:rFonts w:ascii="Times New Roman" w:eastAsia="Times New Roman" w:hAnsi="Times New Roman" w:cs="Times New Roman"/>
          <w:b/>
          <w:sz w:val="24"/>
          <w:szCs w:val="24"/>
        </w:rPr>
        <w:t xml:space="preserve"> Review </w:t>
      </w:r>
    </w:p>
    <w:p w14:paraId="47D59E00" w14:textId="77777777" w:rsidR="000B317F" w:rsidRPr="00AC3406" w:rsidRDefault="000B317F" w:rsidP="000B317F">
      <w:pPr>
        <w:spacing w:after="160"/>
        <w:rPr>
          <w:rFonts w:ascii="Times New Roman" w:eastAsia="Times New Roman" w:hAnsi="Times New Roman" w:cs="Times New Roman"/>
          <w:b/>
          <w:sz w:val="24"/>
          <w:szCs w:val="24"/>
        </w:rPr>
      </w:pPr>
      <w:r>
        <w:t xml:space="preserve">The inner alignment problem, first formalized by Hubinger et al., describes how optimization processes can produce agents with objectives different from those intended by designers. In computer vision, this manifests as models </w:t>
      </w:r>
      <w:r>
        <w:t>developing mesa objectives—internal optimization targets that achieve high training performance through unintended strategies. Our work provides empirical evidence of mesa objectives in safety-critical vision systems and demonstrates a practical approach to constraint through human behavioral signals.</w:t>
      </w:r>
    </w:p>
    <w:p w14:paraId="691B4D19" w14:textId="77777777" w:rsidR="000B317F" w:rsidRDefault="000B317F" w:rsidP="000B317F">
      <w:pPr>
        <w:pStyle w:val="whitespace-normal"/>
      </w:pPr>
      <w:r>
        <w:t>Recent advances in attention mechanisms including CBAM, self-attention, and Vision Transformers have improved model performance but do not address alignment. These methods allow models to learn where to attend but provide no guidance on what patterns to learn. Our results show that even sophisticated multi-head attention develops multiple misaligned objectives in parallel, highlighting that architectural complexity alone does not solve the alignment problem.</w:t>
      </w:r>
    </w:p>
    <w:p w14:paraId="5769B5E3" w14:textId="77777777" w:rsidR="000B317F" w:rsidRDefault="000B317F" w:rsidP="000B317F">
      <w:pPr>
        <w:pStyle w:val="whitespace-normal"/>
      </w:pPr>
      <w:r>
        <w:t>A critical challenge in detecting mesa objective misalignment is that models achieve high test accuracy (often 95%+) while learning wrong causal relationships. Developers may not recognize the alignment problem because standard metrics suggest successful training. Only during deployment or adversarial testing do the spurious correlations become apparent, by which point the model may already be in production.</w:t>
      </w:r>
    </w:p>
    <w:p w14:paraId="0D739E55" w14:textId="77777777" w:rsidR="000B317F" w:rsidRPr="00AC3406" w:rsidRDefault="000B317F" w:rsidP="000B317F">
      <w:pPr>
        <w:pStyle w:val="whitespace-normal"/>
      </w:pPr>
      <w:r>
        <w:t>Our key insight is that WHERE humans look teaches HOW to identify hazards, which paradoxically improves WHEN predictions. Spatial supervision doesn't just add location data—it reveals the causal mechanisms humans use for hazard assessment. By learning where humans fixate, models discover genuine risk patterns like trajectory analysis rather than spurious correlations like object size.</w:t>
      </w:r>
    </w:p>
    <w:p w14:paraId="278DE6B1" w14:textId="77777777" w:rsidR="000B317F" w:rsidRDefault="000B317F" w:rsidP="000B317F">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Pr>
          <w:rFonts w:ascii="Times New Roman" w:eastAsia="Times New Roman" w:hAnsi="Times New Roman" w:cs="Times New Roman"/>
          <w:b/>
          <w:sz w:val="26"/>
          <w:szCs w:val="26"/>
        </w:rPr>
        <w:t>Data Collection and Preprocessing</w:t>
      </w:r>
      <w:r>
        <w:rPr>
          <w:rFonts w:ascii="Times New Roman" w:eastAsia="Times New Roman" w:hAnsi="Times New Roman" w:cs="Times New Roman"/>
          <w:b/>
          <w:sz w:val="24"/>
          <w:szCs w:val="24"/>
        </w:rPr>
        <w:t xml:space="preserve"> </w:t>
      </w:r>
    </w:p>
    <w:p w14:paraId="09D7D68B" w14:textId="77777777" w:rsidR="000B317F" w:rsidRDefault="000B317F" w:rsidP="000B317F">
      <w:pPr>
        <w:pStyle w:val="whitespace-normal"/>
      </w:pPr>
      <w:r>
        <w:t xml:space="preserve">We developed an interactive driving simulation platform (available at onyxaillc.com/hahd) to collect synchronized temporal and spatial hazard </w:t>
      </w:r>
      <w:r>
        <w:lastRenderedPageBreak/>
        <w:t>perception data. Participants view real dashcam footage and press the spacebar to mark the start and end timestamps of perceived hazardous events. Simultaneously, we track participants' eye movements using eye-tracking software from Brown University, capturing gaze coordinates at 60Hz to understand where humans look when identifying hazards.</w:t>
      </w:r>
    </w:p>
    <w:p w14:paraId="384E357D" w14:textId="77777777" w:rsidR="000B317F" w:rsidRDefault="000B317F" w:rsidP="000B317F">
      <w:pPr>
        <w:pStyle w:val="whitespace-normal"/>
      </w:pPr>
      <w:r>
        <w:t>Traditional hazard detection datasets provide only temporal labels (when hazards occur) without spatial information (where in the frame hazards are located). This underspecification forces models to develop their own strategies for spatial attention, leading to mesa objectives such as "large objects equal danger" or "center frame equals important." Our dual-collection approach addresses this by providing both temporal markers and spatial attention patterns, constraining the space of learnable objectives.</w:t>
      </w:r>
    </w:p>
    <w:p w14:paraId="2B66CF95" w14:textId="77777777" w:rsidR="000B317F" w:rsidRDefault="000B317F" w:rsidP="000B317F">
      <w:pPr>
        <w:pStyle w:val="whitespace-normal"/>
      </w:pPr>
      <w:r>
        <w:t>Eye-tracking data undergoes preprocessing including fixation detection, saccade filtering, and temporal alignment with hazard markers. We generate attention heatmaps by aggregating gaze points within 500ms windows around marked hazard events. Bounding boxes are computed for objects within high-attention regions to create spatially-supervised training data that links human attention patterns to specific scene elements.</w:t>
      </w:r>
    </w:p>
    <w:p w14:paraId="2236526F" w14:textId="77777777" w:rsidR="000B317F" w:rsidRDefault="000B317F" w:rsidP="000B317F">
      <w:pPr>
        <w:spacing w:after="160"/>
        <w:rPr>
          <w:rFonts w:ascii="Times New Roman" w:eastAsia="Times New Roman" w:hAnsi="Times New Roman" w:cs="Times New Roman"/>
          <w:b/>
          <w:sz w:val="24"/>
          <w:szCs w:val="24"/>
        </w:rPr>
      </w:pPr>
    </w:p>
    <w:p w14:paraId="190534DC" w14:textId="77777777" w:rsidR="000B317F" w:rsidRDefault="000B317F" w:rsidP="000B317F">
      <w:pPr>
        <w:spacing w:after="160"/>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4   </w:t>
      </w:r>
      <w:r>
        <w:rPr>
          <w:rFonts w:ascii="Times New Roman" w:eastAsia="Times New Roman" w:hAnsi="Times New Roman" w:cs="Times New Roman"/>
          <w:b/>
          <w:sz w:val="24"/>
          <w:szCs w:val="24"/>
        </w:rPr>
        <w:t>Methodology and Model Training</w:t>
      </w:r>
    </w:p>
    <w:p w14:paraId="77C988CD" w14:textId="77777777" w:rsidR="000B317F" w:rsidRDefault="000B317F" w:rsidP="000B317F">
      <w:pPr>
        <w:pStyle w:val="whitespace-normal"/>
      </w:pPr>
      <w:r>
        <w:t xml:space="preserve">To demonstrate that human guidance specifically addresses mesa objective formation, we implement multiple baseline architectures representing increasing levels of machine-learned attention sophistication: (1) Standard YOLOv8 without attention mechanisms, (2) YOLOv8 with Convolutional Block Attention Module (CBAM) for spatial and channel attention, (3) YOLOv8 with self-attention mechanisms, and (4) YOLOv8 with multi-head attention allowing eight parallel </w:t>
      </w:r>
      <w:r>
        <w:t>attention patterns. These baselines allow models to develop their own attention strategies without human constraints.</w:t>
      </w:r>
    </w:p>
    <w:p w14:paraId="0992191C" w14:textId="77777777" w:rsidR="000B317F" w:rsidRDefault="000B317F" w:rsidP="000B317F">
      <w:pPr>
        <w:pStyle w:val="whitespace-normal"/>
      </w:pPr>
      <w:r>
        <w:t>Our approach augments YOLOv8 with eye-tracking supervision by incorporating gaze heatmaps as additional input channels during training. The model must simultaneously minimize hazard detection loss and maximize correlation with human attention patterns. This dual objective constrains the optimization landscape, preventing the model from developing arbitrary shortcuts that achieve high accuracy through spurious correlations.</w:t>
      </w:r>
    </w:p>
    <w:p w14:paraId="44DA0B95" w14:textId="77777777" w:rsidR="000B317F" w:rsidRDefault="000B317F" w:rsidP="000B317F">
      <w:pPr>
        <w:pStyle w:val="whitespace-normal"/>
      </w:pPr>
      <w:r>
        <w:t>We hypothesize that human-aligned training reduces computational requirements by constraining the search space. We track convergence epochs, GPU hours, and total FLOPs to test whether eye-tracking supervision leads to faster convergence compared to unconstrained optimization that explores multiple failed strategies before finding effective patterns.</w:t>
      </w:r>
    </w:p>
    <w:p w14:paraId="7BFB26BF" w14:textId="77777777" w:rsidR="000B317F" w:rsidRPr="00AC3406" w:rsidRDefault="000B317F" w:rsidP="000B317F">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5 Experimental Setup and Evaluation</w:t>
      </w:r>
    </w:p>
    <w:p w14:paraId="6D0A627F" w14:textId="77777777" w:rsidR="000B317F" w:rsidRDefault="000B317F" w:rsidP="000B317F">
      <w:pPr>
        <w:pStyle w:val="whitespace-normal"/>
      </w:pPr>
      <w:r>
        <w:t>We employ adversarial testing to reveal mesa objectives learned by each model. Specific attack types target common spurious correlations: (1) Large object attacks - placing large non-hazardous objects to trigger size-based heuristics, (2) Position attacks - moving hazards to frame edges where center-focused models fail, (3) Motion attacks - introducing fast-moving non-hazards like leaves or shadows. Models truly aligned with human perception should show robustness to these attacks, while models with misaligned mesa objectives will exhibit predictable failure patterns.</w:t>
      </w:r>
    </w:p>
    <w:p w14:paraId="42719EBE" w14:textId="77777777" w:rsidR="000B317F" w:rsidRDefault="000B317F" w:rsidP="000B317F">
      <w:pPr>
        <w:pStyle w:val="whitespace-normal"/>
      </w:pPr>
      <w:r>
        <w:t xml:space="preserve">We evaluate models on out-of-distribution scenarios including small hazards at frame peripheries, static hazards without motion cues, and context-dependent hazards requiring scene understanding. We measure accuracy degradation from training to deployment conditions, </w:t>
      </w:r>
      <w:r>
        <w:lastRenderedPageBreak/>
        <w:t>hypothesizing that eye-tracking models will show superior generalization due to learning genuine hazard detection principles rather than dataset-specific patterns.</w:t>
      </w:r>
    </w:p>
    <w:p w14:paraId="1BE3BB90" w14:textId="77777777" w:rsidR="000B317F" w:rsidRDefault="000B317F" w:rsidP="000B317F">
      <w:pPr>
        <w:pStyle w:val="whitespace-normal"/>
      </w:pPr>
      <w:r>
        <w:t>We perform t-tests comparing adversarial vulnerability scores between baseline and eye-tracking models, with p&lt;0.05 indicating significant improvement. Additionally, we calculate Pearson correlation between model attention alignment with human gaze patterns and adversarial robustness scores. We test whether spatial supervision (WHERE) improves temporal prediction (WHEN) by evaluating hazard timing accuracy on scenarios with different spatial configurations.</w:t>
      </w:r>
    </w:p>
    <w:p w14:paraId="0A9F434E" w14:textId="77777777" w:rsidR="000B317F" w:rsidRDefault="000B317F" w:rsidP="000B317F">
      <w:pPr>
        <w:spacing w:after="160"/>
        <w:rPr>
          <w:rFonts w:ascii="Times New Roman" w:eastAsia="Times New Roman" w:hAnsi="Times New Roman" w:cs="Times New Roman"/>
          <w:b/>
          <w:sz w:val="26"/>
          <w:szCs w:val="26"/>
        </w:rPr>
      </w:pPr>
      <w:r>
        <w:rPr>
          <w:rFonts w:ascii="Times New Roman" w:eastAsia="Times New Roman" w:hAnsi="Times New Roman" w:cs="Times New Roman"/>
          <w:b/>
          <w:sz w:val="24"/>
          <w:szCs w:val="24"/>
        </w:rPr>
        <w:t xml:space="preserve">6  </w:t>
      </w:r>
      <w:r>
        <w:rPr>
          <w:rFonts w:ascii="Times New Roman" w:eastAsia="Times New Roman" w:hAnsi="Times New Roman" w:cs="Times New Roman"/>
          <w:b/>
          <w:sz w:val="26"/>
          <w:szCs w:val="26"/>
        </w:rPr>
        <w:t>Results and Discussion</w:t>
      </w:r>
    </w:p>
    <w:p w14:paraId="1AE5BF76" w14:textId="77777777" w:rsidR="000B317F" w:rsidRDefault="000B317F" w:rsidP="000B317F">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7AEEC736" w14:textId="77777777" w:rsidR="000B317F" w:rsidRDefault="000B317F" w:rsidP="000B317F">
      <w:pPr>
        <w:spacing w:after="160"/>
        <w:rPr>
          <w:rFonts w:ascii="Times New Roman" w:eastAsia="Times New Roman" w:hAnsi="Times New Roman" w:cs="Times New Roman"/>
          <w:b/>
          <w:sz w:val="26"/>
          <w:szCs w:val="26"/>
        </w:rPr>
      </w:pPr>
      <w:r>
        <w:rPr>
          <w:rFonts w:ascii="Times New Roman" w:eastAsia="Times New Roman" w:hAnsi="Times New Roman" w:cs="Times New Roman"/>
          <w:b/>
          <w:sz w:val="26"/>
          <w:szCs w:val="26"/>
        </w:rPr>
        <w:t>7  Conclusion and Future Work</w:t>
      </w:r>
    </w:p>
    <w:p w14:paraId="355D6F69" w14:textId="77777777" w:rsidR="000B317F" w:rsidRDefault="000B317F" w:rsidP="000B317F">
      <w:pPr>
        <w:spacing w:after="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p w14:paraId="5C87CE4F" w14:textId="77777777" w:rsidR="000B317F" w:rsidRDefault="000B317F" w:rsidP="000B317F">
      <w:pPr>
        <w:spacing w:before="280" w:after="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1028B42" w14:textId="77777777" w:rsidR="000B317F" w:rsidRDefault="000B317F" w:rsidP="000B317F">
      <w:pPr>
        <w:spacing w:before="280" w:after="280"/>
        <w:rPr>
          <w:rFonts w:ascii="Times New Roman" w:eastAsia="Times New Roman" w:hAnsi="Times New Roman" w:cs="Times New Roman"/>
          <w:b/>
        </w:rPr>
      </w:pPr>
      <w:r>
        <w:rPr>
          <w:rFonts w:ascii="Times New Roman" w:eastAsia="Times New Roman" w:hAnsi="Times New Roman" w:cs="Times New Roman"/>
        </w:rPr>
        <w:t>[1]</w:t>
      </w:r>
      <w:r>
        <w:rPr>
          <w:rFonts w:ascii="Times New Roman" w:eastAsia="Times New Roman" w:hAnsi="Times New Roman" w:cs="Times New Roman"/>
          <w:b/>
        </w:rPr>
        <w:t xml:space="preserve">   </w:t>
      </w:r>
      <w:r>
        <w:rPr>
          <w:rFonts w:ascii="Times New Roman" w:eastAsia="Times New Roman" w:hAnsi="Times New Roman" w:cs="Times New Roman"/>
        </w:rPr>
        <w:t xml:space="preserve">Chalkidis, I., Fergadiotis, M., Malakasiotis, P., Aletras, N., &amp; Androutsopoulos, I. (2020). LEGAL-BERT: The Muppets straight out of Law School. Findings of the Association for Computational Linguistics: EMNLP 2020, 2898-2904. </w:t>
      </w:r>
    </w:p>
    <w:p w14:paraId="39A545A8"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[2]    Zheng, L., Guha, N., Anderson, B. R., Henderson, P., &amp; Ho, D. E. (2021). When Does Pretraining Help? Assessing Self-Supervised Learning for Law and the CaseHOLD Dataset. arXiv preprint arXiv:2104.08671.Engineering Leadership, UC Berkeley.</w:t>
      </w:r>
      <w:hyperlink r:id="rId10">
        <w:r>
          <w:rPr>
            <w:rFonts w:ascii="Times New Roman" w:eastAsia="Times New Roman" w:hAnsi="Times New Roman" w:cs="Times New Roman"/>
            <w:u w:val="single"/>
          </w:rPr>
          <w:t>https://funginstitute.berkeley.edu/news/op-ed-tackling-biases-in-natural-language-processing/</w:t>
        </w:r>
      </w:hyperlink>
    </w:p>
    <w:p w14:paraId="146E2057"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 xml:space="preserve">[3]  Doshi-Velez, F., &amp; Kim, B. (2017). Towards a Rigorous Science of Interpretable Machine Learning. </w:t>
      </w:r>
      <w:r>
        <w:rPr>
          <w:rFonts w:ascii="Times New Roman" w:eastAsia="Times New Roman" w:hAnsi="Times New Roman" w:cs="Times New Roman"/>
          <w:i/>
        </w:rPr>
        <w:t>arXiv preprint</w:t>
      </w:r>
      <w:r>
        <w:rPr>
          <w:rFonts w:ascii="Times New Roman" w:eastAsia="Times New Roman" w:hAnsi="Times New Roman" w:cs="Times New Roman"/>
        </w:rPr>
        <w:t xml:space="preserve"> arXiv:1702.08608.</w:t>
      </w:r>
    </w:p>
    <w:p w14:paraId="5FDB6911"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 xml:space="preserve">[4]   Sundararajan, M., Taly, A., &amp; Yan, Q. (2017). Axiomatic Attribution for Deep Networks. In </w:t>
      </w:r>
      <w:r>
        <w:rPr>
          <w:rFonts w:ascii="Times New Roman" w:eastAsia="Times New Roman" w:hAnsi="Times New Roman" w:cs="Times New Roman"/>
          <w:i/>
        </w:rPr>
        <w:t>Proceedings of the 34th International Conference on Machine Learning</w:t>
      </w:r>
      <w:r>
        <w:rPr>
          <w:rFonts w:ascii="Times New Roman" w:eastAsia="Times New Roman" w:hAnsi="Times New Roman" w:cs="Times New Roman"/>
        </w:rPr>
        <w:t xml:space="preserve"> (ICML) (pp. 3319–3328).</w:t>
      </w:r>
    </w:p>
    <w:p w14:paraId="7F5AAB9B"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 xml:space="preserve">[5]    Simonyan, K., Vedaldi, A., &amp; Zisserman, A. (2014). Deep Inside Convolutional Networks: Visualising Image Classification Models and Saliency Maps. </w:t>
      </w:r>
      <w:r>
        <w:rPr>
          <w:rFonts w:ascii="Times New Roman" w:eastAsia="Times New Roman" w:hAnsi="Times New Roman" w:cs="Times New Roman"/>
          <w:i/>
        </w:rPr>
        <w:t>arXiv preprint</w:t>
      </w:r>
      <w:r>
        <w:rPr>
          <w:rFonts w:ascii="Times New Roman" w:eastAsia="Times New Roman" w:hAnsi="Times New Roman" w:cs="Times New Roman"/>
        </w:rPr>
        <w:t xml:space="preserve"> arXiv:1312.6034. </w:t>
      </w:r>
    </w:p>
    <w:p w14:paraId="547651DE"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 xml:space="preserve">[6]   Montavon, G., Samek, W., &amp; Müller, K. R. (2018). Methods for Interpreting and Understanding Deep Neural Networks. </w:t>
      </w:r>
      <w:r>
        <w:rPr>
          <w:rFonts w:ascii="Times New Roman" w:eastAsia="Times New Roman" w:hAnsi="Times New Roman" w:cs="Times New Roman"/>
          <w:i/>
        </w:rPr>
        <w:t>Digital Signal Processing</w:t>
      </w:r>
      <w:r>
        <w:rPr>
          <w:rFonts w:ascii="Times New Roman" w:eastAsia="Times New Roman" w:hAnsi="Times New Roman" w:cs="Times New Roman"/>
        </w:rPr>
        <w:t xml:space="preserve">, 73, 1–15. </w:t>
      </w:r>
    </w:p>
    <w:p w14:paraId="5A2F9587"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 xml:space="preserve">[7]   Arrieta, A. B., Díaz-Rodríguez, N., Del Ser, J., et al. (2020). Explainable Artificial Intelligence (XAI): Concepts, Taxonomies, Opportunities and Challenges toward Responsible AI. </w:t>
      </w:r>
      <w:r>
        <w:rPr>
          <w:rFonts w:ascii="Times New Roman" w:eastAsia="Times New Roman" w:hAnsi="Times New Roman" w:cs="Times New Roman"/>
          <w:i/>
        </w:rPr>
        <w:t>Information Fusion</w:t>
      </w:r>
      <w:r>
        <w:rPr>
          <w:rFonts w:ascii="Times New Roman" w:eastAsia="Times New Roman" w:hAnsi="Times New Roman" w:cs="Times New Roman"/>
        </w:rPr>
        <w:t>, 58, 82–115.</w:t>
      </w:r>
    </w:p>
    <w:p w14:paraId="6E883AC0"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t>[8] Libgober, B. (2023). A comprehensive dataset of U.S. federal laws [Data set]. OSF. https://doi.org/10.17605/OSF.IO/MRGHC</w:t>
      </w:r>
    </w:p>
    <w:p w14:paraId="7B42C85D" w14:textId="77777777" w:rsidR="000B317F" w:rsidRDefault="000B317F" w:rsidP="000B317F">
      <w:pPr>
        <w:spacing w:before="280" w:after="280"/>
        <w:rPr>
          <w:rFonts w:ascii="Times New Roman" w:eastAsia="Times New Roman" w:hAnsi="Times New Roman" w:cs="Times New Roman"/>
        </w:rPr>
      </w:pPr>
      <w:r>
        <w:rPr>
          <w:rFonts w:ascii="Times New Roman" w:eastAsia="Times New Roman" w:hAnsi="Times New Roman" w:cs="Times New Roman"/>
        </w:rPr>
        <w:lastRenderedPageBreak/>
        <w:t>License: CC-By Attribution 4.0 International.</w:t>
      </w:r>
    </w:p>
    <w:p w14:paraId="4C0D9849" w14:textId="77777777" w:rsidR="000B317F" w:rsidRDefault="000B317F" w:rsidP="000B317F">
      <w:pPr>
        <w:spacing w:after="160"/>
        <w:rPr>
          <w:rFonts w:ascii="Times New Roman" w:eastAsia="Times New Roman" w:hAnsi="Times New Roman" w:cs="Times New Roman"/>
          <w:sz w:val="24"/>
          <w:szCs w:val="24"/>
        </w:rPr>
      </w:pPr>
    </w:p>
    <w:p w14:paraId="40981624" w14:textId="77777777" w:rsidR="000B317F" w:rsidRDefault="000B317F" w:rsidP="000B317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Tesla Model 3 cameras image</w:t>
      </w:r>
    </w:p>
    <w:p w14:paraId="259632F4" w14:textId="77777777" w:rsidR="000B317F" w:rsidRDefault="000B317F" w:rsidP="000B317F">
      <w:pPr>
        <w:spacing w:after="160"/>
        <w:rPr>
          <w:rFonts w:ascii="Times New Roman" w:eastAsia="Times New Roman" w:hAnsi="Times New Roman" w:cs="Times New Roman"/>
          <w:sz w:val="24"/>
          <w:szCs w:val="24"/>
        </w:rPr>
      </w:pPr>
      <w:r w:rsidRPr="00464983">
        <w:rPr>
          <w:rFonts w:ascii="Times New Roman" w:eastAsia="Times New Roman" w:hAnsi="Times New Roman" w:cs="Times New Roman"/>
          <w:sz w:val="24"/>
          <w:szCs w:val="24"/>
        </w:rPr>
        <w:t>https://www.tesla.com/ownersmanual/model3/en_us/GUID-682FF4A7-D083-4C95-925A-5EE3752F4865.html</w:t>
      </w:r>
    </w:p>
    <w:p w14:paraId="0E2D863F" w14:textId="77777777" w:rsidR="000B317F" w:rsidRPr="00AC3406" w:rsidRDefault="000B317F" w:rsidP="000B317F">
      <w:pPr>
        <w:spacing w:after="160"/>
      </w:pPr>
    </w:p>
    <w:p w14:paraId="0383DCEE" w14:textId="77777777" w:rsidR="000B317F" w:rsidRDefault="000B317F" w:rsidP="000B317F">
      <w:pPr>
        <w:spacing w:after="160"/>
        <w:rPr>
          <w:rFonts w:ascii="Times New Roman" w:eastAsia="Times New Roman" w:hAnsi="Times New Roman" w:cs="Times New Roman"/>
          <w:sz w:val="24"/>
          <w:szCs w:val="24"/>
        </w:rPr>
      </w:pPr>
    </w:p>
    <w:p w14:paraId="74BF5938" w14:textId="77777777" w:rsidR="000B317F" w:rsidRDefault="000B317F" w:rsidP="000B317F">
      <w:pPr>
        <w:spacing w:after="160"/>
        <w:rPr>
          <w:rFonts w:ascii="Times New Roman" w:eastAsia="Times New Roman" w:hAnsi="Times New Roman" w:cs="Times New Roman"/>
          <w:sz w:val="24"/>
          <w:szCs w:val="24"/>
        </w:rPr>
      </w:pPr>
    </w:p>
    <w:p w14:paraId="6BCEB379" w14:textId="77777777" w:rsidR="000B317F" w:rsidRDefault="000B317F" w:rsidP="000B317F">
      <w:pPr>
        <w:spacing w:after="160"/>
        <w:rPr>
          <w:rFonts w:ascii="Times New Roman" w:eastAsia="Times New Roman" w:hAnsi="Times New Roman" w:cs="Times New Roman"/>
          <w:sz w:val="24"/>
          <w:szCs w:val="24"/>
        </w:rPr>
      </w:pPr>
    </w:p>
    <w:p w14:paraId="73C82C01" w14:textId="77777777" w:rsidR="000B317F" w:rsidRDefault="000B317F" w:rsidP="000B317F"/>
    <w:p w14:paraId="00000062" w14:textId="77777777" w:rsidR="005B74D5" w:rsidRPr="000B317F" w:rsidRDefault="005B74D5" w:rsidP="000B317F"/>
    <w:sectPr w:rsidR="005B74D5" w:rsidRPr="000B317F" w:rsidSect="00BB1410">
      <w:footerReference w:type="even" r:id="rId11"/>
      <w:footerReference w:type="default" r:id="rId12"/>
      <w:footerReference w:type="first" r:id="rId13"/>
      <w:type w:val="continuous"/>
      <w:pgSz w:w="12240" w:h="15840"/>
      <w:pgMar w:top="1440" w:right="576" w:bottom="1800" w:left="576" w:header="720" w:footer="720" w:gutter="0"/>
      <w:cols w:num="2" w:space="720" w:equalWidth="0">
        <w:col w:w="5011" w:space="720"/>
        <w:col w:w="501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CE9A4" w14:textId="77777777" w:rsidR="002F25ED" w:rsidRDefault="002F25ED" w:rsidP="00464983">
      <w:pPr>
        <w:spacing w:line="240" w:lineRule="auto"/>
      </w:pPr>
      <w:r>
        <w:separator/>
      </w:r>
    </w:p>
  </w:endnote>
  <w:endnote w:type="continuationSeparator" w:id="0">
    <w:p w14:paraId="59573F5F" w14:textId="77777777" w:rsidR="002F25ED" w:rsidRDefault="002F25ED" w:rsidP="00464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1A4A" w14:textId="77777777" w:rsidR="000B317F" w:rsidRDefault="000B317F">
    <w:pPr>
      <w:pStyle w:val="Footer"/>
    </w:pPr>
    <w:r>
      <w:rPr>
        <w:noProof/>
      </w:rPr>
      <mc:AlternateContent>
        <mc:Choice Requires="wps">
          <w:drawing>
            <wp:anchor distT="0" distB="0" distL="0" distR="0" simplePos="0" relativeHeight="251663360" behindDoc="0" locked="0" layoutInCell="1" allowOverlap="1" wp14:anchorId="25FE0029" wp14:editId="1C58F8D1">
              <wp:simplePos x="635" y="635"/>
              <wp:positionH relativeFrom="page">
                <wp:align>left</wp:align>
              </wp:positionH>
              <wp:positionV relativeFrom="page">
                <wp:align>bottom</wp:align>
              </wp:positionV>
              <wp:extent cx="819785" cy="368935"/>
              <wp:effectExtent l="0" t="0" r="5715" b="0"/>
              <wp:wrapNone/>
              <wp:docPr id="896560435" name="Text Box 2"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614D16BA"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FE0029" id="_x0000_t202" coordsize="21600,21600" o:spt="202" path="m,l,21600r21600,l21600,xe">
              <v:stroke joinstyle="miter"/>
              <v:path gradientshapeok="t" o:connecttype="rect"/>
            </v:shapetype>
            <v:shape id="Text Box 2" o:spid="_x0000_s1026" type="#_x0000_t202" alt="Non-Public" style="position:absolute;margin-left:0;margin-top:0;width:64.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" filled="f" stroked="f">
              <v:textbox style="mso-fit-shape-to-text:t" inset="20pt,0,0,15pt">
                <w:txbxContent>
                  <w:p w14:paraId="614D16BA"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FD65" w14:textId="77777777" w:rsidR="000B317F" w:rsidRDefault="000B317F">
    <w:pPr>
      <w:pStyle w:val="Footer"/>
    </w:pPr>
    <w:r>
      <w:rPr>
        <w:noProof/>
      </w:rPr>
      <mc:AlternateContent>
        <mc:Choice Requires="wps">
          <w:drawing>
            <wp:anchor distT="0" distB="0" distL="0" distR="0" simplePos="0" relativeHeight="251664384" behindDoc="0" locked="0" layoutInCell="1" allowOverlap="1" wp14:anchorId="1C4E2E30" wp14:editId="7E4EAD1E">
              <wp:simplePos x="0" y="0"/>
              <wp:positionH relativeFrom="page">
                <wp:align>left</wp:align>
              </wp:positionH>
              <wp:positionV relativeFrom="page">
                <wp:align>bottom</wp:align>
              </wp:positionV>
              <wp:extent cx="819785" cy="368935"/>
              <wp:effectExtent l="0" t="0" r="5715" b="0"/>
              <wp:wrapNone/>
              <wp:docPr id="1891663114" name="Text Box 3"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656DBADB"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4E2E30" id="_x0000_t202" coordsize="21600,21600" o:spt="202" path="m,l,21600r21600,l21600,xe">
              <v:stroke joinstyle="miter"/>
              <v:path gradientshapeok="t" o:connecttype="rect"/>
            </v:shapetype>
            <v:shape id="Text Box 3" o:spid="_x0000_s1027" type="#_x0000_t202" alt="Non-Public" style="position:absolute;margin-left:0;margin-top:0;width:64.55pt;height:29.0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" filled="f" stroked="f">
              <v:textbox style="mso-fit-shape-to-text:t" inset="20pt,0,0,15pt">
                <w:txbxContent>
                  <w:p w14:paraId="656DBADB"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C89B" w14:textId="77777777" w:rsidR="000B317F" w:rsidRDefault="000B317F">
    <w:pPr>
      <w:pStyle w:val="Footer"/>
    </w:pPr>
    <w:r>
      <w:rPr>
        <w:noProof/>
      </w:rPr>
      <mc:AlternateContent>
        <mc:Choice Requires="wps">
          <w:drawing>
            <wp:anchor distT="0" distB="0" distL="0" distR="0" simplePos="0" relativeHeight="251662336" behindDoc="0" locked="0" layoutInCell="1" allowOverlap="1" wp14:anchorId="2B545541" wp14:editId="5D57741B">
              <wp:simplePos x="635" y="635"/>
              <wp:positionH relativeFrom="page">
                <wp:align>left</wp:align>
              </wp:positionH>
              <wp:positionV relativeFrom="page">
                <wp:align>bottom</wp:align>
              </wp:positionV>
              <wp:extent cx="819785" cy="368935"/>
              <wp:effectExtent l="0" t="0" r="5715" b="0"/>
              <wp:wrapNone/>
              <wp:docPr id="560733696" name="Text Box 1"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3DA642DE"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545541" id="_x0000_t202" coordsize="21600,21600" o:spt="202" path="m,l,21600r21600,l21600,xe">
              <v:stroke joinstyle="miter"/>
              <v:path gradientshapeok="t" o:connecttype="rect"/>
            </v:shapetype>
            <v:shape id="Text Box 1" o:spid="_x0000_s1028" type="#_x0000_t202" alt="Non-Public" style="position:absolute;margin-left:0;margin-top:0;width:64.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" filled="f" stroked="f">
              <v:textbox style="mso-fit-shape-to-text:t" inset="20pt,0,0,15pt">
                <w:txbxContent>
                  <w:p w14:paraId="3DA642DE" w14:textId="77777777" w:rsidR="000B317F" w:rsidRPr="00464983" w:rsidRDefault="000B317F"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CDB3" w14:textId="03C3701D" w:rsidR="00464983" w:rsidRDefault="00464983">
    <w:pPr>
      <w:pStyle w:val="Footer"/>
    </w:pPr>
    <w:r>
      <w:rPr>
        <w:noProof/>
      </w:rPr>
      <mc:AlternateContent>
        <mc:Choice Requires="wps">
          <w:drawing>
            <wp:anchor distT="0" distB="0" distL="0" distR="0" simplePos="0" relativeHeight="251659264" behindDoc="0" locked="0" layoutInCell="1" allowOverlap="1" wp14:anchorId="7BB0AFB8" wp14:editId="047D1C02">
              <wp:simplePos x="635" y="635"/>
              <wp:positionH relativeFrom="page">
                <wp:align>left</wp:align>
              </wp:positionH>
              <wp:positionV relativeFrom="page">
                <wp:align>bottom</wp:align>
              </wp:positionV>
              <wp:extent cx="819785" cy="368935"/>
              <wp:effectExtent l="0" t="0" r="5715" b="0"/>
              <wp:wrapNone/>
              <wp:docPr id="1524685205" name="Text Box 2"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5118DE68" w14:textId="421909A2"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B0AFB8" id="_x0000_t202" coordsize="21600,21600" o:spt="202" path="m,l,21600r21600,l21600,xe">
              <v:stroke joinstyle="miter"/>
              <v:path gradientshapeok="t" o:connecttype="rect"/>
            </v:shapetype>
            <v:shape id="_x0000_s1029" type="#_x0000_t202" alt="Non-Public" style="position:absolute;margin-left:0;margin-top:0;width:64.5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" filled="f" stroked="f">
              <v:textbox style="mso-fit-shape-to-text:t" inset="20pt,0,0,15pt">
                <w:txbxContent>
                  <w:p w14:paraId="5118DE68" w14:textId="421909A2"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8100" w14:textId="26D99FDD" w:rsidR="00464983" w:rsidRDefault="00464983">
    <w:pPr>
      <w:pStyle w:val="Footer"/>
    </w:pPr>
    <w:r>
      <w:rPr>
        <w:noProof/>
      </w:rPr>
      <mc:AlternateContent>
        <mc:Choice Requires="wps">
          <w:drawing>
            <wp:anchor distT="0" distB="0" distL="0" distR="0" simplePos="0" relativeHeight="251660288" behindDoc="0" locked="0" layoutInCell="1" allowOverlap="1" wp14:anchorId="05D6A6D3" wp14:editId="5475356F">
              <wp:simplePos x="0" y="0"/>
              <wp:positionH relativeFrom="page">
                <wp:align>left</wp:align>
              </wp:positionH>
              <wp:positionV relativeFrom="page">
                <wp:align>bottom</wp:align>
              </wp:positionV>
              <wp:extent cx="819785" cy="368935"/>
              <wp:effectExtent l="0" t="0" r="5715" b="0"/>
              <wp:wrapNone/>
              <wp:docPr id="1819200653" name="Text Box 3"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7326FC46" w14:textId="39A8F6E7"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D6A6D3" id="_x0000_t202" coordsize="21600,21600" o:spt="202" path="m,l,21600r21600,l21600,xe">
              <v:stroke joinstyle="miter"/>
              <v:path gradientshapeok="t" o:connecttype="rect"/>
            </v:shapetype>
            <v:shape id="_x0000_s1030" type="#_x0000_t202" alt="Non-Public" style="position:absolute;margin-left:0;margin-top:0;width:64.5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" filled="f" stroked="f">
              <v:textbox style="mso-fit-shape-to-text:t" inset="20pt,0,0,15pt">
                <w:txbxContent>
                  <w:p w14:paraId="7326FC46" w14:textId="39A8F6E7"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CCDF" w14:textId="232F545F" w:rsidR="00464983" w:rsidRDefault="00464983">
    <w:pPr>
      <w:pStyle w:val="Footer"/>
    </w:pPr>
    <w:r>
      <w:rPr>
        <w:noProof/>
      </w:rPr>
      <mc:AlternateContent>
        <mc:Choice Requires="wps">
          <w:drawing>
            <wp:anchor distT="0" distB="0" distL="0" distR="0" simplePos="0" relativeHeight="251658240" behindDoc="0" locked="0" layoutInCell="1" allowOverlap="1" wp14:anchorId="69C47B41" wp14:editId="4BFCBE34">
              <wp:simplePos x="635" y="635"/>
              <wp:positionH relativeFrom="page">
                <wp:align>left</wp:align>
              </wp:positionH>
              <wp:positionV relativeFrom="page">
                <wp:align>bottom</wp:align>
              </wp:positionV>
              <wp:extent cx="819785" cy="368935"/>
              <wp:effectExtent l="0" t="0" r="5715" b="0"/>
              <wp:wrapNone/>
              <wp:docPr id="1154833920" name="Text Box 1" descr="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19785" cy="368935"/>
                      </a:xfrm>
                      <a:prstGeom prst="rect">
                        <a:avLst/>
                      </a:prstGeom>
                      <a:noFill/>
                      <a:ln>
                        <a:noFill/>
                      </a:ln>
                    </wps:spPr>
                    <wps:txbx>
                      <w:txbxContent>
                        <w:p w14:paraId="17128B36" w14:textId="3D73660B"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C47B41" id="_x0000_t202" coordsize="21600,21600" o:spt="202" path="m,l,21600r21600,l21600,xe">
              <v:stroke joinstyle="miter"/>
              <v:path gradientshapeok="t" o:connecttype="rect"/>
            </v:shapetype>
            <v:shape id="_x0000_s1031" type="#_x0000_t202" alt="Non-Public" style="position:absolute;margin-left:0;margin-top:0;width:64.5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" filled="f" stroked="f">
              <v:textbox style="mso-fit-shape-to-text:t" inset="20pt,0,0,15pt">
                <w:txbxContent>
                  <w:p w14:paraId="17128B36" w14:textId="3D73660B" w:rsidR="00464983" w:rsidRPr="00464983" w:rsidRDefault="00464983" w:rsidP="00464983">
                    <w:pPr>
                      <w:rPr>
                        <w:rFonts w:ascii="Calibri" w:eastAsia="Calibri" w:hAnsi="Calibri" w:cs="Calibri"/>
                        <w:noProof/>
                        <w:color w:val="000000"/>
                        <w:sz w:val="20"/>
                        <w:szCs w:val="20"/>
                      </w:rPr>
                    </w:pPr>
                    <w:r w:rsidRPr="00464983">
                      <w:rPr>
                        <w:rFonts w:ascii="Calibri" w:eastAsia="Calibri" w:hAnsi="Calibri" w:cs="Calibri"/>
                        <w:noProof/>
                        <w:color w:val="000000"/>
                        <w:sz w:val="20"/>
                        <w:szCs w:val="20"/>
                      </w:rPr>
                      <w:t>Non-Public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E79A3" w14:textId="77777777" w:rsidR="002F25ED" w:rsidRDefault="002F25ED" w:rsidP="00464983">
      <w:pPr>
        <w:spacing w:line="240" w:lineRule="auto"/>
      </w:pPr>
      <w:r>
        <w:separator/>
      </w:r>
    </w:p>
  </w:footnote>
  <w:footnote w:type="continuationSeparator" w:id="0">
    <w:p w14:paraId="3066543F" w14:textId="77777777" w:rsidR="002F25ED" w:rsidRDefault="002F25ED" w:rsidP="004649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0AB0"/>
    <w:multiLevelType w:val="multilevel"/>
    <w:tmpl w:val="75FA7B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9D4B46"/>
    <w:multiLevelType w:val="multilevel"/>
    <w:tmpl w:val="15F23A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922F18"/>
    <w:multiLevelType w:val="multilevel"/>
    <w:tmpl w:val="EB9A16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CC79D3"/>
    <w:multiLevelType w:val="multilevel"/>
    <w:tmpl w:val="B69055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E32EFC"/>
    <w:multiLevelType w:val="multilevel"/>
    <w:tmpl w:val="77AA32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1B37DD"/>
    <w:multiLevelType w:val="multilevel"/>
    <w:tmpl w:val="8BACC7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437263774">
    <w:abstractNumId w:val="2"/>
  </w:num>
  <w:num w:numId="2" w16cid:durableId="2039356124">
    <w:abstractNumId w:val="5"/>
  </w:num>
  <w:num w:numId="3" w16cid:durableId="1566336799">
    <w:abstractNumId w:val="1"/>
  </w:num>
  <w:num w:numId="4" w16cid:durableId="965695437">
    <w:abstractNumId w:val="0"/>
  </w:num>
  <w:num w:numId="5" w16cid:durableId="1630670249">
    <w:abstractNumId w:val="4"/>
  </w:num>
  <w:num w:numId="6" w16cid:durableId="11726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4D5"/>
    <w:rsid w:val="000B317F"/>
    <w:rsid w:val="002F25ED"/>
    <w:rsid w:val="003B332C"/>
    <w:rsid w:val="0043519F"/>
    <w:rsid w:val="00464983"/>
    <w:rsid w:val="00543EB8"/>
    <w:rsid w:val="005B74D5"/>
    <w:rsid w:val="00611822"/>
    <w:rsid w:val="006A0D42"/>
    <w:rsid w:val="00B118EA"/>
    <w:rsid w:val="00B45FD9"/>
    <w:rsid w:val="00BB1410"/>
    <w:rsid w:val="00BE3E7B"/>
    <w:rsid w:val="00D4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53B3"/>
  <w15:docId w15:val="{85CEE651-99B1-A547-A023-A7542B52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464983"/>
    <w:pPr>
      <w:tabs>
        <w:tab w:val="center" w:pos="4680"/>
        <w:tab w:val="right" w:pos="9360"/>
      </w:tabs>
      <w:spacing w:line="240" w:lineRule="auto"/>
    </w:pPr>
  </w:style>
  <w:style w:type="character" w:customStyle="1" w:styleId="FooterChar">
    <w:name w:val="Footer Char"/>
    <w:basedOn w:val="DefaultParagraphFont"/>
    <w:link w:val="Footer"/>
    <w:uiPriority w:val="99"/>
    <w:rsid w:val="00464983"/>
  </w:style>
  <w:style w:type="paragraph" w:customStyle="1" w:styleId="whitespace-normal">
    <w:name w:val="whitespace-normal"/>
    <w:basedOn w:val="Normal"/>
    <w:rsid w:val="00D461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118EA"/>
    <w:rPr>
      <w:b/>
      <w:bCs/>
    </w:rPr>
  </w:style>
  <w:style w:type="character" w:customStyle="1" w:styleId="Heading3Char">
    <w:name w:val="Heading 3 Char"/>
    <w:basedOn w:val="DefaultParagraphFont"/>
    <w:link w:val="Heading3"/>
    <w:uiPriority w:val="9"/>
    <w:rsid w:val="000B317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846886">
      <w:bodyDiv w:val="1"/>
      <w:marLeft w:val="0"/>
      <w:marRight w:val="0"/>
      <w:marTop w:val="0"/>
      <w:marBottom w:val="0"/>
      <w:divBdr>
        <w:top w:val="none" w:sz="0" w:space="0" w:color="auto"/>
        <w:left w:val="none" w:sz="0" w:space="0" w:color="auto"/>
        <w:bottom w:val="none" w:sz="0" w:space="0" w:color="auto"/>
        <w:right w:val="none" w:sz="0" w:space="0" w:color="auto"/>
      </w:divBdr>
    </w:div>
    <w:div w:id="1690374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unginstitute.berkeley.edu/news/op-ed-tackling-biases-in-natural-language-processin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457</TotalTime>
  <Pages>5</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Lennox Anderson</cp:lastModifiedBy>
  <cp:revision>4</cp:revision>
  <dcterms:created xsi:type="dcterms:W3CDTF">2025-08-21T14:34:00Z</dcterms:created>
  <dcterms:modified xsi:type="dcterms:W3CDTF">2025-10-12T20:09:00Z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44d55e00,5ae0d995,6c6ecc8d</vt:lpwstr>
  </property>
  <property fmtid="{D5CDD505-2E9C-101B-9397-08002B2CF9AE}" pid="3" name="ClassificationContentMarkingFooterFontProps">
    <vt:lpwstr>#000000,10,Calibri</vt:lpwstr>
  </property>
  <property fmtid="{D5CDD505-2E9C-101B-9397-08002B2CF9AE}" pid="4" name="ClassificationContentMarkingFooterText">
    <vt:lpwstr>Non-Public</vt:lpwstr>
  </property>
  <property fmtid="{D5CDD505-2E9C-101B-9397-08002B2CF9AE}" pid="5" name="MSIP_Label_c1baa1a6-d374-4699-9530-c7865f4b83b0_Enabled">
    <vt:lpwstr>true</vt:lpwstr>
  </property>
  <property fmtid="{D5CDD505-2E9C-101B-9397-08002B2CF9AE}" pid="6" name="MSIP_Label_c1baa1a6-d374-4699-9530-c7865f4b83b0_SetDate">
    <vt:lpwstr>2025-08-23T03:48:27Z</vt:lpwstr>
  </property>
  <property fmtid="{D5CDD505-2E9C-101B-9397-08002B2CF9AE}" pid="7" name="MSIP_Label_c1baa1a6-d374-4699-9530-c7865f4b83b0_Method">
    <vt:lpwstr>Standard</vt:lpwstr>
  </property>
  <property fmtid="{D5CDD505-2E9C-101B-9397-08002B2CF9AE}" pid="8" name="MSIP_Label_c1baa1a6-d374-4699-9530-c7865f4b83b0_Name">
    <vt:lpwstr>Non-Public</vt:lpwstr>
  </property>
  <property fmtid="{D5CDD505-2E9C-101B-9397-08002B2CF9AE}" pid="9" name="MSIP_Label_c1baa1a6-d374-4699-9530-c7865f4b83b0_SiteId">
    <vt:lpwstr>79c5cf82-8360-407c-8ee6-ec7903dd2d1a</vt:lpwstr>
  </property>
  <property fmtid="{D5CDD505-2E9C-101B-9397-08002B2CF9AE}" pid="10" name="MSIP_Label_c1baa1a6-d374-4699-9530-c7865f4b83b0_ActionId">
    <vt:lpwstr>f9033dfe-082f-4e83-93ed-ea790b0761ce</vt:lpwstr>
  </property>
  <property fmtid="{D5CDD505-2E9C-101B-9397-08002B2CF9AE}" pid="11" name="MSIP_Label_c1baa1a6-d374-4699-9530-c7865f4b83b0_ContentBits">
    <vt:lpwstr>2</vt:lpwstr>
  </property>
</Properties>
</file>