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A1" w:rsidRDefault="006E79A1" w:rsidP="006E79A1">
      <w:pPr>
        <w:jc w:val="left"/>
        <w:rPr>
          <w:rFonts w:cs="Arial"/>
          <w:b/>
          <w:sz w:val="28"/>
          <w:szCs w:val="28"/>
        </w:rPr>
      </w:pPr>
      <w:bookmarkStart w:id="0" w:name="_GoBack"/>
      <w:bookmarkEnd w:id="0"/>
    </w:p>
    <w:p w:rsidR="006E79A1" w:rsidRPr="006E79A1" w:rsidRDefault="006E79A1" w:rsidP="006E79A1">
      <w:pPr>
        <w:jc w:val="left"/>
        <w:rPr>
          <w:rFonts w:cs="Arial"/>
          <w:b/>
          <w:sz w:val="28"/>
          <w:szCs w:val="28"/>
        </w:rPr>
      </w:pPr>
      <w:r w:rsidRPr="006E79A1">
        <w:rPr>
          <w:rFonts w:cs="Arial"/>
          <w:b/>
          <w:sz w:val="28"/>
          <w:szCs w:val="28"/>
        </w:rPr>
        <w:t xml:space="preserve">Verfeinerung </w:t>
      </w:r>
      <w:r w:rsidR="00A913A9">
        <w:rPr>
          <w:rFonts w:cs="Arial"/>
          <w:b/>
          <w:sz w:val="28"/>
          <w:szCs w:val="28"/>
        </w:rPr>
        <w:t>spezieller</w:t>
      </w:r>
      <w:r w:rsidRPr="006E79A1">
        <w:rPr>
          <w:rFonts w:cs="Arial"/>
          <w:b/>
          <w:sz w:val="28"/>
          <w:szCs w:val="28"/>
        </w:rPr>
        <w:t xml:space="preserve"> Usecases zum Event Management System</w:t>
      </w:r>
    </w:p>
    <w:p w:rsidR="006E79A1" w:rsidRDefault="006E79A1" w:rsidP="006E79A1">
      <w:pPr>
        <w:rPr>
          <w:rFonts w:cs="Arial"/>
          <w:b/>
          <w:szCs w:val="22"/>
        </w:rPr>
      </w:pPr>
    </w:p>
    <w:p w:rsidR="006E79A1" w:rsidRDefault="006E79A1" w:rsidP="006E79A1">
      <w:pPr>
        <w:pStyle w:val="Arbeitsauftrag"/>
        <w:shd w:val="clear" w:color="auto" w:fill="D9D9D9"/>
        <w:ind w:left="357" w:hanging="357"/>
      </w:pPr>
      <w:r>
        <w:t>Analysieren Sie die folgenden Anwendungsfälle zur Fallstudie genauer.</w:t>
      </w:r>
    </w:p>
    <w:p w:rsidR="006E79A1" w:rsidRDefault="006E79A1" w:rsidP="006E79A1">
      <w:pPr>
        <w:pStyle w:val="Arbeitsauftrag"/>
        <w:shd w:val="clear" w:color="auto" w:fill="D9D9D9"/>
        <w:ind w:left="357" w:hanging="357"/>
      </w:pPr>
      <w:r>
        <w:t>Nutzen Sie dazu die Datei EMS_0.0_Starter3.vsd und das Word Dokument Anwendungsfälle_EMS.doc.</w:t>
      </w:r>
    </w:p>
    <w:p w:rsidR="006E79A1" w:rsidRDefault="006E79A1" w:rsidP="006E79A1">
      <w:pPr>
        <w:pStyle w:val="Arbeitsauftrag"/>
        <w:shd w:val="clear" w:color="auto" w:fill="D9D9D9"/>
        <w:ind w:left="357" w:hanging="357"/>
      </w:pPr>
      <w:r>
        <w:t>Beantworten Sie die Fragen zu den Usecases stichpunktartig</w:t>
      </w:r>
      <w:r w:rsidR="00BC6D01">
        <w:t xml:space="preserve"> im Word Dokument</w:t>
      </w:r>
      <w:r>
        <w:t>.</w:t>
      </w:r>
    </w:p>
    <w:p w:rsidR="006E79A1" w:rsidRDefault="006E79A1" w:rsidP="006E79A1">
      <w:pPr>
        <w:rPr>
          <w:rFonts w:cs="Arial"/>
          <w:b/>
          <w:szCs w:val="22"/>
        </w:rPr>
      </w:pPr>
    </w:p>
    <w:p w:rsidR="006E79A1" w:rsidRDefault="006E79A1" w:rsidP="006E79A1">
      <w:pPr>
        <w:rPr>
          <w:rFonts w:cs="Arial"/>
          <w:b/>
          <w:szCs w:val="22"/>
        </w:rPr>
      </w:pPr>
    </w:p>
    <w:p w:rsidR="006E79A1" w:rsidRPr="000D77AD" w:rsidRDefault="006E79A1" w:rsidP="006E79A1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04.3 Preise bearbeiten</w:t>
      </w:r>
    </w:p>
    <w:p w:rsidR="006E79A1" w:rsidRDefault="006E79A1" w:rsidP="006E79A1">
      <w:pPr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Ab wann können Preise für einen Event bearbeitet werden?</w:t>
      </w:r>
    </w:p>
    <w:p w:rsidR="00B75795" w:rsidRDefault="00386E68" w:rsidP="00B75795">
      <w:pPr>
        <w:rPr>
          <w:rFonts w:cs="Arial"/>
          <w:color w:val="0000FF"/>
          <w:szCs w:val="22"/>
        </w:rPr>
      </w:pPr>
      <w:r>
        <w:rPr>
          <w:rFonts w:cs="Arial"/>
          <w:color w:val="0000FF"/>
          <w:szCs w:val="22"/>
        </w:rPr>
        <w:t>Die Eventdaten müssen</w:t>
      </w:r>
      <w:r w:rsidR="00B75795">
        <w:rPr>
          <w:rFonts w:cs="Arial"/>
          <w:color w:val="0000FF"/>
          <w:szCs w:val="22"/>
        </w:rPr>
        <w:t xml:space="preserve"> im EMS erfasst sein,</w:t>
      </w:r>
    </w:p>
    <w:p w:rsidR="00386E68" w:rsidRDefault="00B75795" w:rsidP="00B75795">
      <w:pPr>
        <w:rPr>
          <w:rFonts w:cs="Arial"/>
          <w:color w:val="0000FF"/>
          <w:szCs w:val="22"/>
        </w:rPr>
      </w:pPr>
      <w:r w:rsidRPr="00B75795">
        <w:rPr>
          <w:rFonts w:cs="Arial"/>
          <w:color w:val="0000FF"/>
          <w:szCs w:val="22"/>
        </w:rPr>
        <w:t>die Änderung muss mit dem Veranstalter abgeglichen werden</w:t>
      </w:r>
      <w:r w:rsidR="00386E68">
        <w:rPr>
          <w:rFonts w:cs="Arial"/>
          <w:color w:val="0000FF"/>
          <w:szCs w:val="22"/>
        </w:rPr>
        <w:t>,</w:t>
      </w:r>
    </w:p>
    <w:p w:rsidR="00B75795" w:rsidRPr="00B75795" w:rsidRDefault="00386E68" w:rsidP="00B75795">
      <w:pPr>
        <w:rPr>
          <w:rFonts w:cs="Arial"/>
          <w:color w:val="0000FF"/>
          <w:szCs w:val="22"/>
        </w:rPr>
      </w:pPr>
      <w:r>
        <w:rPr>
          <w:rFonts w:cs="Arial"/>
          <w:color w:val="0000FF"/>
          <w:szCs w:val="22"/>
        </w:rPr>
        <w:t>der Preis darf den des Veranstalters nicht unterschreiten</w:t>
      </w:r>
      <w:r w:rsidR="00B75795" w:rsidRPr="00B75795">
        <w:rPr>
          <w:rFonts w:cs="Arial"/>
          <w:color w:val="0000FF"/>
          <w:szCs w:val="22"/>
        </w:rPr>
        <w:t>.</w:t>
      </w:r>
    </w:p>
    <w:p w:rsidR="006E79A1" w:rsidRDefault="006E79A1" w:rsidP="006E79A1">
      <w:pPr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Wie lange können die Preise vom Geschäftsführer bearbeitet werden?</w:t>
      </w:r>
    </w:p>
    <w:p w:rsidR="00386E68" w:rsidRPr="00386E68" w:rsidRDefault="00F73AF9" w:rsidP="00386E68">
      <w:pPr>
        <w:rPr>
          <w:rFonts w:cs="Arial"/>
          <w:color w:val="0000FF"/>
          <w:szCs w:val="22"/>
        </w:rPr>
      </w:pPr>
      <w:r w:rsidRPr="00386E68">
        <w:rPr>
          <w:rFonts w:cs="Arial"/>
          <w:color w:val="0000FF"/>
          <w:szCs w:val="22"/>
        </w:rPr>
        <w:t>Der</w:t>
      </w:r>
      <w:r w:rsidR="00386E68" w:rsidRPr="00386E68">
        <w:rPr>
          <w:rFonts w:cs="Arial"/>
          <w:color w:val="0000FF"/>
          <w:szCs w:val="22"/>
        </w:rPr>
        <w:t xml:space="preserve"> Event darf noch nicht zur Buchung freigegeben sein.</w:t>
      </w:r>
    </w:p>
    <w:p w:rsidR="006E79A1" w:rsidRDefault="006E79A1" w:rsidP="006E79A1">
      <w:pPr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Was muss nach der Bearbeitung der Preise berücksichtigt werden?</w:t>
      </w:r>
    </w:p>
    <w:p w:rsidR="006E79A1" w:rsidRPr="00386E68" w:rsidRDefault="00386E68" w:rsidP="006E79A1">
      <w:pPr>
        <w:rPr>
          <w:rFonts w:cs="Arial"/>
          <w:color w:val="0000FF"/>
          <w:szCs w:val="22"/>
        </w:rPr>
      </w:pPr>
      <w:r w:rsidRPr="00386E68">
        <w:rPr>
          <w:rFonts w:cs="Arial"/>
          <w:color w:val="0000FF"/>
          <w:szCs w:val="22"/>
        </w:rPr>
        <w:t>Die Änderungen sind im EMS zu übernehmen.</w:t>
      </w:r>
    </w:p>
    <w:p w:rsidR="00386E68" w:rsidRPr="00386E68" w:rsidRDefault="00386E68" w:rsidP="006E79A1">
      <w:pPr>
        <w:rPr>
          <w:rFonts w:cs="Arial"/>
          <w:color w:val="0000FF"/>
          <w:szCs w:val="22"/>
        </w:rPr>
      </w:pPr>
      <w:r w:rsidRPr="00386E68">
        <w:rPr>
          <w:rFonts w:cs="Arial"/>
          <w:color w:val="0000FF"/>
          <w:szCs w:val="22"/>
        </w:rPr>
        <w:t>Der Eventveranstalter muss informiert werden.</w:t>
      </w:r>
    </w:p>
    <w:p w:rsidR="00386E68" w:rsidRDefault="00386E68" w:rsidP="006E79A1">
      <w:pPr>
        <w:rPr>
          <w:rFonts w:cs="Arial"/>
          <w:szCs w:val="22"/>
        </w:rPr>
      </w:pPr>
    </w:p>
    <w:p w:rsidR="006E79A1" w:rsidRPr="000D77AD" w:rsidRDefault="006E79A1" w:rsidP="006E79A1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04.6 Vermittlungssatz bearbeiten</w:t>
      </w:r>
    </w:p>
    <w:p w:rsidR="006E79A1" w:rsidRDefault="006E79A1" w:rsidP="006E79A1">
      <w:pPr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Welche Voraussetzungen müssen erfüllt sein, damit der Vermittlungssatz geändert werden darf?</w:t>
      </w:r>
    </w:p>
    <w:p w:rsidR="00312BE1" w:rsidRPr="00312BE1" w:rsidRDefault="00312BE1" w:rsidP="00312BE1">
      <w:pPr>
        <w:rPr>
          <w:rFonts w:cs="Arial"/>
          <w:color w:val="0000FF"/>
          <w:szCs w:val="22"/>
        </w:rPr>
      </w:pPr>
      <w:r w:rsidRPr="00312BE1">
        <w:rPr>
          <w:rFonts w:cs="Arial"/>
          <w:color w:val="0000FF"/>
          <w:szCs w:val="22"/>
        </w:rPr>
        <w:t>Es muss eine Absprache mit dem Eventveranstalter stattfinden,</w:t>
      </w:r>
    </w:p>
    <w:p w:rsidR="00312BE1" w:rsidRPr="00312BE1" w:rsidRDefault="00312BE1" w:rsidP="00312BE1">
      <w:pPr>
        <w:rPr>
          <w:rFonts w:cs="Arial"/>
          <w:color w:val="0000FF"/>
          <w:szCs w:val="22"/>
        </w:rPr>
      </w:pPr>
      <w:r w:rsidRPr="00312BE1">
        <w:rPr>
          <w:rFonts w:cs="Arial"/>
          <w:color w:val="0000FF"/>
          <w:szCs w:val="22"/>
        </w:rPr>
        <w:t>der Vermittlungssatz kann bis zur Überweisung an den Veranstalter geändert werden.</w:t>
      </w:r>
    </w:p>
    <w:p w:rsidR="006E79A1" w:rsidRDefault="006E79A1" w:rsidP="006E79A1">
      <w:pPr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Was muss nach der Bearbeitung des Vermittlungssatzes berücksichtigt werden?</w:t>
      </w:r>
    </w:p>
    <w:p w:rsidR="006E79A1" w:rsidRPr="00312BE1" w:rsidRDefault="00312BE1" w:rsidP="006E79A1">
      <w:pPr>
        <w:rPr>
          <w:rFonts w:cs="Arial"/>
          <w:color w:val="0000FF"/>
          <w:szCs w:val="22"/>
        </w:rPr>
      </w:pPr>
      <w:r w:rsidRPr="00312BE1">
        <w:rPr>
          <w:rFonts w:cs="Arial"/>
          <w:color w:val="0000FF"/>
          <w:szCs w:val="22"/>
        </w:rPr>
        <w:t>Die Änderungen sind im EMS zu übernehmen.</w:t>
      </w:r>
    </w:p>
    <w:p w:rsidR="00312BE1" w:rsidRDefault="00312BE1" w:rsidP="006E79A1">
      <w:pPr>
        <w:rPr>
          <w:rFonts w:cs="Arial"/>
          <w:szCs w:val="22"/>
        </w:rPr>
      </w:pPr>
    </w:p>
    <w:p w:rsidR="006E79A1" w:rsidRPr="000D77AD" w:rsidRDefault="006E79A1" w:rsidP="006E79A1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04.7 maximale Teilnehmerzahl für Event bearbeiten</w:t>
      </w:r>
    </w:p>
    <w:p w:rsidR="006E79A1" w:rsidRDefault="006E79A1" w:rsidP="006E79A1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Unter welchen Umständen wird die Teilnehmerzahl geändert?</w:t>
      </w:r>
    </w:p>
    <w:p w:rsidR="004352FA" w:rsidRPr="004352FA" w:rsidRDefault="004352FA" w:rsidP="004352FA">
      <w:pPr>
        <w:rPr>
          <w:rFonts w:cs="Arial"/>
          <w:color w:val="0000FF"/>
          <w:szCs w:val="22"/>
        </w:rPr>
      </w:pPr>
      <w:r w:rsidRPr="004352FA">
        <w:rPr>
          <w:rFonts w:cs="Arial"/>
          <w:color w:val="0000FF"/>
          <w:szCs w:val="22"/>
        </w:rPr>
        <w:t>Ein Event ist ausgebucht, es bestehen aber noch Kundenanfragen.</w:t>
      </w:r>
    </w:p>
    <w:p w:rsidR="006E79A1" w:rsidRDefault="006E79A1" w:rsidP="006E79A1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Welchen Wert darf die maximale Teilnehmerzahl nicht unterschreiten?</w:t>
      </w:r>
    </w:p>
    <w:p w:rsidR="004352FA" w:rsidRPr="004352FA" w:rsidRDefault="004352FA" w:rsidP="004352FA">
      <w:pPr>
        <w:rPr>
          <w:rFonts w:cs="Arial"/>
          <w:color w:val="0000FF"/>
          <w:szCs w:val="22"/>
        </w:rPr>
      </w:pPr>
      <w:r w:rsidRPr="004352FA">
        <w:rPr>
          <w:rFonts w:cs="Arial"/>
          <w:color w:val="0000FF"/>
          <w:szCs w:val="22"/>
        </w:rPr>
        <w:t>Die maximale Teilnehmerzahl darf die aktuelle Teilnehmerzahl nicht unterschreiten.</w:t>
      </w:r>
    </w:p>
    <w:p w:rsidR="006E79A1" w:rsidRDefault="006E79A1" w:rsidP="006E79A1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Mit wem ist die Änderung abzusprechen?</w:t>
      </w:r>
    </w:p>
    <w:p w:rsidR="007255EE" w:rsidRPr="004352FA" w:rsidRDefault="007255EE" w:rsidP="007255EE">
      <w:pPr>
        <w:rPr>
          <w:rFonts w:cs="Arial"/>
          <w:color w:val="0000FF"/>
          <w:szCs w:val="22"/>
        </w:rPr>
      </w:pPr>
      <w:r w:rsidRPr="004352FA">
        <w:rPr>
          <w:rFonts w:cs="Arial"/>
          <w:color w:val="0000FF"/>
          <w:szCs w:val="22"/>
        </w:rPr>
        <w:t>Die Änderung ist mit dem Eventveranstalter abzusprechen.</w:t>
      </w:r>
    </w:p>
    <w:p w:rsidR="006E79A1" w:rsidRDefault="006E79A1" w:rsidP="006E79A1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Was ist nach der Bearbeitung der Teilnehmerzahl zu berücksichtigen?</w:t>
      </w:r>
    </w:p>
    <w:p w:rsidR="004352FA" w:rsidRPr="004352FA" w:rsidRDefault="004352FA" w:rsidP="004352FA">
      <w:pPr>
        <w:rPr>
          <w:rFonts w:cs="Arial"/>
          <w:color w:val="0000FF"/>
          <w:szCs w:val="22"/>
        </w:rPr>
      </w:pPr>
      <w:r w:rsidRPr="004352FA">
        <w:rPr>
          <w:rFonts w:cs="Arial"/>
          <w:color w:val="0000FF"/>
          <w:szCs w:val="22"/>
        </w:rPr>
        <w:t>Die Änderungen sind im EMS zu übernehmen.</w:t>
      </w:r>
      <w:r w:rsidR="00C13E80">
        <w:rPr>
          <w:rFonts w:cs="Arial"/>
          <w:color w:val="0000FF"/>
          <w:szCs w:val="22"/>
        </w:rPr>
        <w:t xml:space="preserve"> Erst mit der Einspielung der Daten in das EMS sind die neuen Plätze für die Mitarbeiter im KBS sichtbar.</w:t>
      </w:r>
    </w:p>
    <w:p w:rsidR="006E79A1" w:rsidRDefault="006E79A1" w:rsidP="006E79A1">
      <w:pPr>
        <w:rPr>
          <w:rFonts w:cs="Arial"/>
          <w:szCs w:val="22"/>
        </w:rPr>
      </w:pPr>
    </w:p>
    <w:p w:rsidR="006E79A1" w:rsidRPr="000D77AD" w:rsidRDefault="006E79A1" w:rsidP="006E79A1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04.11.1 Neuen Eventveranstalter erfassen</w:t>
      </w:r>
    </w:p>
    <w:p w:rsidR="006E79A1" w:rsidRDefault="006E79A1" w:rsidP="006E79A1">
      <w:pPr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Welche Voraussetzungen müssen erfüllt sein, damit ein neuer Veranstalter im System eingetragen wird?</w:t>
      </w:r>
    </w:p>
    <w:p w:rsidR="00AA6AF2" w:rsidRPr="00AA6AF2" w:rsidRDefault="00AA6AF2" w:rsidP="00AA6AF2">
      <w:pPr>
        <w:rPr>
          <w:rFonts w:cs="Arial"/>
          <w:color w:val="0000FF"/>
          <w:szCs w:val="22"/>
        </w:rPr>
      </w:pPr>
      <w:r w:rsidRPr="00AA6AF2">
        <w:rPr>
          <w:rFonts w:cs="Arial"/>
          <w:color w:val="0000FF"/>
          <w:szCs w:val="22"/>
        </w:rPr>
        <w:t>Der Eventveranstalter ist noch nicht im System erfasst.</w:t>
      </w:r>
    </w:p>
    <w:p w:rsidR="006E79A1" w:rsidRDefault="006E79A1" w:rsidP="006E79A1">
      <w:pPr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Welche Daten müssen zur Aufnahme eines neuen Veranstalters vorliegen?</w:t>
      </w:r>
    </w:p>
    <w:p w:rsidR="00AA6AF2" w:rsidRPr="00AA6AF2" w:rsidRDefault="00AA6AF2" w:rsidP="00AA6AF2">
      <w:pPr>
        <w:rPr>
          <w:rFonts w:cs="Arial"/>
          <w:color w:val="0000FF"/>
          <w:szCs w:val="22"/>
        </w:rPr>
      </w:pPr>
      <w:r w:rsidRPr="00AA6AF2">
        <w:rPr>
          <w:rFonts w:cs="Arial"/>
          <w:color w:val="0000FF"/>
          <w:szCs w:val="22"/>
        </w:rPr>
        <w:t>Daten gemäß dem Datenbankschema tbl_EvVeranstalter müssen vorliegen.</w:t>
      </w:r>
    </w:p>
    <w:p w:rsidR="006E79A1" w:rsidRDefault="006E79A1" w:rsidP="006E79A1">
      <w:pPr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Was muss nach der Aufnahme eines neuen Veranstalters berücksichtigt werden?</w:t>
      </w:r>
    </w:p>
    <w:p w:rsidR="006E79A1" w:rsidRPr="00AA6AF2" w:rsidRDefault="00AA6AF2" w:rsidP="006E79A1">
      <w:pPr>
        <w:rPr>
          <w:rFonts w:cs="Arial"/>
          <w:color w:val="0000FF"/>
          <w:szCs w:val="22"/>
        </w:rPr>
      </w:pPr>
      <w:r w:rsidRPr="00AA6AF2">
        <w:rPr>
          <w:rFonts w:cs="Arial"/>
          <w:color w:val="0000FF"/>
          <w:szCs w:val="22"/>
        </w:rPr>
        <w:t>Die Daten müssen im System übernommen werden.</w:t>
      </w:r>
    </w:p>
    <w:p w:rsidR="00AA6AF2" w:rsidRDefault="00AA6AF2" w:rsidP="006E79A1">
      <w:pPr>
        <w:rPr>
          <w:rFonts w:cs="Arial"/>
          <w:szCs w:val="22"/>
        </w:rPr>
      </w:pPr>
    </w:p>
    <w:p w:rsidR="006E79A1" w:rsidRPr="00620E10" w:rsidRDefault="006E79A1" w:rsidP="006E79A1">
      <w:pPr>
        <w:rPr>
          <w:rFonts w:cs="Arial"/>
          <w:b/>
          <w:szCs w:val="22"/>
        </w:rPr>
      </w:pPr>
      <w:r w:rsidRPr="00620E10">
        <w:rPr>
          <w:rFonts w:cs="Arial"/>
          <w:b/>
          <w:szCs w:val="22"/>
        </w:rPr>
        <w:t>UC 04.12 Event zur Buchung freigeben</w:t>
      </w:r>
    </w:p>
    <w:p w:rsidR="006E79A1" w:rsidRDefault="006E79A1" w:rsidP="006E79A1">
      <w:pPr>
        <w:numPr>
          <w:ilvl w:val="0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>Unter welchen Umständen wird ein Event zur Buchung freigegeben?</w:t>
      </w:r>
    </w:p>
    <w:p w:rsidR="00617B69" w:rsidRPr="00617B69" w:rsidRDefault="00617B69" w:rsidP="00617B69">
      <w:pPr>
        <w:rPr>
          <w:rFonts w:cs="Arial"/>
          <w:color w:val="0000FF"/>
          <w:szCs w:val="22"/>
        </w:rPr>
      </w:pPr>
      <w:r w:rsidRPr="00617B69">
        <w:rPr>
          <w:rFonts w:cs="Arial"/>
          <w:color w:val="0000FF"/>
          <w:szCs w:val="22"/>
        </w:rPr>
        <w:t>Die Daten zum Event sind eingetragen und mit dem Veranstalter abgestimmt.</w:t>
      </w:r>
    </w:p>
    <w:p w:rsidR="006E79A1" w:rsidRPr="00FA4C75" w:rsidRDefault="006E79A1" w:rsidP="006E79A1">
      <w:pPr>
        <w:numPr>
          <w:ilvl w:val="0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>Welche Konsequenzen hat die Freigabe eines Events im System?</w:t>
      </w:r>
    </w:p>
    <w:p w:rsidR="006E79A1" w:rsidRPr="00617B69" w:rsidRDefault="00617B69">
      <w:pPr>
        <w:rPr>
          <w:color w:val="0000FF"/>
        </w:rPr>
      </w:pPr>
      <w:r w:rsidRPr="00617B69">
        <w:rPr>
          <w:color w:val="0000FF"/>
        </w:rPr>
        <w:t>Eine Freigabe kann nicht mehr rückgängig gemacht werden</w:t>
      </w:r>
    </w:p>
    <w:p w:rsidR="00617B69" w:rsidRPr="00617B69" w:rsidRDefault="00617B69" w:rsidP="00617B69">
      <w:pPr>
        <w:tabs>
          <w:tab w:val="num" w:pos="254"/>
        </w:tabs>
        <w:rPr>
          <w:color w:val="0000FF"/>
        </w:rPr>
      </w:pPr>
      <w:r w:rsidRPr="00617B69">
        <w:rPr>
          <w:color w:val="0000FF"/>
        </w:rPr>
        <w:t>Die Freigabe wird im System gespeichert.</w:t>
      </w:r>
    </w:p>
    <w:p w:rsidR="00617B69" w:rsidRPr="00617B69" w:rsidRDefault="00F73AF9" w:rsidP="00617B69">
      <w:pPr>
        <w:tabs>
          <w:tab w:val="num" w:pos="254"/>
        </w:tabs>
        <w:rPr>
          <w:color w:val="0000FF"/>
        </w:rPr>
      </w:pPr>
      <w:r w:rsidRPr="00617B69">
        <w:rPr>
          <w:color w:val="0000FF"/>
        </w:rPr>
        <w:t>Der</w:t>
      </w:r>
      <w:r w:rsidR="00617B69" w:rsidRPr="00617B69">
        <w:rPr>
          <w:color w:val="0000FF"/>
        </w:rPr>
        <w:t xml:space="preserve"> Event kann über das KBS gebucht werden.</w:t>
      </w:r>
    </w:p>
    <w:p w:rsidR="00751CA6" w:rsidRPr="00617B69" w:rsidRDefault="00617B69" w:rsidP="00617B69">
      <w:pPr>
        <w:rPr>
          <w:color w:val="0000FF"/>
        </w:rPr>
      </w:pPr>
      <w:r w:rsidRPr="00617B69">
        <w:rPr>
          <w:color w:val="0000FF"/>
        </w:rPr>
        <w:t>Die Bearbeitung von Preis, Termin, Startort und Zielort wird im EMS gesperrt.</w:t>
      </w:r>
    </w:p>
    <w:p w:rsidR="00751CA6" w:rsidRDefault="00751CA6"/>
    <w:p w:rsidR="00751CA6" w:rsidRDefault="00751CA6"/>
    <w:sectPr w:rsidR="00751CA6" w:rsidSect="00C13E80">
      <w:headerReference w:type="default" r:id="rId7"/>
      <w:pgSz w:w="11906" w:h="16838" w:code="9"/>
      <w:pgMar w:top="107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1EF" w:rsidRDefault="00DE41EF">
      <w:r>
        <w:separator/>
      </w:r>
    </w:p>
  </w:endnote>
  <w:endnote w:type="continuationSeparator" w:id="0">
    <w:p w:rsidR="00DE41EF" w:rsidRDefault="00DE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1EF" w:rsidRDefault="00DE41EF">
      <w:r>
        <w:separator/>
      </w:r>
    </w:p>
  </w:footnote>
  <w:footnote w:type="continuationSeparator" w:id="0">
    <w:p w:rsidR="00DE41EF" w:rsidRDefault="00DE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5688"/>
      <w:gridCol w:w="2160"/>
    </w:tblGrid>
    <w:tr w:rsidR="00BB431D">
      <w:tc>
        <w:tcPr>
          <w:tcW w:w="5688" w:type="dxa"/>
        </w:tcPr>
        <w:p w:rsidR="00BB431D" w:rsidRDefault="00BB431D" w:rsidP="006D4F05">
          <w:pPr>
            <w:pStyle w:val="Kopfzeile"/>
            <w:spacing w:before="0" w:after="0" w:line="312" w:lineRule="auto"/>
            <w:rPr>
              <w:b/>
              <w:sz w:val="20"/>
              <w:szCs w:val="20"/>
            </w:rPr>
          </w:pPr>
          <w:r w:rsidRPr="006D4F05">
            <w:rPr>
              <w:b/>
              <w:sz w:val="20"/>
              <w:szCs w:val="20"/>
            </w:rPr>
            <w:t>Analyse zum Projekt EMS</w:t>
          </w:r>
        </w:p>
        <w:p w:rsidR="00BB431D" w:rsidRPr="00BC6D01" w:rsidRDefault="00BB431D" w:rsidP="006D4F05">
          <w:pPr>
            <w:pStyle w:val="Kopfzeile"/>
            <w:spacing w:before="0" w:after="0" w:line="312" w:lineRule="auto"/>
            <w:rPr>
              <w:b/>
              <w:sz w:val="16"/>
              <w:szCs w:val="16"/>
            </w:rPr>
          </w:pPr>
          <w:r w:rsidRPr="00BC6D01">
            <w:rPr>
              <w:b/>
              <w:sz w:val="16"/>
              <w:szCs w:val="16"/>
            </w:rPr>
            <w:t>(Konzeptionsversion)</w:t>
          </w:r>
        </w:p>
        <w:p w:rsidR="00BB431D" w:rsidRPr="006E79A1" w:rsidRDefault="00BB431D" w:rsidP="00AA23EF">
          <w:pPr>
            <w:pStyle w:val="StandardWeb"/>
            <w:spacing w:before="0" w:beforeAutospacing="0" w:after="0" w:afterAutospacing="0" w:line="312" w:lineRule="auto"/>
            <w:rPr>
              <w:b/>
              <w:bCs/>
              <w:sz w:val="16"/>
              <w:szCs w:val="16"/>
              <w:lang w:val="de-DE"/>
            </w:rPr>
          </w:pPr>
          <w:r>
            <w:rPr>
              <w:rStyle w:val="Seitenzahl"/>
              <w:lang w:val="de-DE" w:eastAsia="de-DE"/>
            </w:rPr>
            <w:t xml:space="preserve">Seite </w:t>
          </w:r>
          <w:r>
            <w:rPr>
              <w:rStyle w:val="Seitenzahl"/>
              <w:lang w:val="de-DE" w:eastAsia="de-DE"/>
            </w:rPr>
            <w:fldChar w:fldCharType="begin"/>
          </w:r>
          <w:r>
            <w:rPr>
              <w:rStyle w:val="Seitenzahl"/>
              <w:lang w:val="de-DE" w:eastAsia="de-DE"/>
            </w:rPr>
            <w:instrText xml:space="preserve"> PAGE </w:instrText>
          </w:r>
          <w:r>
            <w:rPr>
              <w:rStyle w:val="Seitenzahl"/>
              <w:lang w:val="de-DE" w:eastAsia="de-DE"/>
            </w:rPr>
            <w:fldChar w:fldCharType="separate"/>
          </w:r>
          <w:r w:rsidR="00C1794F">
            <w:rPr>
              <w:rStyle w:val="Seitenzahl"/>
              <w:noProof/>
              <w:lang w:val="de-DE" w:eastAsia="de-DE"/>
            </w:rPr>
            <w:t>1</w:t>
          </w:r>
          <w:r>
            <w:rPr>
              <w:rStyle w:val="Seitenzahl"/>
              <w:lang w:val="de-DE" w:eastAsia="de-DE"/>
            </w:rPr>
            <w:fldChar w:fldCharType="end"/>
          </w:r>
        </w:p>
      </w:tc>
      <w:tc>
        <w:tcPr>
          <w:tcW w:w="2160" w:type="dxa"/>
        </w:tcPr>
        <w:p w:rsidR="00BB431D" w:rsidRPr="006D4F05" w:rsidRDefault="00C1794F" w:rsidP="006D4F05">
          <w:pPr>
            <w:pStyle w:val="StandardWeb"/>
            <w:spacing w:before="0" w:beforeAutospacing="0" w:after="0" w:afterAutospacing="0" w:line="312" w:lineRule="auto"/>
            <w:ind w:left="-108"/>
            <w:rPr>
              <w:b/>
              <w:bCs/>
              <w:sz w:val="24"/>
              <w:lang w:val="de-DE"/>
            </w:rPr>
          </w:pPr>
          <w:r>
            <w:rPr>
              <w:b/>
              <w:bCs/>
              <w:noProof/>
              <w:sz w:val="24"/>
              <w:lang w:val="de-DE" w:eastAsia="de-DE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0</wp:posOffset>
                </wp:positionV>
                <wp:extent cx="970915" cy="1028700"/>
                <wp:effectExtent l="0" t="0" r="635" b="0"/>
                <wp:wrapNone/>
                <wp:docPr id="3" name="Bild 3" descr="logoIT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IT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91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B431D" w:rsidRPr="006D4F05">
            <w:rPr>
              <w:b/>
              <w:bCs/>
              <w:sz w:val="24"/>
              <w:lang w:val="de-DE"/>
            </w:rPr>
            <w:t>IT – Soft GmbH</w:t>
          </w:r>
        </w:p>
        <w:p w:rsidR="00BB431D" w:rsidRDefault="00BB431D" w:rsidP="006D4F05">
          <w:pPr>
            <w:spacing w:before="0" w:after="0" w:line="312" w:lineRule="auto"/>
            <w:ind w:left="-108"/>
            <w:rPr>
              <w:sz w:val="16"/>
              <w:szCs w:val="16"/>
            </w:rPr>
          </w:pPr>
          <w:r w:rsidRPr="006E79A1">
            <w:rPr>
              <w:sz w:val="16"/>
              <w:szCs w:val="16"/>
            </w:rPr>
            <w:t>Hermhauser-Strasse 19b</w:t>
          </w:r>
        </w:p>
        <w:p w:rsidR="00BB431D" w:rsidRPr="006E79A1" w:rsidRDefault="00BB431D" w:rsidP="006D4F05">
          <w:pPr>
            <w:spacing w:before="0" w:after="0" w:line="312" w:lineRule="auto"/>
            <w:ind w:left="-108"/>
            <w:rPr>
              <w:sz w:val="6"/>
              <w:szCs w:val="6"/>
            </w:rPr>
          </w:pPr>
        </w:p>
        <w:p w:rsidR="00BB431D" w:rsidRPr="006E79A1" w:rsidRDefault="00BB431D" w:rsidP="006D4F05">
          <w:pPr>
            <w:spacing w:before="0" w:after="0" w:line="312" w:lineRule="auto"/>
            <w:ind w:left="-108"/>
            <w:rPr>
              <w:rFonts w:cs="Arial"/>
              <w:sz w:val="16"/>
              <w:szCs w:val="16"/>
            </w:rPr>
          </w:pPr>
          <w:r w:rsidRPr="006E79A1">
            <w:rPr>
              <w:rFonts w:cs="Arial"/>
              <w:sz w:val="16"/>
              <w:szCs w:val="16"/>
            </w:rPr>
            <w:t>97987 Obertulpensahm</w:t>
          </w:r>
        </w:p>
      </w:tc>
    </w:tr>
  </w:tbl>
  <w:p w:rsidR="00BB431D" w:rsidRPr="006E79A1" w:rsidRDefault="00BB431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562B"/>
    <w:multiLevelType w:val="hybridMultilevel"/>
    <w:tmpl w:val="CD7A3B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371E"/>
    <w:multiLevelType w:val="hybridMultilevel"/>
    <w:tmpl w:val="679082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B0E"/>
    <w:multiLevelType w:val="hybridMultilevel"/>
    <w:tmpl w:val="3DC8A6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1AFF"/>
    <w:multiLevelType w:val="hybridMultilevel"/>
    <w:tmpl w:val="9ADC6D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23699"/>
    <w:multiLevelType w:val="hybridMultilevel"/>
    <w:tmpl w:val="8F288894"/>
    <w:lvl w:ilvl="0" w:tplc="AC6AEC06">
      <w:start w:val="1"/>
      <w:numFmt w:val="bullet"/>
      <w:pStyle w:val="Arbeitsauftrag"/>
      <w:lvlText w:val="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sz w:val="22"/>
      </w:rPr>
    </w:lvl>
    <w:lvl w:ilvl="1" w:tplc="581EE168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019A1"/>
    <w:multiLevelType w:val="hybridMultilevel"/>
    <w:tmpl w:val="EF10DA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1"/>
    <w:rsid w:val="00312BE1"/>
    <w:rsid w:val="00386E68"/>
    <w:rsid w:val="004352FA"/>
    <w:rsid w:val="00435745"/>
    <w:rsid w:val="00546315"/>
    <w:rsid w:val="00617B69"/>
    <w:rsid w:val="006A0905"/>
    <w:rsid w:val="006D4F05"/>
    <w:rsid w:val="006E1B78"/>
    <w:rsid w:val="006E79A1"/>
    <w:rsid w:val="007255EE"/>
    <w:rsid w:val="00751CA6"/>
    <w:rsid w:val="00990D79"/>
    <w:rsid w:val="00A024CC"/>
    <w:rsid w:val="00A913A9"/>
    <w:rsid w:val="00AA23EF"/>
    <w:rsid w:val="00AA6AF2"/>
    <w:rsid w:val="00B75795"/>
    <w:rsid w:val="00BB431D"/>
    <w:rsid w:val="00BC6D01"/>
    <w:rsid w:val="00C13E80"/>
    <w:rsid w:val="00C1794F"/>
    <w:rsid w:val="00D47E02"/>
    <w:rsid w:val="00DE41EF"/>
    <w:rsid w:val="00F7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docId w15:val="{94B2F3FD-7208-4A40-ABE5-BD08208A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E79A1"/>
    <w:pPr>
      <w:spacing w:before="72" w:after="72" w:line="288" w:lineRule="atLeast"/>
      <w:jc w:val="both"/>
    </w:pPr>
    <w:rPr>
      <w:rFonts w:ascii="Arial" w:hAnsi="Arial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beitsauftrag">
    <w:name w:val="Arbeitsauftrag"/>
    <w:basedOn w:val="Standard"/>
    <w:rsid w:val="006E79A1"/>
    <w:pPr>
      <w:numPr>
        <w:numId w:val="5"/>
      </w:numPr>
    </w:pPr>
    <w:rPr>
      <w:rFonts w:cs="Arial"/>
      <w:b/>
      <w:bCs/>
      <w:i/>
      <w:iCs/>
    </w:rPr>
  </w:style>
  <w:style w:type="paragraph" w:styleId="Kopfzeile">
    <w:name w:val="header"/>
    <w:basedOn w:val="Standard"/>
    <w:rsid w:val="006E79A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E79A1"/>
    <w:pPr>
      <w:tabs>
        <w:tab w:val="center" w:pos="4536"/>
        <w:tab w:val="right" w:pos="9072"/>
      </w:tabs>
    </w:pPr>
  </w:style>
  <w:style w:type="paragraph" w:styleId="StandardWeb">
    <w:name w:val="Normal (Web)"/>
    <w:basedOn w:val="Standard"/>
    <w:rsid w:val="006E79A1"/>
    <w:pPr>
      <w:spacing w:before="100" w:beforeAutospacing="1" w:after="100" w:afterAutospacing="1" w:line="240" w:lineRule="atLeast"/>
      <w:jc w:val="left"/>
    </w:pPr>
    <w:rPr>
      <w:lang w:val="en-GB" w:eastAsia="en-US"/>
    </w:rPr>
  </w:style>
  <w:style w:type="table" w:styleId="Tabellenraster">
    <w:name w:val="Table Grid"/>
    <w:basedOn w:val="NormaleTabelle"/>
    <w:rsid w:val="006E79A1"/>
    <w:pPr>
      <w:spacing w:before="72" w:after="72" w:line="288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AA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9" ma:contentTypeDescription="Ein neues Dokument erstellen." ma:contentTypeScope="" ma:versionID="11e55c9c404367c29eea5c3f08908163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dd43ef29942cf46193e7da96b923f5b9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EF04D167-F6FE-44F7-AB70-4D15E536BCB0}"/>
</file>

<file path=customXml/itemProps2.xml><?xml version="1.0" encoding="utf-8"?>
<ds:datastoreItem xmlns:ds="http://schemas.openxmlformats.org/officeDocument/2006/customXml" ds:itemID="{23D4549B-240C-4637-8800-ECF134ECFED0}"/>
</file>

<file path=customXml/itemProps3.xml><?xml version="1.0" encoding="utf-8"?>
<ds:datastoreItem xmlns:ds="http://schemas.openxmlformats.org/officeDocument/2006/customXml" ds:itemID="{75CF2CEA-5967-4EF1-9B25-9B42D4BEA6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Verfeinerung der Usecases zum Event Management System</vt:lpstr>
    </vt:vector>
  </TitlesOfParts>
  <Company>BS1 Passau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Verfeinerung der Usecases zum Event Management System</dc:title>
  <dc:creator>EDV</dc:creator>
  <cp:lastModifiedBy>Roland Reckziegel</cp:lastModifiedBy>
  <cp:revision>2</cp:revision>
  <dcterms:created xsi:type="dcterms:W3CDTF">2022-10-03T10:48:00Z</dcterms:created>
  <dcterms:modified xsi:type="dcterms:W3CDTF">2022-10-03T10:48:00Z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