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drawing>
          <wp:inline xmlns:a="http://schemas.openxmlformats.org/drawingml/2006/main" xmlns:pic="http://schemas.openxmlformats.org/drawingml/2006/picture">
            <wp:extent cx="2592000" cy="12700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lca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270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360" w:after="160"/>
        <w:jc w:val="center"/>
      </w:pPr>
      <w:r>
        <w:rPr>
          <w:rFonts w:ascii="Aptos Display" w:hAnsi="Aptos Display"/>
          <w:b/>
          <w:color w:val="000000"/>
          <w:sz w:val="48"/>
        </w:rPr>
        <w:t>Procès verbal de remise technique</w:t>
      </w:r>
    </w:p>
    <w:p>
      <w:pPr>
        <w:jc w:val="center"/>
      </w:pPr>
      <w:r>
        <w:rPr>
          <w:rFonts w:ascii="Aptos" w:hAnsi="Aptos"/>
          <w:b/>
          <w:color w:val="17365D"/>
          <w:sz w:val="24"/>
        </w:rPr>
        <w:t>ERP et CRM automobile de la LCA</w:t>
      </w:r>
    </w:p>
    <w:p>
      <w:pPr>
        <w:spacing w:before="360"/>
        <w:jc w:val="center"/>
      </w:pPr>
      <w:r>
        <w:rPr>
          <w:rFonts w:ascii="Aptos" w:hAnsi="Aptos"/>
          <w:b/>
          <w:color w:val="666666"/>
          <w:sz w:val="18"/>
        </w:rPr>
        <w:t>DOCUMENT DE REMISE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>
              <w:t>Réceptionnaire technique</w:t>
            </w:r>
            <w:r>
              <w:rPr>
                <w:rFonts w:ascii="Aptos" w:hAnsi="Aptos"/>
                <w:b/>
                <w:color w:val="000000"/>
                <w:sz w:val="17"/>
              </w:rPr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NEXORA</w:t>
            </w:r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>
              <w:t>Sous-traitant technique remettant</w:t>
            </w:r>
            <w:r>
              <w:rPr>
                <w:rFonts w:ascii="Aptos" w:hAnsi="Aptos"/>
                <w:b/>
                <w:color w:val="000000"/>
                <w:sz w:val="17"/>
              </w:rPr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BEROX</w:t>
            </w:r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Référence du paquet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LCA-ERP-PKG-20261012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Date du document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[À COMPLÉTER]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rFonts w:ascii="Aptos" w:hAnsi="Aptos"/>
          <w:b w:val="0"/>
          <w:color w:val="666666"/>
          <w:sz w:val="18"/>
        </w:rPr>
        <w:t>Document préparé pour examen, impression et signature. Il ne constate ni réception fonctionnelle ni mise en production.</w:t>
      </w:r>
    </w:p>
    <w:p>
      <w:r>
        <w:br w:type="page"/>
      </w:r>
    </w:p>
    <w:p>
      <w:pPr>
        <w:pStyle w:val="Heading1"/>
      </w:pPr>
      <w:r>
        <w:t>Objet et portée</w:t>
      </w:r>
    </w:p>
    <w:p>
      <w:pPr>
        <w:keepLines/>
      </w:pPr>
      <w:r>
        <w:rPr>
          <w:rFonts w:ascii="Aptos" w:hAnsi="Aptos"/>
          <w:b w:val="0"/>
          <w:color w:val="000000"/>
          <w:sz w:val="20"/>
        </w:rPr>
        <w:t>Le présent procès-verbal est préparé pour constater, après vérification matérielle par les parties, la remise technique du paquet ERP LCA par BEROX à NEXORA pour le projet ERP/CRM de La Congolaise de l’Automobile. NEXORA est chargée d’organiser ensuite la remise officielle à LCA. Cette remise technique ne constitue ni une réception fonctionnelle par LCA, ni un déploiement, ni une mise en production.</w:t>
      </w:r>
    </w:p>
    <w:p>
      <w:pPr>
        <w:pStyle w:val="Heading1"/>
      </w:pPr>
      <w:r>
        <w:t>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tblHeader w:val="true"/>
          <w:cantSplit w:val="true"/>
        </w:trPr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Information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Projet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ERP / CRM automobile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>
              <w:t>Client final et bénéficiaire</w:t>
            </w: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>
              <w:t>La Congolaise de l’Automobile LCA</w:t>
            </w: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Remettant technique</w:t>
            </w: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BEROX</w:t>
            </w: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>
              <w:t>Réceptionnaire technique</w:t>
            </w: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>
              <w:t>NEXORA</w:t>
            </w: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Archive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LCA-ERP-LIVRAISON-FINALE.zip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Nombre de fichiers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471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Date de remise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[À COMPLÉTER]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Lieu de remise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[À COMPLÉTER]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Référence contractuelle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[À COMPLÉTER]</w:t>
            </w:r>
          </w:p>
        </w:tc>
      </w:tr>
    </w:tbl>
    <w:p>
      <w:pPr>
        <w:spacing w:after="40"/>
      </w:pPr>
    </w:p>
    <w:p>
      <w:pPr>
        <w:pStyle w:val="Heading1"/>
      </w:pPr>
      <w:r>
        <w:t>Description générale</w:t>
      </w:r>
    </w:p>
    <w:p>
      <w:pPr>
        <w:keepLines/>
      </w:pPr>
      <w:r>
        <w:rPr>
          <w:rFonts w:ascii="Aptos" w:hAnsi="Aptos"/>
          <w:b w:val="0"/>
          <w:color w:val="000000"/>
          <w:sz w:val="20"/>
        </w:rPr>
        <w:t>La solution regroupe les fonctions de gestion automobile, CRM et commercial, parc et stock véhicules, ventes et livraisons, atelier et service après-vente, pièces, clients, GED, finance, trésorerie, administration, paramètres, habilitations et ressources humaines selon le périmètre livré.</w:t>
      </w:r>
    </w:p>
    <w:p>
      <w:pPr>
        <w:pStyle w:val="Heading1"/>
      </w:pPr>
      <w:r>
        <w:t>Éléments proposés à la remise</w:t>
      </w:r>
    </w:p>
    <w:p>
      <w:pPr>
        <w:pStyle w:val="ListBullet"/>
        <w:spacing w:after="60"/>
        <w:keepLines/>
      </w:pPr>
      <w:r>
        <w:rPr>
          <w:rFonts w:ascii="Aptos" w:hAnsi="Aptos"/>
          <w:b w:val="0"/>
          <w:color w:val="000000"/>
          <w:sz w:val="20"/>
        </w:rPr>
        <w:t>Archive ZIP autonome du paquet qualifié et son empreinte SHA-256 externe.</w:t>
      </w:r>
    </w:p>
    <w:p>
      <w:pPr>
        <w:pStyle w:val="ListBullet"/>
        <w:spacing w:after="60"/>
        <w:keepLines/>
      </w:pPr>
      <w:r>
        <w:rPr>
          <w:rFonts w:ascii="Aptos" w:hAnsi="Aptos"/>
          <w:b w:val="0"/>
          <w:color w:val="000000"/>
          <w:sz w:val="20"/>
        </w:rPr>
        <w:t>Code source frontend et backend, dépendances déclarées, SQL, Docker, Nginx et exemples de configuration.</w:t>
      </w:r>
    </w:p>
    <w:p>
      <w:pPr>
        <w:pStyle w:val="ListBullet"/>
        <w:spacing w:after="60"/>
        <w:keepLines/>
      </w:pPr>
      <w:r>
        <w:rPr>
          <w:rFonts w:ascii="Aptos" w:hAnsi="Aptos"/>
          <w:b w:val="0"/>
          <w:color w:val="000000"/>
          <w:sz w:val="20"/>
        </w:rPr>
        <w:t>Documentation d’installation, d’exploitation, de sécurité, de sauvegarde et de restauration.</w:t>
      </w:r>
    </w:p>
    <w:p>
      <w:pPr>
        <w:pStyle w:val="ListBullet"/>
        <w:spacing w:after="60"/>
        <w:keepLines/>
      </w:pPr>
      <w:r>
        <w:rPr>
          <w:rFonts w:ascii="Aptos" w:hAnsi="Aptos"/>
          <w:b w:val="0"/>
          <w:color w:val="000000"/>
          <w:sz w:val="20"/>
        </w:rPr>
        <w:t>Rapports de correction, qualification, clôture et préparation de livraison.</w:t>
      </w:r>
    </w:p>
    <w:p>
      <w:pPr>
        <w:pStyle w:val="ListBullet"/>
        <w:spacing w:after="60"/>
        <w:keepLines/>
      </w:pPr>
      <w:r>
        <w:rPr>
          <w:rFonts w:ascii="Aptos" w:hAnsi="Aptos"/>
          <w:b w:val="0"/>
          <w:color w:val="000000"/>
          <w:sz w:val="20"/>
        </w:rPr>
        <w:t>Manifestes d’inventaire et d’intégrité.</w:t>
      </w:r>
    </w:p>
    <w:p>
      <w:pPr>
        <w:keepLines/>
      </w:pPr>
      <w:r>
        <w:rPr>
          <w:rFonts w:ascii="Aptos" w:hAnsi="Aptos"/>
          <w:b w:val="0"/>
          <w:color w:val="000000"/>
          <w:sz w:val="20"/>
        </w:rPr>
        <w:t>Le détail opposable de la remise matérielle doit être coché dans le document 02 Bordereau des livrables.</w:t>
      </w:r>
    </w:p>
    <w:p>
      <w:pPr>
        <w:pStyle w:val="Heading1"/>
      </w:pPr>
      <w:r>
        <w:t>État technique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669"/>
      </w:tblGrid>
      <w:tr>
        <w:trPr>
          <w:tblHeader w:val="true"/>
          <w:cantSplit w:val="true"/>
        </w:trPr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Contrôle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Résultat de référence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Qualification technique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 — qualifié avec réserves non bloquantes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Backend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231/231 fichiers de tests réussis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Frontend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153/153 fichiers de tests réussis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Reporting MySQL 8.4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5/5 scénarios réussis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GED et PDF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Réussis dans le périmètre qualifié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HTTPS et WSS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Réussis en environnement temporaire isolé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Préparation du paquet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 — paquet prêt avec réserves documentées</w:t>
            </w:r>
          </w:p>
        </w:tc>
      </w:tr>
    </w:tbl>
    <w:p>
      <w:pPr>
        <w:spacing w:after="40"/>
      </w:pPr>
    </w:p>
    <w:p>
      <w:pPr>
        <w:pStyle w:val="Heading1"/>
      </w:pPr>
      <w:r>
        <w:t>Intégrité</w:t>
      </w:r>
    </w:p>
    <w:p>
      <w:pPr>
        <w:keepLines/>
      </w:pPr>
      <w:r>
        <w:rPr>
          <w:rFonts w:ascii="Aptos" w:hAnsi="Aptos"/>
          <w:b w:val="0"/>
          <w:color w:val="000000"/>
          <w:sz w:val="20"/>
        </w:rPr>
        <w:t>L’archive doit être vérifiée avant toute remise avec SHA-256. Empreinte vérifiée le 12 octobre 2026 :</w:t>
      </w:r>
    </w:p>
    <w:p>
      <w:pPr>
        <w:jc w:val="center"/>
      </w:pPr>
      <w:r>
        <w:rPr>
          <w:rFonts w:ascii="Liberation Mono" w:hAnsi="Liberation Mono"/>
          <w:b/>
          <w:color w:val="17365D"/>
          <w:sz w:val="17"/>
        </w:rPr>
        <w:t>7a05ce52ace2033a5beb0b1f8ff967e346f4e63c8c0fe20bf29b91b0500ea3cc</w:t>
      </w:r>
    </w:p>
    <w:p>
      <w:pPr>
        <w:pStyle w:val="Heading1"/>
      </w:pPr>
      <w:r>
        <w:t>Réserves et observations</w:t>
      </w:r>
    </w:p>
    <w:p>
      <w:pPr>
        <w:keepLines/>
      </w:pPr>
      <w:r>
        <w:rPr>
          <w:rFonts w:ascii="Aptos" w:hAnsi="Aptos"/>
          <w:b w:val="0"/>
          <w:color w:val="000000"/>
          <w:sz w:val="20"/>
        </w:rPr>
        <w:t>Les réserves AUD-LCA-013, AUD-LCA-014 et AUD-LCA-024, ainsi que les actions d’exploitation restant à réaliser, sont décrites dans le document 03. Leur mention ne vaut ni levée ni acceptation implicite.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5385"/>
      </w:tblGrid>
      <w:tr>
        <w:trPr>
          <w:tblHeader w:val="true"/>
          <w:cantSplit w:val="true"/>
        </w:trPr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Observation au moment de la remise</w:t>
            </w:r>
          </w:p>
        </w:tc>
        <w:tc>
          <w:tcPr>
            <w:tcW w:type="dxa" w:w="53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Valeur</w:t>
            </w:r>
          </w:p>
        </w:tc>
      </w:tr>
      <w:tr>
        <w:trPr>
          <w:cantSplit w:val="true"/>
        </w:trPr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Support de remise</w:t>
            </w:r>
          </w:p>
        </w:tc>
        <w:tc>
          <w:tcPr>
            <w:tcW w:type="dxa" w:w="53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[À COMPLÉTER]</w:t>
            </w:r>
          </w:p>
        </w:tc>
      </w:tr>
      <w:tr>
        <w:trPr>
          <w:cantSplit w:val="true"/>
        </w:trPr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Vérification SHA-256 effectuée par</w:t>
            </w:r>
          </w:p>
        </w:tc>
        <w:tc>
          <w:tcPr>
            <w:tcW w:type="dxa" w:w="53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[À COMPLÉTER]</w:t>
            </w:r>
          </w:p>
        </w:tc>
      </w:tr>
      <w:tr>
        <w:trPr>
          <w:cantSplit w:val="true"/>
        </w:trPr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Résultat du contrôle</w:t>
            </w:r>
          </w:p>
        </w:tc>
        <w:tc>
          <w:tcPr>
            <w:tcW w:type="dxa" w:w="53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[À COMPLÉTER]</w:t>
            </w:r>
          </w:p>
        </w:tc>
      </w:tr>
      <w:tr>
        <w:trPr>
          <w:cantSplit w:val="true"/>
        </w:trPr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Observations complémentaires</w:t>
            </w:r>
          </w:p>
        </w:tc>
        <w:tc>
          <w:tcPr>
            <w:tcW w:type="dxa" w:w="53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[À COMPLÉTER]</w:t>
            </w:r>
          </w:p>
        </w:tc>
      </w:tr>
    </w:tbl>
    <w:p>
      <w:pPr>
        <w:spacing w:after="40"/>
      </w:pPr>
    </w:p>
    <w:p>
      <w:pPr>
        <w:pStyle w:val="Heading1"/>
      </w:pPr>
      <w:r>
        <w:t>Réception fonctionnelle distincte</w:t>
      </w:r>
    </w:p>
    <w:p>
      <w:pPr>
        <w:keepLines/>
      </w:pPr>
      <w:r>
        <w:rPr>
          <w:rFonts w:ascii="Aptos" w:hAnsi="Aptos"/>
          <w:b w:val="0"/>
          <w:color w:val="000000"/>
          <w:sz w:val="20"/>
        </w:rPr>
        <w:t>La réception fonctionnelle relève du document 05, à compléter par LCA dans le cadre de la remise NEXORA vers LCA et après sa propre recette. La signature du présent procès-verbal BEROX vers NEXORA ne sélectionne aucune décision de réception fonctionnelle.</w:t>
      </w:r>
    </w:p>
    <w:p>
      <w:r>
        <w:br w:type="page"/>
      </w:r>
    </w:p>
    <w:p>
      <w:pPr>
        <w:pStyle w:val="Heading1"/>
      </w:pPr>
      <w:r>
        <w:t>Signatures</w:t>
      </w:r>
    </w:p>
    <w:p>
      <w:pPr>
        <w:keepLines/>
      </w:pPr>
      <w:r>
        <w:rPr>
          <w:rFonts w:ascii="Aptos" w:hAnsi="Aptos"/>
          <w:b w:val="0"/>
          <w:color w:val="000000"/>
          <w:sz w:val="20"/>
        </w:rPr>
        <w:t>La signature ci-dessous constate uniquement le contenu indiqué par le présent document. Toute portée différente doit être expressément inscrite dans les observations.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0000"/>
                <w:sz w:val="18"/>
              </w:rPr>
              <w:t>Pour BEROX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>
              <w:t>Pour NEXORA</w:t>
            </w:r>
            <w:r>
              <w:rPr>
                <w:rFonts w:ascii="Aptos" w:hAnsi="Aptos"/>
                <w:b/>
                <w:color w:val="000000"/>
                <w:sz w:val="18"/>
              </w:rPr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Nom : [À COMPLÉTER]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Nom : [À COMPLÉTER]</w:t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Fonction : [À COMPLÉTER]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Fonction : [À COMPLÉTER]</w:t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Date : [À COMPLÉTER]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Date : [À COMPLÉTER]</w:t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Signature :</w:t>
              <w:br/>
              <w:br/>
              <w:br/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Signature :</w:t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 xml:space="preserve">Procès verbal de remise technique  •  LCA-ERP-PKG-20261012  •  Page </w:t>
    </w:r>
    <w:r>
      <w:rPr>
        <w:rFonts w:ascii="Aptos" w:hAnsi="Aptos"/>
        <w:b w:val="0"/>
        <w:color w:val="666666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ptos" w:hAnsi="Aptos"/>
        <w:b w:val="0"/>
        <w:color w:val="666666"/>
        <w:sz w:val="16"/>
      </w:rPr>
      <w:t xml:space="preserve"> / </w:t>
    </w:r>
    <w:r>
      <w:rPr>
        <w:rFonts w:ascii="Aptos" w:hAnsi="Aptos"/>
        <w:b w:val="0"/>
        <w:color w:val="666666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6"/>
      </w:rPr>
      <w:t>ERP LCA  |  Dossier officiel de remise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32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PROCES VERBAL REMISE TECHNIQUE</dc:title>
  <dc:subject>Dossier officiel de remise technique ERP LCA</dc:subject>
  <dc:creator>BEROX</dc:creator>
  <cp:keywords>ERP LCA remise technique</cp:keywords>
  <dc:description>Document à examiner et compléter avant signature.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