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270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c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27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60" w:after="160"/>
        <w:jc w:val="center"/>
      </w:pPr>
      <w:r>
        <w:rPr>
          <w:rFonts w:ascii="Aptos Display" w:hAnsi="Aptos Display"/>
          <w:b/>
          <w:color w:val="000000"/>
          <w:sz w:val="48"/>
        </w:rPr>
        <w:t>Fiche des réserves</w:t>
      </w:r>
    </w:p>
    <w:p>
      <w:pPr>
        <w:jc w:val="center"/>
      </w:pPr>
      <w:r>
        <w:rPr>
          <w:rFonts w:ascii="Aptos" w:hAnsi="Aptos"/>
          <w:b/>
          <w:color w:val="17365D"/>
          <w:sz w:val="24"/>
        </w:rPr>
        <w:t>État technique et actions avant exploitation</w:t>
      </w:r>
    </w:p>
    <w:p>
      <w:pPr>
        <w:spacing w:before="360"/>
        <w:jc w:val="center"/>
      </w:pPr>
      <w:r>
        <w:rPr>
          <w:rFonts w:ascii="Aptos" w:hAnsi="Aptos"/>
          <w:b/>
          <w:color w:val="666666"/>
          <w:sz w:val="18"/>
        </w:rPr>
        <w:t>REGISTRE À SUIVRE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Circuit documentaire</w:t>
            </w:r>
            <w:r>
              <w:rPr>
                <w:rFonts w:ascii="Aptos" w:hAnsi="Aptos"/>
                <w:b/>
                <w:color w:val="000000"/>
                <w:sz w:val="17"/>
              </w:rPr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BEROX → NEXORA → LCA</w:t>
            </w:r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Sous-traitant technique</w:t>
            </w:r>
            <w:r>
              <w:rPr>
                <w:rFonts w:ascii="Aptos" w:hAnsi="Aptos"/>
                <w:b/>
                <w:color w:val="000000"/>
                <w:sz w:val="17"/>
              </w:rPr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BEROX</w:t>
            </w:r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Référence du paquet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LCA-ERP-PKG-20261012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Date du document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rFonts w:ascii="Aptos" w:hAnsi="Aptos"/>
          <w:b w:val="0"/>
          <w:color w:val="666666"/>
          <w:sz w:val="18"/>
        </w:rPr>
        <w:t>Document préparé pour examen, impression et signature. Il ne constate ni réception fonctionnelle ni mise en production.</w:t>
      </w:r>
    </w:p>
    <w:p>
      <w:r>
        <w:br w:type="page"/>
      </w:r>
    </w:p>
    <w:p>
      <w:pPr>
        <w:pStyle w:val="Heading1"/>
      </w:pPr>
      <w:r>
        <w:t>Portée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Cette fiche distingue les réserves du logiciel, la réserve du paquet et les actions préalables à la production. Elle accompagne les deux étapes de remise BEROX vers NEXORA puis NEXORA vers LCA. Aucun responsable ni délai n’est attribué sans confirmation écrite des parties.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700"/>
        <w:gridCol w:w="1644"/>
        <w:gridCol w:w="1644"/>
        <w:gridCol w:w="1814"/>
        <w:gridCol w:w="1133"/>
        <w:gridCol w:w="1020"/>
        <w:gridCol w:w="1247"/>
      </w:tblGrid>
      <w:tr>
        <w:trPr>
          <w:tblHeader w:val="true"/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Réf.</w:t>
            </w:r>
          </w:p>
        </w:tc>
        <w:tc>
          <w:tcPr>
            <w:tcW w:type="dxa" w:w="1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6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Impact potentiel</w:t>
            </w:r>
          </w:p>
        </w:tc>
        <w:tc>
          <w:tcPr>
            <w:tcW w:type="dxa" w:w="16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Maîtrise existante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Action recommandée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Responsable à confirmer</w:t>
            </w:r>
            <w:r>
              <w:rPr>
                <w:rFonts w:ascii="Aptos" w:hAnsi="Aptos"/>
                <w:b/>
                <w:color w:val="FFFFFF"/>
                <w:sz w:val="15"/>
              </w:rPr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Échéance à compléter</w:t>
            </w:r>
            <w:r>
              <w:rPr>
                <w:rFonts w:ascii="Aptos" w:hAnsi="Aptos"/>
                <w:b/>
                <w:color w:val="FFFFFF"/>
                <w:sz w:val="15"/>
              </w:rPr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Statut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AUD-LCA-013</w:t>
            </w:r>
          </w:p>
        </w:tc>
        <w:tc>
          <w:tcPr>
            <w:tcW w:type="dxa" w:w="1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Logiciel — Timeout SQL métier par requête non généralisé</w:t>
            </w: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6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Ressource SQL longue susceptible de mobiliser une connexion</w:t>
            </w:r>
          </w:p>
        </w:tc>
        <w:tc>
          <w:tcPr>
            <w:tcW w:type="dxa" w:w="16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Pool borné et timeout de connexion configurables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Définir la politique de timeout, tester les transactions et requalifier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[À confirmer]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Ouverte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AUD-LCA-014</w:t>
            </w:r>
          </w:p>
        </w:tc>
        <w:tc>
          <w:tcPr>
            <w:tcW w:type="dxa" w:w="1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>
              <w:t>Logiciel — Uploads GED bufferisés en mémoire</w:t>
            </w: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6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Pic mémoire sur fichiers ou concurrence élevés</w:t>
            </w:r>
          </w:p>
        </w:tc>
        <w:tc>
          <w:tcPr>
            <w:tcW w:type="dxa" w:w="16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Taille maximale et limites du service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Qualifier un streaming, l’abandon et la signature de fichiers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[À confirmer]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Ouverte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AUD-LCA-024</w:t>
            </w:r>
          </w:p>
        </w:tc>
        <w:tc>
          <w:tcPr>
            <w:tcW w:type="dxa" w:w="1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Paquet — Reproductibilité Docker et chaîne de livraison</w:t>
            </w:r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6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Dérive d’image ou traçabilité incomplète</w:t>
            </w:r>
          </w:p>
        </w:tc>
        <w:tc>
          <w:tcPr>
            <w:tcW w:type="dxa" w:w="16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Node, MySQL et Nginx épinglés par digests vérifiés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Produire SBOM, définir signature et revoir Alpine utilitaire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[À confirmer]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Partiellement traitée</w:t>
            </w:r>
          </w:p>
        </w:tc>
      </w:tr>
    </w:tbl>
    <w:p>
      <w:pPr>
        <w:spacing w:after="40"/>
      </w:pPr>
      <w:r/>
    </w:p>
    <w:p>
      <w:pPr>
        <w:pStyle w:val="Heading1"/>
      </w:pPr>
      <w:r>
        <w:t>Actions préalables à la production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757"/>
        <w:gridCol w:w="3628"/>
        <w:gridCol w:w="1247"/>
        <w:gridCol w:w="1133"/>
        <w:gridCol w:w="1247"/>
      </w:tblGrid>
      <w:tr>
        <w:trPr>
          <w:tblHeader w:val="true"/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Réf.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Sujet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Action et preuve attendue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Responsable à confirmer</w:t>
            </w:r>
            <w:r>
              <w:rPr>
                <w:rFonts w:ascii="Aptos" w:hAnsi="Aptos"/>
                <w:b/>
                <w:color w:val="FFFFFF"/>
                <w:sz w:val="16"/>
              </w:rPr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Échéance à compléter</w:t>
            </w:r>
            <w:r>
              <w:rPr>
                <w:rFonts w:ascii="Aptos" w:hAnsi="Aptos"/>
                <w:b/>
                <w:color w:val="FFFFFF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Statut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EXP-01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Certificats HTTPS réels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Installer par canal sécurisé, tester chaîne et renouvellement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confirmer]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À faire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EXP-02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Reverse proxy cible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Valider DNS, TLS, HSTS, API, uploads, WSS et adresse client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confirmer]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À faire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EXP-03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Sauvegarde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Configurer destination chiffrée, rétention, supervision et test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confirmer]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À faire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EXP-04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Restauration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Exécuter un exercice sur cible vide avec RPO/RTO mesurés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confirmer]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À faire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EXP-05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Paramètres production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Valider URLs, proxy hops, limites, identité concession et intégrations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confirmer]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À faire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EXP-06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Accès et sécurité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Créer comptes nominatifs, rôles/scopes et rotation des accès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confirmer]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À faire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LCA-R01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Anciennes copies et sauvegardes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Achever la vérification des volumes, bases techniques et périmètre externe historiquement concernés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confirmer]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Ouverte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EXP-08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Volumes lca_*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Prouver l’absence de collision et revoir les scripts selon la topologie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confirmer]</w:t>
            </w:r>
          </w:p>
        </w:tc>
        <w:tc>
          <w:tcPr>
            <w:tcW w:type="dxa" w:w="11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[À compléter]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À faire</w:t>
            </w:r>
          </w:p>
        </w:tc>
      </w:tr>
    </w:tbl>
    <w:p>
      <w:pPr>
        <w:spacing w:after="40"/>
      </w:pPr>
    </w:p>
    <w:p>
      <w:pPr>
        <w:pStyle w:val="Heading1"/>
      </w:pPr>
      <w:r>
        <w:t>Règles de clôture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Une réserve n’est levée qu’avec une preuve datée, un résultat vérifiable et une décision enregistrée.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Le passage en production requiert une recette de l’infrastructure cible et les accords sécurité, exploitation et métier.</w:t>
      </w:r>
    </w:p>
    <w:p>
      <w:pPr>
        <w:pStyle w:val="ListBullet"/>
        <w:spacing w:after="60"/>
        <w:keepLines/>
      </w:pPr>
      <w:r>
        <w:rPr>
          <w:rFonts w:ascii="Aptos" w:hAnsi="Aptos"/>
          <w:b w:val="0"/>
          <w:color w:val="000000"/>
          <w:sz w:val="20"/>
        </w:rPr>
        <w:t>Toute modification de code, migration, image ou proxy déclenche une analyse d’impact et une requalification proportionnée.</w:t>
      </w:r>
    </w:p>
    <w:p>
      <w:pPr>
        <w:pStyle w:val="Heading1"/>
      </w:pPr>
      <w:r>
        <w:t>Validation du suivi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2551"/>
        <w:gridCol w:w="2834"/>
      </w:tblGrid>
      <w:tr>
        <w:trPr>
          <w:tblHeader w:val="true"/>
          <w:cantSplit w:val="true"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Réunion / décision</w:t>
            </w:r>
          </w:p>
        </w:tc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Participants</w:t>
            </w:r>
          </w:p>
        </w:tc>
        <w:tc>
          <w:tcPr>
            <w:tcW w:type="dxa" w:w="28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Décision ou preuve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  <w:tc>
          <w:tcPr>
            <w:tcW w:type="dxa" w:w="28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  <w:tc>
          <w:tcPr>
            <w:tcW w:type="dxa" w:w="28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Signatures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La signature ci-dessous constate uniquement le contenu indiqué par le présent document. Toute portée différente doit être expressément inscrite dans les observations.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Pour BEROX — suivi technique</w:t>
            </w:r>
            <w:r>
              <w:rPr>
                <w:rFonts w:ascii="Aptos" w:hAnsi="Aptos"/>
                <w:b/>
                <w:color w:val="000000"/>
                <w:sz w:val="18"/>
              </w:rPr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Pour NEXORA — coordination</w:t>
            </w:r>
            <w:r>
              <w:rPr>
                <w:rFonts w:ascii="Aptos" w:hAnsi="Aptos"/>
                <w:b/>
                <w:color w:val="000000"/>
                <w:sz w:val="18"/>
              </w:rPr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Nom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Nom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Fonction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Fonction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Signature :</w:t>
              <w:br/>
              <w:br/>
              <w:br/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Signature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 xml:space="preserve">Fiche des réserves  •  LCA-ERP-PKG-20261012  •  Page </w:t>
    </w:r>
    <w:r>
      <w:rPr>
        <w:rFonts w:ascii="Aptos" w:hAnsi="Aptos"/>
        <w:b w:val="0"/>
        <w:color w:val="66666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b w:val="0"/>
        <w:color w:val="666666"/>
        <w:sz w:val="16"/>
      </w:rPr>
      <w:t xml:space="preserve"> / </w:t>
    </w:r>
    <w:r>
      <w:rPr>
        <w:rFonts w:ascii="Aptos" w:hAnsi="Aptos"/>
        <w:b w:val="0"/>
        <w:color w:val="66666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ERP LCA  |  Dossier officiel de remise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3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FICHE DES RESERVES</dc:title>
  <dc:subject>Dossier officiel de remise technique ERP LCA</dc:subject>
  <dc:creator>BEROX</dc:creator>
  <cp:keywords>ERP LCA remise technique</cp:keywords>
  <dc:description>Document à examiner et compléter avant signature.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