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2592000" cy="1270029"/>
            <wp:docPr id="1" name="Picture 1"/>
            <wp:cNvGraphicFramePr>
              <a:graphicFrameLocks noChangeAspect="1"/>
            </wp:cNvGraphicFramePr>
            <a:graphic>
              <a:graphicData uri="http://schemas.openxmlformats.org/drawingml/2006/picture">
                <pic:pic>
                  <pic:nvPicPr>
                    <pic:cNvPr id="0" name="logo-lca2.png"/>
                    <pic:cNvPicPr/>
                  </pic:nvPicPr>
                  <pic:blipFill>
                    <a:blip r:embed="rId11"/>
                    <a:stretch>
                      <a:fillRect/>
                    </a:stretch>
                  </pic:blipFill>
                  <pic:spPr>
                    <a:xfrm>
                      <a:off x="0" y="0"/>
                      <a:ext cx="2592000" cy="1270029"/>
                    </a:xfrm>
                    <a:prstGeom prst="rect"/>
                  </pic:spPr>
                </pic:pic>
              </a:graphicData>
            </a:graphic>
          </wp:inline>
        </w:drawing>
      </w:r>
    </w:p>
    <w:p>
      <w:pPr>
        <w:pStyle w:val="Title"/>
        <w:spacing w:before="360" w:after="160"/>
        <w:jc w:val="center"/>
      </w:pPr>
      <w:r>
        <w:rPr>
          <w:rFonts w:ascii="Aptos Display" w:hAnsi="Aptos Display"/>
          <w:b/>
          <w:color w:val="000000"/>
          <w:sz w:val="48"/>
        </w:rPr>
        <w:t>Transfert technique et responsabilités</w:t>
      </w:r>
    </w:p>
    <w:p>
      <w:pPr>
        <w:jc w:val="center"/>
      </w:pPr>
      <w:r>
        <w:rPr>
          <w:rFonts w:ascii="Aptos" w:hAnsi="Aptos"/>
          <w:b/>
          <w:color w:val="17365D"/>
          <w:sz w:val="24"/>
        </w:rPr>
        <w:t>Guide de prise en charge de l’ERP LCA</w:t>
      </w:r>
    </w:p>
    <w:p>
      <w:pPr>
        <w:spacing w:before="360"/>
        <w:jc w:val="center"/>
      </w:pPr>
      <w:r>
        <w:rPr>
          <w:rFonts w:ascii="Aptos" w:hAnsi="Aptos"/>
          <w:b/>
          <w:color w:val="666666"/>
          <w:sz w:val="18"/>
        </w:rPr>
        <w:t>DOCUMENT DE TRANSFERT</w:t>
      </w:r>
    </w:p>
    <w:tbl>
      <w:tblPr>
        <w:tblW w:type="auto" w:w="0"/>
        <w:jc w:val="center"/>
        <w:tblLayout w:type="fixed"/>
        <w:tblLook w:firstColumn="1" w:firstRow="1" w:lastColumn="0" w:lastRow="0" w:noHBand="0" w:noVBand="1" w:val="04A0"/>
      </w:tblPr>
      <w:tblGrid>
        <w:gridCol w:w="4819"/>
        <w:gridCol w:w="4819"/>
      </w:tblGrid>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Réceptionnaire du transfert initial</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NEXORA</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Sous-traitant technique remettant</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BEROX</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7"/>
              </w:rPr>
              <w:t>Référence du paquet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LCA-ERP-PKG-20261012</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7"/>
              </w:rPr>
              <w:t>Date du document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[À COMPLÉTER]</w:t>
            </w:r>
          </w:p>
        </w:tc>
      </w:tr>
    </w:tbl>
    <w:p>
      <w:pPr>
        <w:spacing w:after="120"/>
      </w:pPr>
    </w:p>
    <w:p>
      <w:pPr>
        <w:jc w:val="center"/>
      </w:pPr>
      <w:r>
        <w:rPr>
          <w:rFonts w:ascii="Aptos" w:hAnsi="Aptos"/>
          <w:b w:val="0"/>
          <w:color w:val="666666"/>
          <w:sz w:val="18"/>
        </w:rPr>
        <w:t>Document préparé pour examen, impression et signature. Il ne constate ni réception fonctionnelle ni mise en production.</w:t>
      </w:r>
    </w:p>
    <w:p>
      <w:r>
        <w:br w:type="page"/>
      </w:r>
    </w:p>
    <w:p>
      <w:pPr>
        <w:pStyle w:val="Heading1"/>
      </w:pPr>
      <w:r>
        <w:t>Objet</w:t>
      </w:r>
    </w:p>
    <w:p>
      <w:pPr>
        <w:keepLines/>
      </w:pPr>
      <w:r>
        <w:rPr>
          <w:rFonts w:ascii="Aptos" w:hAnsi="Aptos"/>
          <w:b w:val="0"/>
          <w:color w:val="000000"/>
          <w:sz w:val="20"/>
        </w:rPr>
        <w:t>Ce document prépare le transfert technique initial de BEROX vers NEXORA pour le projet ERP/CRM de LCA. BEROX prépare et remet les éléments relevant de sa prestation ; NEXORA les reçoit et organise leur transmission à LCA, client final et bénéficiaire. Les responsabilités opérationnelles après livraison restent à confirmer par les parties. Aucun accès, mot de passe ou secret n’est contenu ni réputé transféré par ce document.</w:t>
      </w:r>
    </w:p>
    <w:p>
      <w:pPr>
        <w:pStyle w:val="Heading1"/>
      </w:pPr>
      <w:r>
        <w:t>Architecture générale</w:t>
      </w:r>
    </w:p>
    <w:tbl>
      <w:tblPr>
        <w:tblW w:type="auto" w:w="0"/>
        <w:jc w:val="center"/>
        <w:tblLayout w:type="fixed"/>
        <w:tblLook w:firstColumn="1" w:firstRow="1" w:lastColumn="0" w:lastRow="0" w:noHBand="0" w:noVBand="1" w:val="04A0"/>
      </w:tblPr>
      <w:tblGrid>
        <w:gridCol w:w="1927"/>
        <w:gridCol w:w="3288"/>
        <w:gridCol w:w="4138"/>
      </w:tblGrid>
      <w:tr>
        <w:trPr>
          <w:tblHeader w:val="true"/>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Couche</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Technologies</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Rôle</w:t>
            </w:r>
          </w:p>
        </w:tc>
      </w:tr>
      <w:tr>
        <w:trPr>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Frontend</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React 19, TypeScript, Vite, TanStack Query, Socket.IO Client</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Interface web et temps réel</w:t>
            </w:r>
          </w:p>
        </w:tc>
      </w:tr>
      <w:tr>
        <w:trPr>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Proxy applicatif</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Nginx 1.27 Alpine</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SPA, API, uploads et WebSocket</w:t>
            </w:r>
          </w:p>
        </w:tc>
      </w:tr>
      <w:tr>
        <w:trPr>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Backend</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Node.js 22, Express 5, TypeScript, JWT, Socket.IO</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API, workflows, RBAC, documents et événements</w:t>
            </w:r>
          </w:p>
        </w:tc>
      </w:tr>
      <w:tr>
        <w:trPr>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Données</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MySQL 8.4</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Données métier, audit et migrations</w:t>
            </w:r>
          </w:p>
        </w:tc>
      </w:tr>
      <w:tr>
        <w:trPr>
          <w:cantSplit w:val="true"/>
        </w:trPr>
        <w:tc>
          <w:tcPr>
            <w:tcW w:type="dxa" w:w="192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Exploitation</w:t>
            </w:r>
          </w:p>
        </w:tc>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Docker et Docker Compose v2</w:t>
            </w:r>
          </w:p>
        </w:tc>
        <w:tc>
          <w:tcPr>
            <w:tcW w:type="dxa" w:w="413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Construction, réseaux, volumes et healthchecks</w:t>
            </w:r>
          </w:p>
        </w:tc>
      </w:tr>
    </w:tbl>
    <w:p>
      <w:pPr>
        <w:spacing w:after="40"/>
      </w:pPr>
    </w:p>
    <w:p>
      <w:pPr>
        <w:pStyle w:val="Heading1"/>
      </w:pPr>
      <w:r>
        <w:t>Prérequis serveur</w:t>
      </w:r>
    </w:p>
    <w:p>
      <w:pPr>
        <w:pStyle w:val="ListBullet"/>
        <w:spacing w:after="60"/>
        <w:keepLines/>
      </w:pPr>
      <w:r>
        <w:rPr>
          <w:rFonts w:ascii="Aptos" w:hAnsi="Aptos"/>
          <w:b w:val="0"/>
          <w:color w:val="000000"/>
          <w:sz w:val="20"/>
        </w:rPr>
        <w:t>Hôte Linux dédié avec Docker Engine et Compose v2 maintenus.</w:t>
      </w:r>
    </w:p>
    <w:p>
      <w:pPr>
        <w:pStyle w:val="ListBullet"/>
        <w:spacing w:after="60"/>
        <w:keepLines/>
      </w:pPr>
      <w:r>
        <w:rPr>
          <w:rFonts w:ascii="Aptos" w:hAnsi="Aptos"/>
          <w:b w:val="0"/>
          <w:color w:val="000000"/>
          <w:sz w:val="20"/>
        </w:rPr>
        <w:t>Capacité CPU, mémoire et disque conforme au guide 03, avec marge de croissance.</w:t>
      </w:r>
    </w:p>
    <w:p>
      <w:pPr>
        <w:pStyle w:val="ListBullet"/>
        <w:spacing w:after="60"/>
        <w:keepLines/>
      </w:pPr>
      <w:r>
        <w:rPr>
          <w:rFonts w:ascii="Aptos" w:hAnsi="Aptos"/>
          <w:b w:val="0"/>
          <w:color w:val="000000"/>
          <w:sz w:val="20"/>
        </w:rPr>
        <w:t>DNS, pare-feu, certificat TLS, stockage de sauvegarde et supervision préparés.</w:t>
      </w:r>
    </w:p>
    <w:p>
      <w:pPr>
        <w:pStyle w:val="ListBullet"/>
        <w:spacing w:after="60"/>
        <w:keepLines/>
      </w:pPr>
      <w:r>
        <w:rPr>
          <w:rFonts w:ascii="Aptos" w:hAnsi="Aptos"/>
          <w:b w:val="0"/>
          <w:color w:val="000000"/>
          <w:sz w:val="20"/>
        </w:rPr>
        <w:t>Ports exposés limités au strict nécessaire et accès administratifs nominatifs.</w:t>
      </w:r>
    </w:p>
    <w:p>
      <w:pPr>
        <w:pStyle w:val="ListBullet"/>
        <w:spacing w:after="60"/>
        <w:keepLines/>
      </w:pPr>
      <w:r>
        <w:rPr>
          <w:rFonts w:ascii="Aptos" w:hAnsi="Aptos"/>
          <w:b w:val="0"/>
          <w:color w:val="000000"/>
          <w:sz w:val="20"/>
        </w:rPr>
        <w:t>Absence démontrée de collision avec les volumes lca_mysql_data, lca_uploads_data et lca_ged_data.</w:t>
      </w:r>
    </w:p>
    <w:p>
      <w:pPr>
        <w:pStyle w:val="Heading1"/>
      </w:pPr>
      <w:r>
        <w:t>Déploiement contrôlé</w:t>
      </w:r>
    </w:p>
    <w:p>
      <w:pPr>
        <w:keepLines/>
      </w:pPr>
      <w:r>
        <w:rPr>
          <w:rFonts w:ascii="Aptos" w:hAnsi="Aptos"/>
          <w:b w:val="0"/>
          <w:color w:val="000000"/>
          <w:sz w:val="20"/>
        </w:rPr>
        <w:t>Les commandes doivent utiliser conjointement docker-compose.yml et docker-compose.livraison.yml afin d’appliquer les digests vérifiés. Toute installation commence par la vérification SHA-256, la création sécurisée du .env local, puis docker compose config --quiet. La construction et le démarrage nécessitent une autorisation de changement.</w:t>
      </w:r>
    </w:p>
    <w:p>
      <w:pPr>
        <w:pStyle w:val="Heading1"/>
      </w:pPr>
      <w:r>
        <w:t>Base de données</w:t>
      </w:r>
    </w:p>
    <w:p>
      <w:pPr>
        <w:keepLines/>
      </w:pPr>
      <w:r>
        <w:rPr>
          <w:rFonts w:ascii="Aptos" w:hAnsi="Aptos"/>
          <w:b w:val="0"/>
          <w:color w:val="000000"/>
          <w:sz w:val="20"/>
        </w:rPr>
        <w:t>Sur une base vide, MySQL charge la baseline consolidée 071 et le seed système ; le backend applique ensuite 072 à 079. Le runner refuse une base non vide ambiguë. Ne jamais appliquer la baseline à une base existante ni inclure de dump client dans un support non approuvé.</w:t>
      </w:r>
    </w:p>
    <w:p>
      <w:pPr>
        <w:pStyle w:val="Heading1"/>
      </w:pPr>
      <w:r>
        <w:t>Nginx HTTPS et Socket.IO</w:t>
      </w:r>
    </w:p>
    <w:p>
      <w:pPr>
        <w:keepLines/>
      </w:pPr>
      <w:r>
        <w:rPr>
          <w:rFonts w:ascii="Aptos" w:hAnsi="Aptos"/>
          <w:b w:val="0"/>
          <w:color w:val="000000"/>
          <w:sz w:val="20"/>
        </w:rPr>
        <w:t>Le proxy interne route /api/, /uploads/ et /socket.io/. Le modèle hôte doit être adapté au domaine réel, aux certificats montés en lecture seule et au nombre exact de proxys. Tester HTTP vers HTTPS, TLS 1.2/1.3, HSTS, API, téléchargement, WSS, IP cliente et rate limiting.</w:t>
      </w:r>
    </w:p>
    <w:p>
      <w:pPr>
        <w:pStyle w:val="Heading1"/>
      </w:pPr>
      <w:r>
        <w:t>Variables et secrets</w:t>
      </w:r>
    </w:p>
    <w:p>
      <w:pPr>
        <w:keepLines/>
      </w:pPr>
      <w:r>
        <w:rPr>
          <w:rFonts w:ascii="Aptos" w:hAnsi="Aptos"/>
          <w:b w:val="0"/>
          <w:color w:val="000000"/>
          <w:sz w:val="20"/>
        </w:rPr>
        <w:t>Générer des secrets JWT et mots de passe longs, distincts et aléatoires dans le coffre approuvé. Transmettre les accès par un canal chiffré distinct du paquet, vérifier le destinataire, imposer une rotation à la première utilisation et conserver une trace sans valeur secrète. État du transfert des accès : [À COMPLÉTER].</w:t>
      </w:r>
    </w:p>
    <w:p>
      <w:pPr>
        <w:pStyle w:val="Heading1"/>
      </w:pPr>
      <w:r>
        <w:t>Initialisation et habilitations</w:t>
      </w:r>
    </w:p>
    <w:p>
      <w:pPr>
        <w:keepLines/>
      </w:pPr>
      <w:r>
        <w:rPr>
          <w:rFonts w:ascii="Aptos" w:hAnsi="Aptos"/>
          <w:b w:val="0"/>
          <w:color w:val="000000"/>
          <w:sz w:val="20"/>
        </w:rPr>
        <w:t>Créer d’abord la concession puis exécuter seed-admin avec un compte initial transmis séparément. Faire changer son mot de passe. Le Super Administrateur crée les rôles métier, permissions et scopes OWN, AGENCY, CONCESSION ou GLOBAL selon une matrice approuvée. Aucun nom de rôle ne confère seul un privilège.</w:t>
      </w:r>
    </w:p>
    <w:p>
      <w:pPr>
        <w:pStyle w:val="Heading1"/>
      </w:pPr>
      <w:r>
        <w:t>Sauvegarde et restauration</w:t>
      </w:r>
    </w:p>
    <w:p>
      <w:pPr>
        <w:pStyle w:val="ListBullet"/>
        <w:spacing w:after="60"/>
        <w:keepLines/>
      </w:pPr>
      <w:r>
        <w:rPr>
          <w:rFonts w:ascii="Aptos" w:hAnsi="Aptos"/>
          <w:b w:val="0"/>
          <w:color w:val="000000"/>
          <w:sz w:val="20"/>
        </w:rPr>
        <w:t>Sauvegarder MySQL, uploads et GED comme un ensemble cohérent.</w:t>
      </w:r>
    </w:p>
    <w:p>
      <w:pPr>
        <w:pStyle w:val="ListBullet"/>
        <w:spacing w:after="60"/>
        <w:keepLines/>
      </w:pPr>
      <w:r>
        <w:rPr>
          <w:rFonts w:ascii="Aptos" w:hAnsi="Aptos"/>
          <w:b w:val="0"/>
          <w:color w:val="000000"/>
          <w:sz w:val="20"/>
        </w:rPr>
        <w:t>Externaliser, chiffrer, contrôler les empreintes et tester la lisibilité.</w:t>
      </w:r>
    </w:p>
    <w:p>
      <w:pPr>
        <w:pStyle w:val="ListBullet"/>
        <w:spacing w:after="60"/>
        <w:keepLines/>
      </w:pPr>
      <w:r>
        <w:rPr>
          <w:rFonts w:ascii="Aptos" w:hAnsi="Aptos"/>
          <w:b w:val="0"/>
          <w:color w:val="000000"/>
          <w:sz w:val="20"/>
        </w:rPr>
        <w:t>Ne restaurer que sur une cible vide ou formellement approuvée.</w:t>
      </w:r>
    </w:p>
    <w:p>
      <w:pPr>
        <w:pStyle w:val="ListBullet"/>
        <w:spacing w:after="60"/>
        <w:keepLines/>
      </w:pPr>
      <w:r>
        <w:rPr>
          <w:rFonts w:ascii="Aptos" w:hAnsi="Aptos"/>
          <w:b w:val="0"/>
          <w:color w:val="000000"/>
          <w:sz w:val="20"/>
        </w:rPr>
        <w:t>Mesurer les durées avec la volumétrie cible et valider RPO/RTO.</w:t>
      </w:r>
    </w:p>
    <w:p>
      <w:pPr>
        <w:pStyle w:val="ListBullet"/>
        <w:spacing w:after="60"/>
        <w:keepLines/>
      </w:pPr>
      <w:r>
        <w:rPr>
          <w:rFonts w:ascii="Aptos" w:hAnsi="Aptos"/>
          <w:b w:val="0"/>
          <w:color w:val="000000"/>
          <w:sz w:val="20"/>
        </w:rPr>
        <w:t>Revoir les scripts avant toute topologie dont les volumes ne portent pas les noms lca_*.</w:t>
      </w:r>
    </w:p>
    <w:p>
      <w:pPr>
        <w:pStyle w:val="Heading1"/>
      </w:pPr>
      <w:r>
        <w:t>Journalisation supervision et maintenance</w:t>
      </w:r>
    </w:p>
    <w:p>
      <w:pPr>
        <w:pStyle w:val="ListBullet"/>
        <w:spacing w:after="60"/>
        <w:keepLines/>
      </w:pPr>
      <w:r>
        <w:rPr>
          <w:rFonts w:ascii="Aptos" w:hAnsi="Aptos"/>
          <w:b w:val="0"/>
          <w:color w:val="000000"/>
          <w:sz w:val="20"/>
        </w:rPr>
        <w:t>Surveiller healthchecks, CPU, mémoire, disque, erreurs API, MySQL, certificats et sauvegardes.</w:t>
      </w:r>
    </w:p>
    <w:p>
      <w:pPr>
        <w:pStyle w:val="ListBullet"/>
        <w:spacing w:after="60"/>
        <w:keepLines/>
      </w:pPr>
      <w:r>
        <w:rPr>
          <w:rFonts w:ascii="Aptos" w:hAnsi="Aptos"/>
          <w:b w:val="0"/>
          <w:color w:val="000000"/>
          <w:sz w:val="20"/>
        </w:rPr>
        <w:t>Protéger et limiter l’accès aux logs et journaux d’audit.</w:t>
      </w:r>
    </w:p>
    <w:p>
      <w:pPr>
        <w:pStyle w:val="ListBullet"/>
        <w:spacing w:after="60"/>
        <w:keepLines/>
      </w:pPr>
      <w:r>
        <w:rPr>
          <w:rFonts w:ascii="Aptos" w:hAnsi="Aptos"/>
          <w:b w:val="0"/>
          <w:color w:val="000000"/>
          <w:sz w:val="20"/>
        </w:rPr>
        <w:t>Planifier mises à jour, scans d’images, SBOM et renouvellement des digests.</w:t>
      </w:r>
    </w:p>
    <w:p>
      <w:pPr>
        <w:pStyle w:val="ListBullet"/>
        <w:spacing w:after="60"/>
        <w:keepLines/>
      </w:pPr>
      <w:r>
        <w:rPr>
          <w:rFonts w:ascii="Aptos" w:hAnsi="Aptos"/>
          <w:b w:val="0"/>
          <w:color w:val="000000"/>
          <w:sz w:val="20"/>
        </w:rPr>
        <w:t>Requalifier toute modification de code, migration, image, proxy ou politique RBAC.</w:t>
      </w:r>
    </w:p>
    <w:p>
      <w:pPr>
        <w:pStyle w:val="Heading1"/>
      </w:pPr>
      <w:r>
        <w:t>Procédure d’incident</w:t>
      </w:r>
    </w:p>
    <w:tbl>
      <w:tblPr>
        <w:tblW w:type="auto" w:w="0"/>
        <w:jc w:val="center"/>
        <w:tblLayout w:type="fixed"/>
        <w:tblLook w:firstColumn="1" w:firstRow="1" w:lastColumn="0" w:lastRow="0" w:noHBand="0" w:noVBand="1" w:val="04A0"/>
      </w:tblPr>
      <w:tblGrid>
        <w:gridCol w:w="1984"/>
        <w:gridCol w:w="7370"/>
      </w:tblGrid>
      <w:tr>
        <w:trPr>
          <w:tblHeader w:val="true"/>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Étape</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Action</w:t>
            </w:r>
          </w:p>
        </w:tc>
      </w:tr>
      <w:tr>
        <w:trPr>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1 Détecter</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Horodater, identifier le service et préserver les preuves sans exposer de secret.</w:t>
            </w:r>
          </w:p>
        </w:tc>
      </w:tr>
      <w:tr>
        <w:trPr>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2 Contenir</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Limiter l’accès ou isoler selon la procédure approuvée ; ne pas supprimer les données.</w:t>
            </w:r>
          </w:p>
        </w:tc>
      </w:tr>
      <w:tr>
        <w:trPr>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3 Escalader</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Notifier les responsables sécurité, exploitation et métier confirmés.</w:t>
            </w:r>
          </w:p>
        </w:tc>
      </w:tr>
      <w:tr>
        <w:trPr>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4 Restaurer</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Utiliser une sauvegarde vérifiée sur décision autorisée et contrôler l’intégrité.</w:t>
            </w:r>
          </w:p>
        </w:tc>
      </w:tr>
      <w:tr>
        <w:trPr>
          <w:cantSplit w:val="true"/>
        </w:trPr>
        <w:tc>
          <w:tcPr>
            <w:tcW w:type="dxa" w:w="1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5 Clôturer</w:t>
            </w:r>
          </w:p>
        </w:tc>
        <w:tc>
          <w:tcPr>
            <w:tcW w:type="dxa" w:w="737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Documenter cause, impact, actions et tests de non-régression.</w:t>
            </w:r>
          </w:p>
        </w:tc>
      </w:tr>
    </w:tbl>
    <w:p>
      <w:pPr>
        <w:spacing w:after="40"/>
      </w:pPr>
    </w:p>
    <w:p>
      <w:pPr>
        <w:pStyle w:val="Heading1"/>
      </w:pPr>
      <w:r>
        <w:t>Matrice de responsabilités à confirmer</w:t>
      </w:r>
    </w:p>
    <w:tbl>
      <w:tblPr>
        <w:tblW w:type="auto" w:w="0"/>
        <w:jc w:val="center"/>
        <w:tblLayout w:type="fixed"/>
        <w:tblLook w:firstColumn="1" w:firstRow="1" w:lastColumn="0" w:lastRow="0" w:noHBand="0" w:noVBand="1" w:val="04A0"/>
      </w:tblPr>
      <w:tblGrid>
        <w:gridCol w:w="3911"/>
        <w:gridCol w:w="1587"/>
        <w:gridCol w:w="1587"/>
        <w:gridCol w:w="2267"/>
      </w:tblGrid>
      <w:tr>
        <w:trPr>
          <w:tblHeader w:val="true"/>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Pr>
                <w:b/>
                <w:color w:val="FFFFFF"/>
                <w:sz w:val="18"/>
              </w:rPr>
              <w:t>Activité</w:t>
            </w:r>
            <w:r>
              <w:rPr>
                <w:rFonts w:ascii="Aptos" w:hAnsi="Aptos"/>
                <w:b/>
                <w:color w:val="FFFFFF"/>
                <w:sz w:val="18"/>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Pr>
                <w:b/>
                <w:color w:val="FFFFFF"/>
                <w:sz w:val="18"/>
              </w:rPr>
              <w:t>BEROX</w:t>
            </w:r>
            <w:r>
              <w:rPr>
                <w:rFonts w:ascii="Aptos" w:hAnsi="Aptos"/>
                <w:b/>
                <w:color w:val="FFFFFF"/>
                <w:sz w:val="18"/>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Pr>
                <w:b/>
                <w:color w:val="FFFFFF"/>
                <w:sz w:val="18"/>
              </w:rPr>
              <w:t>NEXORA</w:t>
            </w:r>
            <w:r>
              <w:rPr>
                <w:rFonts w:ascii="Aptos" w:hAnsi="Aptos"/>
                <w:b/>
                <w:color w:val="FFFFFF"/>
                <w:sz w:val="18"/>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Pr>
                <w:b/>
                <w:color w:val="FFFFFF"/>
                <w:sz w:val="18"/>
              </w:rPr>
              <w:t>LCA</w:t>
            </w:r>
            <w:r>
              <w:rPr>
                <w:rFonts w:ascii="Aptos" w:hAnsi="Aptos"/>
                <w:b/>
                <w:color w:val="FFFFFF"/>
                <w:sz w:val="18"/>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t>Préparation des livrables techniques</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C</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Client final</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t>Réception initiale et transmission à LCA</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C</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Bénéficiaire</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t>Hébergement et réseau</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t>Coffre de secrets et comptes</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t>Exploitation Docker MySQL et Nginx</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t>Support applicatif après livraison</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À confirmer</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t>Sauvegarde et exercice de restauration</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À confirmer</w:t>
            </w:r>
            <w:r>
              <w:rPr>
                <w:rFonts w:ascii="Aptos" w:hAnsi="Aptos"/>
                <w:b w:val="0"/>
                <w:color w:val="000000"/>
                <w:sz w:val="16"/>
              </w:rPr>
            </w:r>
          </w:p>
        </w:tc>
      </w:tr>
      <w:tr>
        <w:trPr>
          <w:cantSplit w:val="true"/>
        </w:trPr>
        <w:tc>
          <w:tcPr>
            <w:tcW w:type="dxa" w:w="391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t>Recette fonctionnelle et production</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C</w:t>
            </w:r>
            <w:r>
              <w:rPr>
                <w:rFonts w:ascii="Aptos" w:hAnsi="Aptos"/>
                <w:b w:val="0"/>
                <w:color w:val="000000"/>
                <w:sz w:val="16"/>
              </w:rPr>
            </w:r>
          </w:p>
        </w:tc>
        <w:tc>
          <w:tcPr>
            <w:tcW w:type="dxa" w:w="158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C</w:t>
            </w:r>
            <w:r>
              <w:rPr>
                <w:rFonts w:ascii="Aptos" w:hAnsi="Aptos"/>
                <w:b w:val="0"/>
                <w:color w:val="000000"/>
                <w:sz w:val="16"/>
              </w:rPr>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t>Décision à confirmer</w:t>
            </w:r>
            <w:r>
              <w:rPr>
                <w:rFonts w:ascii="Aptos" w:hAnsi="Aptos"/>
                <w:b w:val="0"/>
                <w:color w:val="000000"/>
                <w:sz w:val="16"/>
              </w:rPr>
            </w:r>
          </w:p>
        </w:tc>
      </w:tr>
    </w:tbl>
    <w:p>
      <w:pPr>
        <w:spacing w:after="40"/>
      </w:pPr>
    </w:p>
    <w:p>
      <w:pPr>
        <w:keepLines/>
      </w:pPr>
      <w:r>
        <w:rPr>
          <w:rFonts w:ascii="Aptos" w:hAnsi="Aptos"/>
          <w:b w:val="0"/>
          <w:color w:val="000000"/>
          <w:sz w:val="20"/>
        </w:rPr>
        <w:t>Légende proposée à valider : R réalise, A approuve, C est consulté. Les mentions « à confirmer » n’établissent aucun engagement contractuel. BEROX n’est pas réputée assurer l’hébergement ou la maintenance après livraison, et NEXORA n’est pas réputée exécuter toutes les opérations techniques.</w:t>
      </w:r>
    </w:p>
    <w:p>
      <w:pPr>
        <w:pStyle w:val="Heading1"/>
      </w:pPr>
      <w:r>
        <w:t>Checklist de transfert</w:t>
      </w:r>
    </w:p>
    <w:tbl>
      <w:tblPr>
        <w:tblW w:type="auto" w:w="0"/>
        <w:jc w:val="center"/>
        <w:tblLayout w:type="fixed"/>
        <w:tblLook w:firstColumn="1" w:firstRow="1" w:lastColumn="0" w:lastRow="0" w:noHBand="0" w:noVBand="1" w:val="04A0"/>
      </w:tblPr>
      <w:tblGrid>
        <w:gridCol w:w="5952"/>
        <w:gridCol w:w="3401"/>
      </w:tblGrid>
      <w:tr>
        <w:trPr>
          <w:tblHeader w:val="true"/>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Élément</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État</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Référents techniques nommés</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Canal sécurisé convenu</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Accès transmis et testés</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Documentation parcourue</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Session de transfert tenue</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Questions et actions enregistrées</w:t>
            </w:r>
          </w:p>
        </w:tc>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bl>
    <w:p>
      <w:pPr>
        <w:spacing w:after="40"/>
      </w:pPr>
    </w:p>
    <w:p>
      <w:r>
        <w:br w:type="page"/>
      </w:r>
    </w:p>
    <w:p>
      <w:pPr>
        <w:pStyle w:val="Heading1"/>
      </w:pPr>
      <w:r>
        <w:t>Signatures</w:t>
      </w:r>
    </w:p>
    <w:p>
      <w:pPr>
        <w:keepLines/>
      </w:pPr>
      <w:r>
        <w:rPr>
          <w:rFonts w:ascii="Aptos" w:hAnsi="Aptos"/>
          <w:b w:val="0"/>
          <w:color w:val="000000"/>
          <w:sz w:val="20"/>
        </w:rPr>
        <w:t>La signature ci-dessous constate uniquement le contenu indiqué par le présent document. Toute portée différente doit être expressément inscrite dans les observations.</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8"/>
              </w:rPr>
              <w:t>Pour BEROX — transfert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Pour NEXORA — prise en charge initiale</w:t>
            </w:r>
            <w:r>
              <w:rPr>
                <w:rFonts w:ascii="Aptos" w:hAnsi="Aptos"/>
                <w:b/>
                <w:color w:val="000000"/>
                <w:sz w:val="18"/>
              </w:rPr>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Nom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Nom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Fonction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Fonction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Date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Date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Signature :</w:t>
              <w:br/>
              <w:br/>
              <w:b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Signature :</w:t>
              <w:br/>
              <w:br/>
              <w:br/>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Transfert technique et responsabilités  •  LCA-ERP-PKG-20261012  •  Page </w:t>
    </w:r>
    <w:r>
      <w:rPr>
        <w:rFonts w:ascii="Aptos" w:hAnsi="Aptos"/>
        <w:b w:val="0"/>
        <w:color w:val="666666"/>
        <w:sz w:val="16"/>
      </w:rPr>
      <w:fldChar w:fldCharType="begin"/>
      <w:instrText xml:space="preserve">PAGE</w:instrText>
      <w:fldChar w:fldCharType="separate"/>
      <w:t>1</w:t>
      <w:fldChar w:fldCharType="end"/>
    </w:r>
    <w:r>
      <w:rPr>
        <w:rFonts w:ascii="Aptos" w:hAnsi="Aptos"/>
        <w:b w:val="0"/>
        <w:color w:val="666666"/>
        <w:sz w:val="16"/>
      </w:rPr>
      <w:t xml:space="preserve"> / </w:t>
    </w:r>
    <w:r>
      <w:rPr>
        <w:rFonts w:ascii="Aptos" w:hAnsi="Aptos"/>
        <w:b w:val="0"/>
        <w:color w:val="666666"/>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LCA  |  Dossier officiel de remise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TRANSFERT TECHNIQUE ET RESPONSABILITES</dc:title>
  <dc:subject>Dossier officiel de remise technique ERP LCA</dc:subject>
  <dc:creator>BEROX</dc:creator>
  <cp:keywords>ERP LCA remise technique</cp:keywords>
  <dc:description>Document à examiner et compléter avant signature.</dc:description>
  <cp:lastModifiedBy/>
  <cp:revision>1</cp:revision>
  <dcterms:created xsi:type="dcterms:W3CDTF">2013-12-23T23:15:00Z</dcterms:created>
  <dcterms:modified xsi:type="dcterms:W3CDTF">2013-12-23T23:15:00Z</dcterms:modified>
  <cp:category/>
</cp:coreProperties>
</file>