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jc w:val="center"/>
      </w:pPr>
      <w:r>
        <w:drawing>
          <wp:inline xmlns:a="http://schemas.openxmlformats.org/drawingml/2006/main" xmlns:pic="http://schemas.openxmlformats.org/drawingml/2006/picture">
            <wp:extent cx="2592000" cy="1270029"/>
            <wp:docPr id="1" name="Picture 1"/>
            <wp:cNvGraphicFramePr>
              <a:graphicFrameLocks noChangeAspect="1"/>
            </wp:cNvGraphicFramePr>
            <a:graphic>
              <a:graphicData uri="http://schemas.openxmlformats.org/drawingml/2006/picture">
                <pic:pic>
                  <pic:nvPicPr>
                    <pic:cNvPr id="0" name="logo-lca2.png"/>
                    <pic:cNvPicPr/>
                  </pic:nvPicPr>
                  <pic:blipFill>
                    <a:blip r:embed="rId11"/>
                    <a:stretch>
                      <a:fillRect/>
                    </a:stretch>
                  </pic:blipFill>
                  <pic:spPr>
                    <a:xfrm>
                      <a:off x="0" y="0"/>
                      <a:ext cx="2592000" cy="1270029"/>
                    </a:xfrm>
                    <a:prstGeom prst="rect"/>
                  </pic:spPr>
                </pic:pic>
              </a:graphicData>
            </a:graphic>
          </wp:inline>
        </w:drawing>
      </w:r>
    </w:p>
    <w:p>
      <w:pPr>
        <w:pStyle w:val="Title"/>
        <w:spacing w:before="360" w:after="160"/>
        <w:jc w:val="center"/>
      </w:pPr>
      <w:r>
        <w:rPr>
          <w:rFonts w:ascii="Aptos Display" w:hAnsi="Aptos Display"/>
          <w:b/>
          <w:color w:val="000000"/>
          <w:sz w:val="48"/>
        </w:rPr>
        <w:t>Procès verbal de réception fonctionnelle</w:t>
      </w:r>
    </w:p>
    <w:p>
      <w:pPr>
        <w:jc w:val="center"/>
      </w:pPr>
      <w:r>
        <w:rPr>
          <w:rFonts w:ascii="Aptos" w:hAnsi="Aptos"/>
          <w:b/>
          <w:color w:val="17365D"/>
          <w:sz w:val="24"/>
        </w:rPr>
        <w:t>Formulaire de recette à compléter par la LCA</w:t>
      </w:r>
    </w:p>
    <w:p>
      <w:pPr>
        <w:spacing w:before="360"/>
        <w:jc w:val="center"/>
      </w:pPr>
      <w:r>
        <w:rPr>
          <w:rFonts w:ascii="Aptos" w:hAnsi="Aptos"/>
          <w:b/>
          <w:color w:val="666666"/>
          <w:sz w:val="18"/>
        </w:rPr>
        <w:t>AUCUNE DÉCISION PRÉSÉLECTIONNÉE</w:t>
      </w:r>
    </w:p>
    <w:tbl>
      <w:tblPr>
        <w:tblW w:type="auto" w:w="0"/>
        <w:jc w:val="center"/>
        <w:tblLayout w:type="fixed"/>
        <w:tblLook w:firstColumn="1" w:firstRow="1" w:lastColumn="0" w:lastRow="0" w:noHBand="0" w:noVBand="1" w:val="04A0"/>
      </w:tblPr>
      <w:tblGrid>
        <w:gridCol w:w="4819"/>
        <w:gridCol w:w="4819"/>
      </w:tblGrid>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Partie réceptionnaire</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La Congolaise de l’Automobile LCA</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Partie remettante</w:t>
            </w:r>
            <w:r>
              <w:rPr>
                <w:rFonts w:ascii="Aptos" w:hAnsi="Aptos"/>
                <w:b/>
                <w:color w:val="000000"/>
                <w:sz w:val="17"/>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t>NEXORA</w:t>
            </w:r>
            <w:r>
              <w:rPr>
                <w:rFonts w:ascii="Aptos" w:hAnsi="Aptos"/>
                <w:b w:val="0"/>
                <w:color w:val="000000"/>
                <w:sz w:val="17"/>
              </w:rPr>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r>
              <w:rPr>
                <w:rFonts w:ascii="Aptos" w:hAnsi="Aptos"/>
                <w:b/>
                <w:color w:val="000000"/>
                <w:sz w:val="17"/>
              </w:rPr>
              <w:t>Référence du paquet</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LCA-ERP-PKG-20261012</w:t>
            </w:r>
          </w:p>
        </w:tc>
      </w:tr>
      <w:tr>
        <w:tc>
          <w:tcPr>
            <w:tcW w:type="dxa" w:w="283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r>
              <w:rPr>
                <w:rFonts w:ascii="Aptos" w:hAnsi="Aptos"/>
                <w:b/>
                <w:color w:val="000000"/>
                <w:sz w:val="17"/>
              </w:rPr>
              <w:t>Date du document</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7"/>
              </w:rPr>
              <w:t>[À COMPLÉTER]</w:t>
            </w:r>
          </w:p>
        </w:tc>
      </w:tr>
    </w:tbl>
    <w:p>
      <w:pPr>
        <w:spacing w:after="120"/>
      </w:pPr>
    </w:p>
    <w:p>
      <w:pPr>
        <w:jc w:val="center"/>
      </w:pPr>
      <w:r>
        <w:rPr>
          <w:rFonts w:ascii="Aptos" w:hAnsi="Aptos"/>
          <w:b w:val="0"/>
          <w:color w:val="666666"/>
          <w:sz w:val="18"/>
        </w:rPr>
        <w:t>Document préparé pour examen, impression et signature. Il ne constate ni réception fonctionnelle ni mise en production.</w:t>
      </w:r>
    </w:p>
    <w:p>
      <w:r>
        <w:br w:type="page"/>
      </w:r>
    </w:p>
    <w:p>
      <w:pPr>
        <w:pStyle w:val="Heading1"/>
      </w:pPr>
      <w:r>
        <w:t>Portée</w:t>
      </w:r>
    </w:p>
    <w:p>
      <w:pPr>
        <w:keepLines/>
      </w:pPr>
      <w:r>
        <w:rPr>
          <w:rFonts w:ascii="Aptos" w:hAnsi="Aptos"/>
          <w:b w:val="0"/>
          <w:color w:val="000000"/>
          <w:sz w:val="20"/>
        </w:rPr>
        <w:t>Ce procès-verbal est destiné à consigner la recette fonctionnelle menée par LCA dans le cadre de la remise organisée par NEXORA. NEXORA est la partie remettante et LCA la partie réceptionnaire. BEROX peut intervenir comme sous-traitant technique, sans être signataire obligatoire. Les résultats techniques de qualification ne remplacent ni les scénarios métier du client ni sa décision de réception.</w:t>
      </w:r>
    </w:p>
    <w:p>
      <w:pPr>
        <w:pStyle w:val="Heading1"/>
      </w:pPr>
      <w:r>
        <w:t>Identification de la recette</w:t>
      </w:r>
    </w:p>
    <w:tbl>
      <w:tblPr>
        <w:tblW w:type="auto" w:w="0"/>
        <w:jc w:val="center"/>
        <w:tblLayout w:type="fixed"/>
        <w:tblLook w:firstColumn="1" w:firstRow="1" w:lastColumn="0" w:lastRow="0" w:noHBand="0" w:noVBand="1" w:val="04A0"/>
      </w:tblPr>
      <w:tblGrid>
        <w:gridCol w:w="3401"/>
        <w:gridCol w:w="5952"/>
      </w:tblGrid>
      <w:tr>
        <w:trPr>
          <w:tblHeader w:val="true"/>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Champ</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À compléter</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Projet</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ERP / CRM automobile</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Référence testée</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Environnement</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Date ou période</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Lieu / modalité</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Responsable de recette LCA</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r>
        <w:trPr>
          <w:cantSplit w:val="true"/>
        </w:trPr>
        <w:tc>
          <w:tcPr>
            <w:tcW w:type="dxa" w:w="340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Participants</w:t>
            </w:r>
          </w:p>
        </w:tc>
        <w:tc>
          <w:tcPr>
            <w:tcW w:type="dxa" w:w="5952"/>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bl>
    <w:p>
      <w:pPr>
        <w:spacing w:after="40"/>
      </w:pPr>
    </w:p>
    <w:p>
      <w:pPr>
        <w:pStyle w:val="Heading1"/>
      </w:pPr>
      <w:r>
        <w:t>Modules examinés</w:t>
      </w:r>
    </w:p>
    <w:tbl>
      <w:tblPr>
        <w:tblW w:type="auto" w:w="0"/>
        <w:jc w:val="center"/>
        <w:tblLayout w:type="fixed"/>
        <w:tblLook w:firstColumn="1" w:firstRow="1" w:lastColumn="0" w:lastRow="0" w:noHBand="0" w:noVBand="1" w:val="04A0"/>
      </w:tblPr>
      <w:tblGrid>
        <w:gridCol w:w="3458"/>
        <w:gridCol w:w="1530"/>
        <w:gridCol w:w="1814"/>
        <w:gridCol w:w="2551"/>
      </w:tblGrid>
      <w:tr>
        <w:trPr>
          <w:tblHeader w:val="true"/>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Module</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Examiné</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Résultat</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Observation</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Authentification et habilitations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CRM et clients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Parc et stock véhicules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Ventes et livraisons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Atelier et SAV</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Pièces et approvisionnements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GED et documents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Finance trésorerie budgets</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Administration paramètres RH</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345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Reporting notifications temps réel</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 ] Oui  [ ] Non</w:t>
            </w:r>
          </w:p>
        </w:tc>
        <w:tc>
          <w:tcPr>
            <w:tcW w:type="dxa" w:w="181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55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bl>
    <w:p>
      <w:pPr>
        <w:spacing w:after="40"/>
      </w:pPr>
    </w:p>
    <w:p>
      <w:pPr>
        <w:pStyle w:val="Heading1"/>
      </w:pPr>
      <w:r>
        <w:t>Scénarios et résultats</w:t>
      </w:r>
    </w:p>
    <w:tbl>
      <w:tblPr>
        <w:tblW w:type="auto" w:w="0"/>
        <w:jc w:val="center"/>
        <w:tblLayout w:type="fixed"/>
        <w:tblLook w:firstColumn="1" w:firstRow="1" w:lastColumn="0" w:lastRow="0" w:noHBand="0" w:noVBand="1" w:val="04A0"/>
      </w:tblPr>
      <w:tblGrid>
        <w:gridCol w:w="566"/>
        <w:gridCol w:w="2494"/>
        <w:gridCol w:w="2381"/>
        <w:gridCol w:w="2381"/>
        <w:gridCol w:w="1530"/>
      </w:tblGrid>
      <w:tr>
        <w:trPr>
          <w:tblHeader w:val="true"/>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No</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Scénario métier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Résultat attendu</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Résultat observé</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Statut</w:t>
            </w:r>
          </w:p>
        </w:tc>
      </w:tr>
      <w:tr>
        <w:trPr>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1</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2</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r>
        <w:trPr>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3</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4</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r>
        <w:trPr>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5</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566"/>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6</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381"/>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153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bl>
    <w:p>
      <w:pPr>
        <w:spacing w:after="40"/>
      </w:pPr>
    </w:p>
    <w:p>
      <w:pPr>
        <w:pStyle w:val="Heading1"/>
      </w:pPr>
      <w:r>
        <w:t>Anomalies et réserves de recette</w:t>
      </w:r>
    </w:p>
    <w:tbl>
      <w:tblPr>
        <w:tblW w:type="auto" w:w="0"/>
        <w:jc w:val="center"/>
        <w:tblLayout w:type="fixed"/>
        <w:tblLook w:firstColumn="1" w:firstRow="1" w:lastColumn="0" w:lastRow="0" w:noHBand="0" w:noVBand="1" w:val="04A0"/>
      </w:tblPr>
      <w:tblGrid>
        <w:gridCol w:w="1247"/>
        <w:gridCol w:w="2494"/>
        <w:gridCol w:w="1247"/>
        <w:gridCol w:w="2267"/>
        <w:gridCol w:w="1133"/>
        <w:gridCol w:w="1247"/>
      </w:tblGrid>
      <w:tr>
        <w:trPr>
          <w:tblHeader w:val="true"/>
          <w:cantSplit w:val="true"/>
        </w:trPr>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Référence</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Description</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Gravité</w:t>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Action attendue</w:t>
            </w:r>
          </w:p>
        </w:tc>
        <w:tc>
          <w:tcPr>
            <w:tcW w:type="dxa" w:w="113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Échéance</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5"/>
              </w:rPr>
              <w:t>Statut</w:t>
            </w:r>
          </w:p>
        </w:tc>
      </w:tr>
      <w:tr>
        <w:trPr>
          <w:cantSplit w:val="true"/>
        </w:trPr>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5"/>
              </w:rPr>
              <w:t>[À COMPLÉTER]</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113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5"/>
              </w:rPr>
              <w:t>[À COMPLÉTER]</w:t>
            </w:r>
          </w:p>
        </w:tc>
      </w:tr>
      <w:tr>
        <w:trPr>
          <w:cantSplit w:val="true"/>
        </w:trPr>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5"/>
              </w:rPr>
              <w:t>[À COMPLÉTER]</w:t>
            </w:r>
          </w:p>
        </w:tc>
        <w:tc>
          <w:tcPr>
            <w:tcW w:type="dxa" w:w="2494"/>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226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1133"/>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c>
          <w:tcPr>
            <w:tcW w:type="dxa" w:w="1247"/>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5"/>
              </w:rPr>
              <w:t>[À COMPLÉTER]</w:t>
            </w:r>
          </w:p>
        </w:tc>
      </w:tr>
    </w:tbl>
    <w:p>
      <w:pPr>
        <w:spacing w:after="40"/>
      </w:pPr>
    </w:p>
    <w:p>
      <w:pPr>
        <w:pStyle w:val="Heading1"/>
      </w:pPr>
      <w:r>
        <w:t>Décision de réception</w:t>
      </w:r>
    </w:p>
    <w:p>
      <w:pPr>
        <w:keepLines/>
      </w:pPr>
      <w:r>
        <w:rPr>
          <w:rFonts w:ascii="Aptos" w:hAnsi="Aptos"/>
          <w:b w:val="0"/>
          <w:color w:val="000000"/>
          <w:sz w:val="20"/>
        </w:rPr>
        <w:t>Cocher une seule décision après délibération et compléter ses conditions :</w:t>
      </w:r>
    </w:p>
    <w:tbl>
      <w:tblPr>
        <w:tblW w:type="auto" w:w="0"/>
        <w:jc w:val="center"/>
        <w:tblLayout w:type="fixed"/>
        <w:tblLook w:firstColumn="1" w:firstRow="1" w:lastColumn="0" w:lastRow="0" w:noHBand="0" w:noVBand="1" w:val="04A0"/>
      </w:tblPr>
      <w:tblGrid>
        <w:gridCol w:w="850"/>
        <w:gridCol w:w="2948"/>
        <w:gridCol w:w="5555"/>
      </w:tblGrid>
      <w:tr>
        <w:trPr>
          <w:tblHeader w:val="true"/>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Choix</w:t>
            </w:r>
          </w:p>
        </w:tc>
        <w:tc>
          <w:tcPr>
            <w:tcW w:type="dxa" w:w="2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Décision</w:t>
            </w:r>
          </w:p>
        </w:tc>
        <w:tc>
          <w:tcPr>
            <w:tcW w:type="dxa" w:w="555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Conditions / observations</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 ]</w:t>
            </w:r>
          </w:p>
        </w:tc>
        <w:tc>
          <w:tcPr>
            <w:tcW w:type="dxa" w:w="2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Réception sans réserve</w:t>
            </w:r>
          </w:p>
        </w:tc>
        <w:tc>
          <w:tcPr>
            <w:tcW w:type="dxa" w:w="555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 ]</w:t>
            </w:r>
          </w:p>
        </w:tc>
        <w:tc>
          <w:tcPr>
            <w:tcW w:type="dxa" w:w="2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Réception avec réserves</w:t>
            </w:r>
          </w:p>
        </w:tc>
        <w:tc>
          <w:tcPr>
            <w:tcW w:type="dxa" w:w="555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Références et échéances : [À COMPLÉTER]</w:t>
            </w:r>
          </w:p>
        </w:tc>
      </w:tr>
      <w:tr>
        <w:trPr>
          <w:cantSplit w:val="true"/>
        </w:trPr>
        <w:tc>
          <w:tcPr>
            <w:tcW w:type="dxa" w:w="850"/>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 ]</w:t>
            </w:r>
          </w:p>
        </w:tc>
        <w:tc>
          <w:tcPr>
            <w:tcW w:type="dxa" w:w="2948"/>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Réception ajournée</w:t>
            </w:r>
          </w:p>
        </w:tc>
        <w:tc>
          <w:tcPr>
            <w:tcW w:type="dxa" w:w="555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Motif et prochaine étape : [À COMPLÉTER]</w:t>
            </w:r>
          </w:p>
        </w:tc>
      </w:tr>
    </w:tbl>
    <w:p>
      <w:pPr>
        <w:spacing w:after="40"/>
      </w:pPr>
    </w:p>
    <w:p>
      <w:pPr>
        <w:keepLines/>
      </w:pPr>
      <w:r>
        <w:rPr>
          <w:rFonts w:ascii="Aptos" w:hAnsi="Aptos"/>
          <w:b w:val="0"/>
          <w:color w:val="000000"/>
          <w:sz w:val="20"/>
        </w:rPr>
        <w:t>La décision ci-dessus ne vaut autorisation de mise en production que si une décision distincte et formelle le prévoit.</w:t>
      </w:r>
    </w:p>
    <w:p>
      <w:pPr>
        <w:pStyle w:val="Heading1"/>
      </w:pPr>
      <w:r>
        <w:t>Pièces jointes de recette</w:t>
      </w:r>
    </w:p>
    <w:tbl>
      <w:tblPr>
        <w:tblW w:type="auto" w:w="0"/>
        <w:jc w:val="center"/>
        <w:tblLayout w:type="fixed"/>
        <w:tblLook w:firstColumn="1" w:firstRow="1" w:lastColumn="0" w:lastRow="0" w:noHBand="0" w:noVBand="1" w:val="04A0"/>
      </w:tblPr>
      <w:tblGrid>
        <w:gridCol w:w="3685"/>
        <w:gridCol w:w="5669"/>
      </w:tblGrid>
      <w:tr>
        <w:trPr>
          <w:tblHeader w:val="true"/>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Pièce</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17365D"/>
          </w:tcPr>
          <w:p>
            <w:pPr>
              <w:jc w:val="center"/>
            </w:pPr>
            <w:r/>
            <w:r>
              <w:rPr>
                <w:rFonts w:ascii="Aptos" w:hAnsi="Aptos"/>
                <w:b/>
                <w:color w:val="FFFFFF"/>
                <w:sz w:val="18"/>
              </w:rPr>
              <w:t>Référence</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Plan de recette</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Jeux de données utilisés</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center"/>
            </w:pPr>
            <w:r/>
            <w:r>
              <w:rPr>
                <w:rFonts w:ascii="Aptos" w:hAnsi="Aptos"/>
                <w:b w:val="0"/>
                <w:color w:val="000000"/>
                <w:sz w:val="18"/>
              </w:rPr>
              <w:t>Captures / preuves</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[À COMPLÉTER]</w:t>
            </w:r>
          </w:p>
        </w:tc>
      </w:tr>
      <w:tr>
        <w:trPr>
          <w:cantSplit w:val="true"/>
        </w:trPr>
        <w:tc>
          <w:tcPr>
            <w:tcW w:type="dxa" w:w="3685"/>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center"/>
            </w:pPr>
            <w:r/>
            <w:r>
              <w:rPr>
                <w:rFonts w:ascii="Aptos" w:hAnsi="Aptos"/>
                <w:b w:val="0"/>
                <w:color w:val="000000"/>
                <w:sz w:val="18"/>
              </w:rPr>
              <w:t>Registre des anomalies</w:t>
            </w:r>
          </w:p>
        </w:tc>
        <w:tc>
          <w:tcPr>
            <w:tcW w:type="dxa" w:w="566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F3F6F9"/>
          </w:tcPr>
          <w:p>
            <w:pPr>
              <w:jc w:val="left"/>
            </w:pPr>
            <w:r/>
            <w:r>
              <w:rPr>
                <w:rFonts w:ascii="Aptos" w:hAnsi="Aptos"/>
                <w:b w:val="0"/>
                <w:color w:val="000000"/>
                <w:sz w:val="18"/>
              </w:rPr>
              <w:t>[À COMPLÉTER]</w:t>
            </w:r>
          </w:p>
        </w:tc>
      </w:tr>
    </w:tbl>
    <w:p>
      <w:pPr>
        <w:spacing w:after="40"/>
      </w:pPr>
    </w:p>
    <w:p>
      <w:pPr>
        <w:pStyle w:val="Heading1"/>
      </w:pPr>
      <w:r>
        <w:t>Signatures</w:t>
      </w:r>
    </w:p>
    <w:p>
      <w:pPr>
        <w:keepLines/>
      </w:pPr>
      <w:r>
        <w:rPr>
          <w:rFonts w:ascii="Aptos" w:hAnsi="Aptos"/>
          <w:b w:val="0"/>
          <w:color w:val="000000"/>
          <w:sz w:val="20"/>
        </w:rPr>
        <w:t>La signature ci-dessous constate uniquement le contenu indiqué par le présent document. Toute portée différente doit être expressément inscrite dans les observations.</w:t>
      </w:r>
    </w:p>
    <w:tbl>
      <w:tblPr>
        <w:tblW w:type="auto" w:w="0"/>
        <w:jc w:val="center"/>
        <w:tblLook w:firstColumn="1" w:firstRow="1" w:lastColumn="0" w:lastRow="0" w:noHBand="0" w:noVBand="1" w:val="04A0"/>
      </w:tblPr>
      <w:tblGrid>
        <w:gridCol w:w="4819"/>
        <w:gridCol w:w="4819"/>
      </w:tblGrid>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Pour NEXORA — remise</w:t>
            </w:r>
            <w:r>
              <w:rPr>
                <w:rFonts w:ascii="Aptos" w:hAnsi="Aptos"/>
                <w:b/>
                <w:color w:val="000000"/>
                <w:sz w:val="18"/>
              </w:rP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shd w:fill="DCE6F1"/>
          </w:tcPr>
          <w:p>
            <w:pPr>
              <w:jc w:val="left"/>
            </w:pPr>
            <w:r>
              <w:t>Pour la LCA — décision</w:t>
            </w:r>
            <w:r>
              <w:rPr>
                <w:rFonts w:ascii="Aptos" w:hAnsi="Aptos"/>
                <w:b/>
                <w:color w:val="000000"/>
                <w:sz w:val="18"/>
              </w:rPr>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Nom : [À COMPLÉTER]</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Nom : [À COMPLÉTER]</w:t>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Fonction : [À COMPLÉTER]</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Fonction : [À COMPLÉTER]</w:t>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Date : [À COMPLÉTER]</w:t>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Date : [À COMPLÉTER]</w:t>
            </w:r>
          </w:p>
        </w:tc>
      </w:tr>
      <w:tr>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Signature :</w:t>
              <w:br/>
              <w:br/>
              <w:br/>
            </w:r>
          </w:p>
        </w:tc>
        <w:tc>
          <w:tcPr>
            <w:tcW w:type="dxa" w:w="4819"/>
            <w:vAlign w:val="center"/>
            <w:tcBorders>
              <w:top w:val="single" w:sz="6" w:color="D9D9D9"/>
              <w:left w:val="single" w:sz="6" w:color="D9D9D9"/>
              <w:bottom w:val="single" w:sz="6" w:color="D9D9D9"/>
              <w:right w:val="single" w:sz="6" w:color="D9D9D9"/>
              <w:insideH w:val="single" w:sz="6" w:color="D9D9D9"/>
              <w:insideV w:val="single" w:sz="6" w:color="D9D9D9"/>
            </w:tcBorders>
            <w:tcMar>
              <w:top w:w="100" w:type="dxa"/>
              <w:start w:w="120" w:type="dxa"/>
              <w:bottom w:w="100" w:type="dxa"/>
              <w:end w:w="120" w:type="dxa"/>
            </w:tcMar>
          </w:tcPr>
          <w:p>
            <w:pPr>
              <w:jc w:val="left"/>
            </w:pPr>
            <w:r/>
            <w:r>
              <w:rPr>
                <w:rFonts w:ascii="Aptos" w:hAnsi="Aptos"/>
                <w:b w:val="0"/>
                <w:color w:val="000000"/>
                <w:sz w:val="18"/>
              </w:rPr>
              <w:t>Signature :</w:t>
              <w:br/>
              <w:br/>
              <w:br/>
            </w:r>
          </w:p>
        </w:tc>
      </w:tr>
    </w:tbl>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666666"/>
        <w:sz w:val="16"/>
      </w:rPr>
      <w:t xml:space="preserve">Procès verbal de réception fonctionnelle  •  LCA-ERP-PKG-20261012  •  Page </w:t>
    </w:r>
    <w:r>
      <w:rPr>
        <w:rFonts w:ascii="Aptos" w:hAnsi="Aptos"/>
        <w:b w:val="0"/>
        <w:color w:val="666666"/>
        <w:sz w:val="16"/>
      </w:rPr>
      <w:fldChar w:fldCharType="begin"/>
      <w:instrText xml:space="preserve">PAGE</w:instrText>
      <w:fldChar w:fldCharType="separate"/>
      <w:t>1</w:t>
      <w:fldChar w:fldCharType="end"/>
    </w:r>
    <w:r>
      <w:rPr>
        <w:rFonts w:ascii="Aptos" w:hAnsi="Aptos"/>
        <w:b w:val="0"/>
        <w:color w:val="666666"/>
        <w:sz w:val="16"/>
      </w:rPr>
      <w:t xml:space="preserve"> / </w:t>
    </w:r>
    <w:r>
      <w:rPr>
        <w:rFonts w:ascii="Aptos" w:hAnsi="Aptos"/>
        <w:b w:val="0"/>
        <w:color w:val="666666"/>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6666"/>
        <w:sz w:val="16"/>
      </w:rPr>
      <w:t>ERP LCA  |  Dossier officiel de remise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00" w:after="100"/>
      <w:outlineLvl w:val="2"/>
    </w:pPr>
    <w:rPr>
      <w:rFonts w:asciiTheme="majorHAnsi" w:eastAsiaTheme="majorEastAsia" w:hAnsiTheme="majorHAnsi" w:cstheme="majorBidi" w:ascii="Aptos Display" w:hAnsi="Aptos Display"/>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32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PROCES VERBAL RECEPTION FONCTIONNELLE</dc:title>
  <dc:subject>Dossier officiel de remise technique ERP LCA</dc:subject>
  <dc:creator>BEROX</dc:creator>
  <cp:keywords>ERP LCA remise technique</cp:keywords>
  <dc:description>Document à examiner et compléter avant signature.</dc:description>
  <cp:lastModifiedBy/>
  <cp:revision>1</cp:revision>
  <dcterms:created xsi:type="dcterms:W3CDTF">2013-12-23T23:15:00Z</dcterms:created>
  <dcterms:modified xsi:type="dcterms:W3CDTF">2013-12-23T23:15:00Z</dcterms:modified>
  <cp:category/>
</cp:coreProperties>
</file>