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jc w:val="center"/>
      </w:pPr>
      <w:r>
        <w:drawing>
          <wp:inline xmlns:a="http://schemas.openxmlformats.org/drawingml/2006/main" xmlns:pic="http://schemas.openxmlformats.org/drawingml/2006/picture">
            <wp:extent cx="2592000" cy="1270029"/>
            <wp:docPr id="1" name="Picture 1"/>
            <wp:cNvGraphicFramePr>
              <a:graphicFrameLocks noChangeAspect="1"/>
            </wp:cNvGraphicFramePr>
            <a:graphic>
              <a:graphicData uri="http://schemas.openxmlformats.org/drawingml/2006/picture">
                <pic:pic>
                  <pic:nvPicPr>
                    <pic:cNvPr id="0" name="logo-lca2.png"/>
                    <pic:cNvPicPr/>
                  </pic:nvPicPr>
                  <pic:blipFill>
                    <a:blip r:embed="rId11"/>
                    <a:stretch>
                      <a:fillRect/>
                    </a:stretch>
                  </pic:blipFill>
                  <pic:spPr>
                    <a:xfrm>
                      <a:off x="0" y="0"/>
                      <a:ext cx="2592000" cy="1270029"/>
                    </a:xfrm>
                    <a:prstGeom prst="rect"/>
                  </pic:spPr>
                </pic:pic>
              </a:graphicData>
            </a:graphic>
          </wp:inline>
        </w:drawing>
      </w:r>
    </w:p>
    <w:p>
      <w:pPr>
        <w:pStyle w:val="Title"/>
        <w:spacing w:before="360" w:after="160"/>
        <w:jc w:val="center"/>
      </w:pPr>
      <w:r>
        <w:rPr>
          <w:rFonts w:ascii="Aptos Display" w:hAnsi="Aptos Display"/>
          <w:b/>
          <w:color w:val="000000"/>
          <w:sz w:val="48"/>
        </w:rPr>
        <w:t>Synthèse exécutive de livraison</w:t>
      </w:r>
    </w:p>
    <w:p>
      <w:pPr>
        <w:jc w:val="center"/>
      </w:pPr>
      <w:r>
        <w:rPr>
          <w:rFonts w:ascii="Aptos" w:hAnsi="Aptos"/>
          <w:b/>
          <w:color w:val="17365D"/>
          <w:sz w:val="24"/>
        </w:rPr>
        <w:t>ERP et CRM automobile de la LCA</w:t>
      </w:r>
    </w:p>
    <w:p>
      <w:pPr>
        <w:spacing w:before="360"/>
        <w:jc w:val="center"/>
      </w:pPr>
      <w:r>
        <w:rPr>
          <w:rFonts w:ascii="Aptos" w:hAnsi="Aptos"/>
          <w:b/>
          <w:color w:val="666666"/>
          <w:sz w:val="18"/>
        </w:rPr>
        <w:t>NOTE AUX RESPONSABLES DE LA LCA</w:t>
      </w:r>
    </w:p>
    <w:tbl>
      <w:tblPr>
        <w:tblW w:type="auto" w:w="0"/>
        <w:jc w:val="center"/>
        <w:tblLayout w:type="fixed"/>
        <w:tblLook w:firstColumn="1" w:firstRow="1" w:lastColumn="0" w:lastRow="0" w:noHBand="0" w:noVBand="1" w:val="04A0"/>
      </w:tblPr>
      <w:tblGrid>
        <w:gridCol w:w="4819"/>
        <w:gridCol w:w="4819"/>
      </w:tblGrid>
      <w:tr>
        <w:tc>
          <w:tcPr>
            <w:tcW w:type="dxa" w:w="283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CE6F1"/>
          </w:tcPr>
          <w:p>
            <w:pPr>
              <w:jc w:val="left"/>
            </w:pPr>
            <w:r>
              <w:t>Destinataire final</w:t>
            </w:r>
            <w:r>
              <w:rPr>
                <w:rFonts w:ascii="Aptos" w:hAnsi="Aptos"/>
                <w:b/>
                <w:color w:val="000000"/>
                <w:sz w:val="17"/>
              </w:rPr>
            </w:r>
          </w:p>
        </w:tc>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t>La Congolaise de l’Automobile LCA</w:t>
            </w:r>
            <w:r>
              <w:rPr>
                <w:rFonts w:ascii="Aptos" w:hAnsi="Aptos"/>
                <w:b w:val="0"/>
                <w:color w:val="000000"/>
                <w:sz w:val="17"/>
              </w:rPr>
            </w:r>
          </w:p>
        </w:tc>
      </w:tr>
      <w:tr>
        <w:tc>
          <w:tcPr>
            <w:tcW w:type="dxa" w:w="283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CE6F1"/>
          </w:tcPr>
          <w:p>
            <w:pPr>
              <w:jc w:val="left"/>
            </w:pPr>
            <w:r>
              <w:t>Structure chargée de la remise</w:t>
            </w:r>
            <w:r>
              <w:rPr>
                <w:rFonts w:ascii="Aptos" w:hAnsi="Aptos"/>
                <w:b/>
                <w:color w:val="000000"/>
                <w:sz w:val="17"/>
              </w:rPr>
            </w:r>
          </w:p>
        </w:tc>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t>NEXORA</w:t>
            </w:r>
            <w:r>
              <w:rPr>
                <w:rFonts w:ascii="Aptos" w:hAnsi="Aptos"/>
                <w:b w:val="0"/>
                <w:color w:val="000000"/>
                <w:sz w:val="17"/>
              </w:rPr>
            </w:r>
          </w:p>
        </w:tc>
      </w:tr>
      <w:tr>
        <w:tc>
          <w:tcPr>
            <w:tcW w:type="dxa" w:w="283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CE6F1"/>
          </w:tcPr>
          <w:p>
            <w:pPr>
              <w:jc w:val="left"/>
            </w:pPr>
            <w:r>
              <w:t>Sous-traitant technique</w:t>
            </w:r>
            <w:r>
              <w:rPr>
                <w:rFonts w:ascii="Aptos" w:hAnsi="Aptos"/>
                <w:b/>
                <w:color w:val="000000"/>
                <w:sz w:val="17"/>
              </w:rPr>
            </w:r>
          </w:p>
        </w:tc>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t>BEROX</w:t>
            </w:r>
            <w:r>
              <w:rPr>
                <w:rFonts w:ascii="Aptos" w:hAnsi="Aptos"/>
                <w:b w:val="0"/>
                <w:color w:val="000000"/>
                <w:sz w:val="17"/>
              </w:rPr>
            </w:r>
          </w:p>
        </w:tc>
      </w:tr>
      <w:tr>
        <w:tc>
          <w:tcPr>
            <w:tcW w:type="dxa" w:w="283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CE6F1"/>
          </w:tcPr>
          <w:p>
            <w:pPr>
              <w:jc w:val="left"/>
            </w:pPr>
            <w:r/>
            <w:r>
              <w:rPr>
                <w:rFonts w:ascii="Aptos" w:hAnsi="Aptos"/>
                <w:b/>
                <w:color w:val="000000"/>
                <w:sz w:val="17"/>
              </w:rPr>
              <w:t>Date du document</w:t>
            </w:r>
          </w:p>
        </w:tc>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7"/>
              </w:rPr>
              <w:t>[À COMPLÉTER]</w:t>
            </w:r>
          </w:p>
        </w:tc>
      </w:tr>
    </w:tbl>
    <w:p>
      <w:pPr>
        <w:spacing w:after="120"/>
      </w:pPr>
    </w:p>
    <w:p>
      <w:pPr>
        <w:jc w:val="center"/>
      </w:pPr>
      <w:r>
        <w:rPr>
          <w:rFonts w:ascii="Aptos" w:hAnsi="Aptos"/>
          <w:b w:val="0"/>
          <w:color w:val="666666"/>
          <w:sz w:val="18"/>
        </w:rPr>
        <w:t>Document préparé pour examen, impression et signature. Il ne constate ni réception fonctionnelle ni mise en production.</w:t>
      </w:r>
    </w:p>
    <w:p>
      <w:r>
        <w:br w:type="page"/>
      </w:r>
    </w:p>
    <w:p>
      <w:pPr>
        <w:pStyle w:val="Heading1"/>
      </w:pPr>
      <w:r>
        <w:t>Décision à préparer</w:t>
      </w:r>
    </w:p>
    <w:p>
      <w:pPr>
        <w:keepLines/>
      </w:pPr>
      <w:r>
        <w:rPr>
          <w:rFonts w:ascii="Aptos" w:hAnsi="Aptos"/>
          <w:b w:val="0"/>
          <w:color w:val="000000"/>
          <w:sz w:val="20"/>
        </w:rPr>
        <w:t>Le logiciel et son paquet technique sont prêts pour un circuit de remise contrôlée. BEROX remet les éléments techniques à NEXORA, qui organise leur remise officielle à LCA. LCA doit encore vérifier matériellement le support, organiser sa recette fonctionnelle, confirmer les responsabilités d’exploitation et autoriser séparément toute mise en production.</w:t>
      </w:r>
    </w:p>
    <w:p>
      <w:pPr>
        <w:pStyle w:val="Heading1"/>
      </w:pPr>
      <w:r>
        <w:t>Finalité du système</w:t>
      </w:r>
    </w:p>
    <w:p>
      <w:pPr>
        <w:keepLines/>
      </w:pPr>
      <w:r>
        <w:rPr>
          <w:rFonts w:ascii="Aptos" w:hAnsi="Aptos"/>
          <w:b w:val="0"/>
          <w:color w:val="000000"/>
          <w:sz w:val="20"/>
        </w:rPr>
        <w:t>L’ERP rassemble dans une même solution les parcours commerciaux et opérationnels d’une entreprise automobile afin de réduire les doubles saisies, renforcer la traçabilité et appliquer des habilitations cohérentes.</w:t>
      </w:r>
    </w:p>
    <w:p>
      <w:pPr>
        <w:pStyle w:val="Heading1"/>
      </w:pPr>
      <w:r>
        <w:t>Principales familles fonctionnelles</w:t>
      </w:r>
    </w:p>
    <w:tbl>
      <w:tblPr>
        <w:tblW w:type="auto" w:w="0"/>
        <w:jc w:val="center"/>
        <w:tblLayout w:type="fixed"/>
        <w:tblLook w:firstColumn="1" w:firstRow="1" w:lastColumn="0" w:lastRow="0" w:noHBand="0" w:noVBand="1" w:val="04A0"/>
      </w:tblPr>
      <w:tblGrid>
        <w:gridCol w:w="2834"/>
        <w:gridCol w:w="6519"/>
      </w:tblGrid>
      <w:tr>
        <w:trPr>
          <w:tblHeader w:val="true"/>
          <w:cantSplit w:val="true"/>
        </w:trPr>
        <w:tc>
          <w:tcPr>
            <w:tcW w:type="dxa" w:w="283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7"/>
              </w:rPr>
              <w:t>Famille</w:t>
            </w:r>
          </w:p>
        </w:tc>
        <w:tc>
          <w:tcPr>
            <w:tcW w:type="dxa" w:w="65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7"/>
              </w:rPr>
              <w:t>Couverture</w:t>
            </w:r>
          </w:p>
        </w:tc>
      </w:tr>
      <w:tr>
        <w:trPr>
          <w:cantSplit w:val="true"/>
        </w:trPr>
        <w:tc>
          <w:tcPr>
            <w:tcW w:type="dxa" w:w="283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7"/>
              </w:rPr>
              <w:t>Relation client et commerce</w:t>
            </w:r>
          </w:p>
        </w:tc>
        <w:tc>
          <w:tcPr>
            <w:tcW w:type="dxa" w:w="65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7"/>
              </w:rPr>
              <w:t>CRM, rendez-vous, showroom, devis, ventes et livraisons</w:t>
            </w:r>
          </w:p>
        </w:tc>
      </w:tr>
      <w:tr>
        <w:trPr>
          <w:cantSplit w:val="true"/>
        </w:trPr>
        <w:tc>
          <w:tcPr>
            <w:tcW w:type="dxa" w:w="283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7"/>
              </w:rPr>
              <w:t>Véhicules</w:t>
            </w:r>
          </w:p>
        </w:tc>
        <w:tc>
          <w:tcPr>
            <w:tcW w:type="dxa" w:w="65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7"/>
              </w:rPr>
              <w:t>Catalogue, parc, stock, mouvements, essais et garanties</w:t>
            </w:r>
          </w:p>
        </w:tc>
      </w:tr>
      <w:tr>
        <w:trPr>
          <w:cantSplit w:val="true"/>
        </w:trPr>
        <w:tc>
          <w:tcPr>
            <w:tcW w:type="dxa" w:w="283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7"/>
              </w:rPr>
              <w:t>Après-vente</w:t>
            </w:r>
          </w:p>
        </w:tc>
        <w:tc>
          <w:tcPr>
            <w:tcW w:type="dxa" w:w="65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7"/>
              </w:rPr>
              <w:t>Atelier, ordres de réparation, SAV et pièces</w:t>
            </w:r>
          </w:p>
        </w:tc>
      </w:tr>
      <w:tr>
        <w:trPr>
          <w:cantSplit w:val="true"/>
        </w:trPr>
        <w:tc>
          <w:tcPr>
            <w:tcW w:type="dxa" w:w="283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7"/>
              </w:rPr>
              <w:t>Gestion documentaire</w:t>
            </w:r>
          </w:p>
        </w:tc>
        <w:tc>
          <w:tcPr>
            <w:tcW w:type="dxa" w:w="65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7"/>
              </w:rPr>
              <w:t>GED, pièces jointes, documents et PDF</w:t>
            </w:r>
          </w:p>
        </w:tc>
      </w:tr>
      <w:tr>
        <w:trPr>
          <w:cantSplit w:val="true"/>
        </w:trPr>
        <w:tc>
          <w:tcPr>
            <w:tcW w:type="dxa" w:w="283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7"/>
              </w:rPr>
              <w:t>Pilotage</w:t>
            </w:r>
          </w:p>
        </w:tc>
        <w:tc>
          <w:tcPr>
            <w:tcW w:type="dxa" w:w="65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7"/>
              </w:rPr>
              <w:t>Facturation, trésorerie, budgets, reporting et notifications</w:t>
            </w:r>
          </w:p>
        </w:tc>
      </w:tr>
      <w:tr>
        <w:trPr>
          <w:cantSplit w:val="true"/>
        </w:trPr>
        <w:tc>
          <w:tcPr>
            <w:tcW w:type="dxa" w:w="283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7"/>
              </w:rPr>
              <w:t>Administration</w:t>
            </w:r>
          </w:p>
        </w:tc>
        <w:tc>
          <w:tcPr>
            <w:tcW w:type="dxa" w:w="65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7"/>
              </w:rPr>
              <w:t>Utilisateurs, rôles, scopes, paramètres et ressources humaines</w:t>
            </w:r>
          </w:p>
        </w:tc>
      </w:tr>
    </w:tbl>
    <w:p>
      <w:pPr>
        <w:spacing w:after="40"/>
      </w:pPr>
    </w:p>
    <w:p>
      <w:pPr>
        <w:pStyle w:val="Heading1"/>
      </w:pPr>
      <w:r>
        <w:t>Architecture</w:t>
      </w:r>
    </w:p>
    <w:p>
      <w:pPr>
        <w:keepLines/>
      </w:pPr>
      <w:r>
        <w:rPr>
          <w:rFonts w:ascii="Aptos" w:hAnsi="Aptos"/>
          <w:b w:val="0"/>
          <w:color w:val="000000"/>
          <w:sz w:val="20"/>
        </w:rPr>
        <w:t>L’interface React communique avec une API Node.js et une base MySQL 8.4. Nginx publie l’interface, l’API et les échanges temps réel. Docker Compose organise les services, réseaux, volumes persistants et contrôles de santé.</w:t>
      </w:r>
    </w:p>
    <w:p>
      <w:pPr>
        <w:pStyle w:val="Heading1"/>
      </w:pPr>
      <w:r>
        <w:t>État d’achèvement</w:t>
      </w:r>
    </w:p>
    <w:tbl>
      <w:tblPr>
        <w:tblW w:type="auto" w:w="0"/>
        <w:jc w:val="center"/>
        <w:tblLayout w:type="fixed"/>
        <w:tblLook w:firstColumn="1" w:firstRow="1" w:lastColumn="0" w:lastRow="0" w:noHBand="0" w:noVBand="1" w:val="04A0"/>
      </w:tblPr>
      <w:tblGrid>
        <w:gridCol w:w="3685"/>
        <w:gridCol w:w="5669"/>
      </w:tblGrid>
      <w:tr>
        <w:trPr>
          <w:tblHeader w:val="true"/>
          <w:cantSplit w:val="true"/>
        </w:trPr>
        <w:tc>
          <w:tcPr>
            <w:tcW w:type="dxa" w:w="368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7"/>
              </w:rPr>
              <w:t>Indicateur</w:t>
            </w:r>
          </w:p>
        </w:tc>
        <w:tc>
          <w:tcPr>
            <w:tcW w:type="dxa" w:w="566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7"/>
              </w:rPr>
              <w:t>Résultat</w:t>
            </w:r>
          </w:p>
        </w:tc>
      </w:tr>
      <w:tr>
        <w:trPr>
          <w:cantSplit w:val="true"/>
        </w:trPr>
        <w:tc>
          <w:tcPr>
            <w:tcW w:type="dxa" w:w="368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7"/>
              </w:rPr>
              <w:t>Qualification technique</w:t>
            </w:r>
          </w:p>
        </w:tc>
        <w:tc>
          <w:tcPr>
            <w:tcW w:type="dxa" w:w="566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7"/>
              </w:rPr>
              <w:t>B — qualifié avec réserves non bloquantes</w:t>
            </w:r>
          </w:p>
        </w:tc>
      </w:tr>
      <w:tr>
        <w:trPr>
          <w:cantSplit w:val="true"/>
        </w:trPr>
        <w:tc>
          <w:tcPr>
            <w:tcW w:type="dxa" w:w="368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7"/>
              </w:rPr>
              <w:t>Tests backend</w:t>
            </w:r>
          </w:p>
        </w:tc>
        <w:tc>
          <w:tcPr>
            <w:tcW w:type="dxa" w:w="566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7"/>
              </w:rPr>
              <w:t>231/231 fichiers réussis</w:t>
            </w:r>
          </w:p>
        </w:tc>
      </w:tr>
      <w:tr>
        <w:trPr>
          <w:cantSplit w:val="true"/>
        </w:trPr>
        <w:tc>
          <w:tcPr>
            <w:tcW w:type="dxa" w:w="368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7"/>
              </w:rPr>
              <w:t>Tests frontend</w:t>
            </w:r>
          </w:p>
        </w:tc>
        <w:tc>
          <w:tcPr>
            <w:tcW w:type="dxa" w:w="566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7"/>
              </w:rPr>
              <w:t>153/153 fichiers réussis</w:t>
            </w:r>
          </w:p>
        </w:tc>
      </w:tr>
      <w:tr>
        <w:trPr>
          <w:cantSplit w:val="true"/>
        </w:trPr>
        <w:tc>
          <w:tcPr>
            <w:tcW w:type="dxa" w:w="368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7"/>
              </w:rPr>
              <w:t>Reporting MySQL</w:t>
            </w:r>
          </w:p>
        </w:tc>
        <w:tc>
          <w:tcPr>
            <w:tcW w:type="dxa" w:w="566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7"/>
              </w:rPr>
              <w:t>5/5 scénarios réussis</w:t>
            </w:r>
          </w:p>
        </w:tc>
      </w:tr>
      <w:tr>
        <w:trPr>
          <w:cantSplit w:val="true"/>
        </w:trPr>
        <w:tc>
          <w:tcPr>
            <w:tcW w:type="dxa" w:w="368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7"/>
              </w:rPr>
              <w:t>GED et PDF</w:t>
            </w:r>
          </w:p>
        </w:tc>
        <w:tc>
          <w:tcPr>
            <w:tcW w:type="dxa" w:w="566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7"/>
              </w:rPr>
              <w:t>Contrôles réussis dans le périmètre qualifié</w:t>
            </w:r>
          </w:p>
        </w:tc>
      </w:tr>
      <w:tr>
        <w:trPr>
          <w:cantSplit w:val="true"/>
        </w:trPr>
        <w:tc>
          <w:tcPr>
            <w:tcW w:type="dxa" w:w="368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7"/>
              </w:rPr>
              <w:t>HTTPS et WSS</w:t>
            </w:r>
          </w:p>
        </w:tc>
        <w:tc>
          <w:tcPr>
            <w:tcW w:type="dxa" w:w="566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7"/>
              </w:rPr>
              <w:t>Validés en environnement temporaire isolé</w:t>
            </w:r>
          </w:p>
        </w:tc>
      </w:tr>
      <w:tr>
        <w:trPr>
          <w:cantSplit w:val="true"/>
        </w:trPr>
        <w:tc>
          <w:tcPr>
            <w:tcW w:type="dxa" w:w="368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7"/>
              </w:rPr>
              <w:t>Paquet</w:t>
            </w:r>
          </w:p>
        </w:tc>
        <w:tc>
          <w:tcPr>
            <w:tcW w:type="dxa" w:w="566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7"/>
              </w:rPr>
              <w:t>B — prêt avec réserves documentées</w:t>
            </w:r>
          </w:p>
        </w:tc>
      </w:tr>
      <w:tr>
        <w:trPr>
          <w:cantSplit w:val="true"/>
        </w:trPr>
        <w:tc>
          <w:tcPr>
            <w:tcW w:type="dxa" w:w="368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7"/>
              </w:rPr>
              <w:t>Contenu</w:t>
            </w:r>
          </w:p>
        </w:tc>
        <w:tc>
          <w:tcPr>
            <w:tcW w:type="dxa" w:w="566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7"/>
              </w:rPr>
              <w:t>471 fichiers, intégrité vérifiée</w:t>
            </w:r>
          </w:p>
        </w:tc>
      </w:tr>
    </w:tbl>
    <w:p>
      <w:pPr>
        <w:spacing w:after="40"/>
      </w:pPr>
    </w:p>
    <w:p>
      <w:pPr>
        <w:pStyle w:val="Heading1"/>
      </w:pPr>
      <w:r>
        <w:t>Contenu préparé par BEROX pour remise à NEXORA puis transmission à LCA</w:t>
      </w:r>
    </w:p>
    <w:p>
      <w:pPr>
        <w:pStyle w:val="ListBullet"/>
        <w:spacing w:after="60"/>
        <w:keepLines/>
      </w:pPr>
      <w:r>
        <w:rPr>
          <w:rFonts w:ascii="Aptos" w:hAnsi="Aptos"/>
          <w:b w:val="0"/>
          <w:color w:val="000000"/>
          <w:sz w:val="20"/>
        </w:rPr>
        <w:t>Archive ZIP et empreinte SHA-256 vérifiée.</w:t>
      </w:r>
    </w:p>
    <w:p>
      <w:pPr>
        <w:pStyle w:val="ListBullet"/>
        <w:spacing w:after="60"/>
        <w:keepLines/>
      </w:pPr>
      <w:r>
        <w:rPr>
          <w:rFonts w:ascii="Aptos" w:hAnsi="Aptos"/>
          <w:b w:val="0"/>
          <w:color w:val="000000"/>
          <w:sz w:val="20"/>
        </w:rPr>
        <w:t>Sources frontend/backend et dépendances verrouillées.</w:t>
      </w:r>
    </w:p>
    <w:p>
      <w:pPr>
        <w:pStyle w:val="ListBullet"/>
        <w:spacing w:after="60"/>
        <w:keepLines/>
      </w:pPr>
      <w:r>
        <w:rPr>
          <w:rFonts w:ascii="Aptos" w:hAnsi="Aptos"/>
          <w:b w:val="0"/>
          <w:color w:val="000000"/>
          <w:sz w:val="20"/>
        </w:rPr>
        <w:t>Base, migrations, Docker, Nginx et modèles de configuration.</w:t>
      </w:r>
    </w:p>
    <w:p>
      <w:pPr>
        <w:pStyle w:val="ListBullet"/>
        <w:spacing w:after="60"/>
        <w:keepLines/>
      </w:pPr>
      <w:r>
        <w:rPr>
          <w:rFonts w:ascii="Aptos" w:hAnsi="Aptos"/>
          <w:b w:val="0"/>
          <w:color w:val="000000"/>
          <w:sz w:val="20"/>
        </w:rPr>
        <w:t>Guides d’installation, administration, sauvegarde, restauration et sécurité.</w:t>
      </w:r>
    </w:p>
    <w:p>
      <w:pPr>
        <w:pStyle w:val="ListBullet"/>
        <w:spacing w:after="60"/>
        <w:keepLines/>
      </w:pPr>
      <w:r>
        <w:rPr>
          <w:rFonts w:ascii="Aptos" w:hAnsi="Aptos"/>
          <w:b w:val="0"/>
          <w:color w:val="000000"/>
          <w:sz w:val="20"/>
        </w:rPr>
        <w:t>Rapports de qualification, registre des réserves et manifestes d’intégrité.</w:t>
      </w:r>
    </w:p>
    <w:p>
      <w:pPr>
        <w:pStyle w:val="Heading1"/>
      </w:pPr>
      <w:r>
        <w:t>Réserves à connaître</w:t>
      </w:r>
    </w:p>
    <w:tbl>
      <w:tblPr>
        <w:tblW w:type="auto" w:w="0"/>
        <w:jc w:val="center"/>
        <w:tblLayout w:type="fixed"/>
        <w:tblLook w:firstColumn="1" w:firstRow="1" w:lastColumn="0" w:lastRow="0" w:noHBand="0" w:noVBand="1" w:val="04A0"/>
      </w:tblPr>
      <w:tblGrid>
        <w:gridCol w:w="2721"/>
        <w:gridCol w:w="3514"/>
        <w:gridCol w:w="3118"/>
      </w:tblGrid>
      <w:tr>
        <w:trPr>
          <w:tblHeader w:val="true"/>
          <w:cantSplit w:val="true"/>
        </w:trPr>
        <w:tc>
          <w:tcPr>
            <w:tcW w:type="dxa" w:w="272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6"/>
              </w:rPr>
              <w:t>Sujet</w:t>
            </w:r>
          </w:p>
        </w:tc>
        <w:tc>
          <w:tcPr>
            <w:tcW w:type="dxa" w:w="351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6"/>
              </w:rPr>
              <w:t>Situation</w:t>
            </w:r>
          </w:p>
        </w:tc>
        <w:tc>
          <w:tcPr>
            <w:tcW w:type="dxa" w:w="311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6"/>
              </w:rPr>
              <w:t>Décision attendue</w:t>
            </w:r>
          </w:p>
        </w:tc>
      </w:tr>
      <w:tr>
        <w:trPr>
          <w:cantSplit w:val="true"/>
        </w:trPr>
        <w:tc>
          <w:tcPr>
            <w:tcW w:type="dxa" w:w="272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6"/>
              </w:rPr>
              <w:t>Timeout SQL</w:t>
            </w:r>
          </w:p>
        </w:tc>
        <w:tc>
          <w:tcPr>
            <w:tcW w:type="dxa" w:w="351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6"/>
              </w:rPr>
              <w:t>Pas de timeout métier généralisé par requête</w:t>
            </w:r>
          </w:p>
        </w:tc>
        <w:tc>
          <w:tcPr>
            <w:tcW w:type="dxa" w:w="311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6"/>
              </w:rPr>
              <w:t>Planifier l’amélioration selon la charge cible</w:t>
            </w:r>
          </w:p>
        </w:tc>
      </w:tr>
      <w:tr>
        <w:trPr>
          <w:cantSplit w:val="true"/>
        </w:trPr>
        <w:tc>
          <w:tcPr>
            <w:tcW w:type="dxa" w:w="272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6"/>
              </w:rPr>
              <w:t>Uploads GED</w:t>
            </w:r>
          </w:p>
        </w:tc>
        <w:tc>
          <w:tcPr>
            <w:tcW w:type="dxa" w:w="351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6"/>
              </w:rPr>
              <w:t>Fichiers encore bufferisés en mémoire</w:t>
            </w:r>
          </w:p>
        </w:tc>
        <w:tc>
          <w:tcPr>
            <w:tcW w:type="dxa" w:w="311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6"/>
              </w:rPr>
              <w:t>Évaluer volumétrie et évolution streaming</w:t>
            </w:r>
          </w:p>
        </w:tc>
      </w:tr>
      <w:tr>
        <w:trPr>
          <w:cantSplit w:val="true"/>
        </w:trPr>
        <w:tc>
          <w:tcPr>
            <w:tcW w:type="dxa" w:w="272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6"/>
              </w:rPr>
              <w:t>Chaîne Docker</w:t>
            </w:r>
          </w:p>
        </w:tc>
        <w:tc>
          <w:tcPr>
            <w:tcW w:type="dxa" w:w="351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6"/>
              </w:rPr>
              <w:t>Images principales épinglées ; SBOM, signature et Alpine restent à traiter</w:t>
            </w:r>
          </w:p>
        </w:tc>
        <w:tc>
          <w:tcPr>
            <w:tcW w:type="dxa" w:w="311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6"/>
              </w:rPr>
              <w:t>Définir la politique de chaîne de livraison</w:t>
            </w:r>
          </w:p>
        </w:tc>
      </w:tr>
      <w:tr>
        <w:trPr>
          <w:cantSplit w:val="true"/>
        </w:trPr>
        <w:tc>
          <w:tcPr>
            <w:tcW w:type="dxa" w:w="272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6"/>
              </w:rPr>
              <w:t>Infrastructure cible</w:t>
            </w:r>
          </w:p>
        </w:tc>
        <w:tc>
          <w:tcPr>
            <w:tcW w:type="dxa" w:w="351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6"/>
              </w:rPr>
              <w:t>TLS, DNS, proxy, sauvegarde et restauration non recettés sur la cible</w:t>
            </w:r>
          </w:p>
        </w:tc>
        <w:tc>
          <w:tcPr>
            <w:tcW w:type="dxa" w:w="311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6"/>
              </w:rPr>
              <w:t>Organiser une recette technique avant production</w:t>
            </w:r>
          </w:p>
        </w:tc>
      </w:tr>
      <w:tr>
        <w:trPr>
          <w:cantSplit w:val="true"/>
        </w:trPr>
        <w:tc>
          <w:tcPr>
            <w:tcW w:type="dxa" w:w="272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6"/>
              </w:rPr>
              <w:t>Accès historiques</w:t>
            </w:r>
          </w:p>
        </w:tc>
        <w:tc>
          <w:tcPr>
            <w:tcW w:type="dxa" w:w="351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6"/>
              </w:rPr>
              <w:t>Périmètre externe et anciennes copies à achever pour LCA-R01</w:t>
            </w:r>
          </w:p>
        </w:tc>
        <w:tc>
          <w:tcPr>
            <w:tcW w:type="dxa" w:w="311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6"/>
              </w:rPr>
              <w:t>Obtenir et conserver les preuves</w:t>
            </w:r>
          </w:p>
        </w:tc>
      </w:tr>
    </w:tbl>
    <w:p>
      <w:pPr>
        <w:spacing w:after="40"/>
      </w:pPr>
    </w:p>
    <w:p>
      <w:pPr>
        <w:pStyle w:val="Heading1"/>
      </w:pPr>
      <w:r>
        <w:t>Étapes avant exploitation</w:t>
      </w:r>
    </w:p>
    <w:tbl>
      <w:tblPr>
        <w:tblW w:type="auto" w:w="0"/>
        <w:jc w:val="center"/>
        <w:tblLayout w:type="fixed"/>
        <w:tblLook w:firstColumn="1" w:firstRow="1" w:lastColumn="0" w:lastRow="0" w:noHBand="0" w:noVBand="1" w:val="04A0"/>
      </w:tblPr>
      <w:tblGrid>
        <w:gridCol w:w="850"/>
        <w:gridCol w:w="3968"/>
        <w:gridCol w:w="4535"/>
      </w:tblGrid>
      <w:tr>
        <w:trPr>
          <w:tblHeader w:val="true"/>
          <w:cantSplit w:val="true"/>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6"/>
              </w:rPr>
              <w:t>Ordre</w:t>
            </w:r>
          </w:p>
        </w:tc>
        <w:tc>
          <w:tcPr>
            <w:tcW w:type="dxa" w:w="39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6"/>
              </w:rPr>
              <w:t>Action</w:t>
            </w:r>
          </w:p>
        </w:tc>
        <w:tc>
          <w:tcPr>
            <w:tcW w:type="dxa" w:w="453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6"/>
              </w:rPr>
              <w:t>Résultat attendu</w:t>
            </w:r>
          </w:p>
        </w:tc>
      </w:tr>
      <w:tr>
        <w:trPr>
          <w:cantSplit w:val="true"/>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6"/>
              </w:rPr>
              <w:t>1</w:t>
            </w:r>
          </w:p>
        </w:tc>
        <w:tc>
          <w:tcPr>
            <w:tcW w:type="dxa" w:w="39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6"/>
              </w:rPr>
              <w:t>Examiner et compléter le dossier officiel</w:t>
            </w:r>
          </w:p>
        </w:tc>
        <w:tc>
          <w:tcPr>
            <w:tcW w:type="dxa" w:w="453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6"/>
              </w:rPr>
              <w:t>Champs, responsables et support confirmés</w:t>
            </w:r>
          </w:p>
        </w:tc>
      </w:tr>
      <w:tr>
        <w:trPr>
          <w:cantSplit w:val="true"/>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6"/>
              </w:rPr>
              <w:t>2</w:t>
            </w:r>
          </w:p>
        </w:tc>
        <w:tc>
          <w:tcPr>
            <w:tcW w:type="dxa" w:w="39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6"/>
              </w:rPr>
              <w:t>Vérifier le support et SHA-256</w:t>
            </w:r>
          </w:p>
        </w:tc>
        <w:tc>
          <w:tcPr>
            <w:tcW w:type="dxa" w:w="453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6"/>
              </w:rPr>
              <w:t>Copie intègre et traçable</w:t>
            </w:r>
          </w:p>
        </w:tc>
      </w:tr>
      <w:tr>
        <w:trPr>
          <w:cantSplit w:val="true"/>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6"/>
              </w:rPr>
              <w:t>3</w:t>
            </w:r>
          </w:p>
        </w:tc>
        <w:tc>
          <w:tcPr>
            <w:tcW w:type="dxa" w:w="39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6"/>
              </w:rPr>
              <w:t>Organiser la recette fonctionnelle LCA</w:t>
            </w:r>
          </w:p>
        </w:tc>
        <w:tc>
          <w:tcPr>
            <w:tcW w:type="dxa" w:w="453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6"/>
              </w:rPr>
              <w:t>Décision documentée sans présélection</w:t>
            </w:r>
          </w:p>
        </w:tc>
      </w:tr>
      <w:tr>
        <w:trPr>
          <w:cantSplit w:val="true"/>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6"/>
              </w:rPr>
              <w:t>4</w:t>
            </w:r>
          </w:p>
        </w:tc>
        <w:tc>
          <w:tcPr>
            <w:tcW w:type="dxa" w:w="39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6"/>
              </w:rPr>
              <w:t>Préparer l’infrastructure cible</w:t>
            </w:r>
          </w:p>
        </w:tc>
        <w:tc>
          <w:tcPr>
            <w:tcW w:type="dxa" w:w="453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6"/>
              </w:rPr>
              <w:t>DNS, TLS, secrets, volumes et supervision validés</w:t>
            </w:r>
          </w:p>
        </w:tc>
      </w:tr>
      <w:tr>
        <w:trPr>
          <w:cantSplit w:val="true"/>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6"/>
              </w:rPr>
              <w:t>5</w:t>
            </w:r>
          </w:p>
        </w:tc>
        <w:tc>
          <w:tcPr>
            <w:tcW w:type="dxa" w:w="39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6"/>
              </w:rPr>
              <w:t>Tester sauvegarde et restauration</w:t>
            </w:r>
          </w:p>
        </w:tc>
        <w:tc>
          <w:tcPr>
            <w:tcW w:type="dxa" w:w="453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6"/>
              </w:rPr>
              <w:t>RPO/RTO et preuves acceptés</w:t>
            </w:r>
          </w:p>
        </w:tc>
      </w:tr>
      <w:tr>
        <w:trPr>
          <w:cantSplit w:val="true"/>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6"/>
              </w:rPr>
              <w:t>6</w:t>
            </w:r>
          </w:p>
        </w:tc>
        <w:tc>
          <w:tcPr>
            <w:tcW w:type="dxa" w:w="39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6"/>
              </w:rPr>
              <w:t>Valider sécurité exploitation métier</w:t>
            </w:r>
          </w:p>
        </w:tc>
        <w:tc>
          <w:tcPr>
            <w:tcW w:type="dxa" w:w="453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6"/>
              </w:rPr>
              <w:t>Autorisation formelle distincte</w:t>
            </w:r>
          </w:p>
        </w:tc>
      </w:tr>
      <w:tr>
        <w:trPr>
          <w:cantSplit w:val="true"/>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6"/>
              </w:rPr>
              <w:t>7</w:t>
            </w:r>
          </w:p>
        </w:tc>
        <w:tc>
          <w:tcPr>
            <w:tcW w:type="dxa" w:w="39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6"/>
              </w:rPr>
              <w:t>Décider du déploiement puis de la production</w:t>
            </w:r>
          </w:p>
        </w:tc>
        <w:tc>
          <w:tcPr>
            <w:tcW w:type="dxa" w:w="453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6"/>
              </w:rPr>
              <w:t>Changement contrôlé et réversible</w:t>
            </w:r>
          </w:p>
        </w:tc>
      </w:tr>
    </w:tbl>
    <w:p>
      <w:pPr>
        <w:spacing w:after="40"/>
      </w:pPr>
    </w:p>
    <w:p>
      <w:pPr>
        <w:pStyle w:val="Heading1"/>
      </w:pPr>
      <w:r>
        <w:t>Décisions attendues de NEXORA et de la LCA</w:t>
      </w:r>
    </w:p>
    <w:p>
      <w:pPr>
        <w:pStyle w:val="ListBullet"/>
        <w:spacing w:after="60"/>
        <w:keepLines/>
      </w:pPr>
      <w:r>
        <w:rPr>
          <w:rFonts w:ascii="Aptos" w:hAnsi="Aptos"/>
          <w:b w:val="0"/>
          <w:color w:val="000000"/>
          <w:sz w:val="20"/>
        </w:rPr>
        <w:t>NEXORA et LCA désignent leurs interlocuteurs de remise ; LCA désigne ses responsables de recette, sécurité et exploitation.</w:t>
      </w:r>
    </w:p>
    <w:p>
      <w:pPr>
        <w:pStyle w:val="ListBullet"/>
        <w:spacing w:after="60"/>
        <w:keepLines/>
      </w:pPr>
      <w:r>
        <w:rPr>
          <w:rFonts w:ascii="Aptos" w:hAnsi="Aptos"/>
          <w:b w:val="0"/>
          <w:color w:val="000000"/>
          <w:sz w:val="20"/>
        </w:rPr>
        <w:t>Confirmer le canal de transfert et la politique de signature du paquet.</w:t>
      </w:r>
    </w:p>
    <w:p>
      <w:pPr>
        <w:pStyle w:val="ListBullet"/>
        <w:spacing w:after="60"/>
        <w:keepLines/>
      </w:pPr>
      <w:r>
        <w:rPr>
          <w:rFonts w:ascii="Aptos" w:hAnsi="Aptos"/>
          <w:b w:val="0"/>
          <w:color w:val="000000"/>
          <w:sz w:val="20"/>
        </w:rPr>
        <w:t>Approuver la matrice des responsabilités et les conditions de transfert des accès.</w:t>
      </w:r>
    </w:p>
    <w:p>
      <w:pPr>
        <w:pStyle w:val="ListBullet"/>
        <w:spacing w:after="60"/>
        <w:keepLines/>
      </w:pPr>
      <w:r>
        <w:rPr>
          <w:rFonts w:ascii="Aptos" w:hAnsi="Aptos"/>
          <w:b w:val="0"/>
          <w:color w:val="000000"/>
          <w:sz w:val="20"/>
        </w:rPr>
        <w:t>Planifier la recette fonctionnelle et la recette d’infrastructure.</w:t>
      </w:r>
    </w:p>
    <w:p>
      <w:pPr>
        <w:pStyle w:val="ListBullet"/>
        <w:spacing w:after="60"/>
        <w:keepLines/>
      </w:pPr>
      <w:r>
        <w:rPr>
          <w:rFonts w:ascii="Aptos" w:hAnsi="Aptos"/>
          <w:b w:val="0"/>
          <w:color w:val="000000"/>
          <w:sz w:val="20"/>
        </w:rPr>
        <w:t>Arbitrer les réserves, les échéances et les critères d’autorisation de production.</w:t>
      </w:r>
    </w:p>
    <w:p>
      <w:pPr>
        <w:pStyle w:val="Heading1"/>
      </w:pPr>
      <w:r>
        <w:t>Statut au jour de la préparation</w:t>
      </w:r>
    </w:p>
    <w:p>
      <w:pPr>
        <w:keepLines/>
      </w:pPr>
      <w:r>
        <w:rPr>
          <w:rFonts w:ascii="Aptos" w:hAnsi="Aptos"/>
          <w:b w:val="0"/>
          <w:color w:val="000000"/>
          <w:sz w:val="20"/>
        </w:rPr>
        <w:t>Le dossier est préparé pour examen et signature, avec des informations administratives à compléter. Il concerne le paquet LCA-ERP-PKG-20261012 et l’archive LCA-ERP-LIVRAISON-FINALE.zip. À ce stade, la remise n’est pas déclarée effectuée, la réception fonctionnelle n’est pas prononcée et l’ERP n’est pas déclaré déployé ou en production.</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6"/>
      </w:rPr>
      <w:t xml:space="preserve">Synthèse exécutive de livraison  •  LCA-ERP-PKG-20261012  •  Page </w:t>
    </w:r>
    <w:r>
      <w:rPr>
        <w:rFonts w:ascii="Aptos" w:hAnsi="Aptos"/>
        <w:b w:val="0"/>
        <w:color w:val="666666"/>
        <w:sz w:val="16"/>
      </w:rPr>
      <w:fldChar w:fldCharType="begin"/>
      <w:instrText xml:space="preserve">PAGE</w:instrText>
      <w:fldChar w:fldCharType="separate"/>
      <w:t>1</w:t>
      <w:fldChar w:fldCharType="end"/>
    </w:r>
    <w:r>
      <w:rPr>
        <w:rFonts w:ascii="Aptos" w:hAnsi="Aptos"/>
        <w:b w:val="0"/>
        <w:color w:val="666666"/>
        <w:sz w:val="16"/>
      </w:rPr>
      <w:t xml:space="preserve"> / </w:t>
    </w:r>
    <w:r>
      <w:rPr>
        <w:rFonts w:ascii="Aptos" w:hAnsi="Aptos"/>
        <w:b w:val="0"/>
        <w:color w:val="666666"/>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6666"/>
        <w:sz w:val="16"/>
      </w:rPr>
      <w:t>ERP LCA  |  Dossier officiel de remise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32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SYNTHESE EXECUTIVE LIVRAISON</dc:title>
  <dc:subject>Dossier officiel de remise technique ERP LCA</dc:subject>
  <dc:creator>BEROX</dc:creator>
  <cp:keywords>ERP LCA remise technique</cp:keywords>
  <dc:description>Document à examiner et compléter avant signature.</dc:description>
  <cp:lastModifiedBy/>
  <cp:revision>1</cp:revision>
  <dcterms:created xsi:type="dcterms:W3CDTF">2013-12-23T23:15:00Z</dcterms:created>
  <dcterms:modified xsi:type="dcterms:W3CDTF">2013-12-23T23:15:00Z</dcterms:modified>
  <cp:category/>
</cp:coreProperties>
</file>