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rPr>
          <w:noProof/>
        </w:rPr>
        <w:t>October 7, 2026</w:t>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bookmarkStart w:id="0" w:name="Text1"/>
      <w:r w:rsidRPr="00C53667">
        <w:rPr>
          <w:color w:val="auto"/>
        </w:rPr>
      </w:r>
      <w:r w:rsidRPr="00C53667">
        <w:rPr>
          <w:noProof/>
          <w:color w:val="auto"/>
        </w:rPr>
        <w:t>Arizona Center for Hand Surgery, P.C.</w:t>
      </w:r>
      <w:bookmarkEnd w:id="0"/>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rPr>
          <w:noProof/>
        </w:rPr>
        <w:t>October 7, 2026</w:t>
      </w:r>
    </w:p>
    <w:p w14:paraId="3490F88E" w14:textId="77777777" w:rsidR="007C1374" w:rsidRDefault="007C1374" w:rsidP="007C1374">
      <w:pPr>
        <w:pStyle w:val="CLALTRAddressorSignature"/>
      </w:pPr>
      <w:r>
        <w:rPr>
          <w:noProof/>
        </w:rPr>
        <w:t>Arizona Center for Hand Surgery, P.C.</w:t>
      </w:r>
      <w:bookmarkEnd w:id="2"/>
    </w:p>
    <w:p w14:paraId="3490F88E" w14:textId="77777777" w:rsidR="007C1374" w:rsidRDefault="007C1374" w:rsidP="007C1374">
      <w:pPr>
        <w:pStyle w:val="CLALTRAddressorSignature"/>
      </w:pPr>
      <w:r>
        <w:t>Attn: Mark Williamson, Chief Financial Officer</w:t>
      </w:r>
      <w:bookmarkEnd w:id="2"/>
    </w:p>
    <w:p w14:paraId="389C2558" w14:textId="77777777" w:rsidR="007C1374" w:rsidRDefault="007C1374" w:rsidP="007C1374">
      <w:pPr>
        <w:pStyle w:val="CLALTRAddressorSignature"/>
      </w:pPr>
      <w:r>
        <w:t>370 E. Virginia Ave., Ste. 100</w:t>
      </w:r>
      <w:bookmarkStart w:id="3" w:name="Text11"/>
      <w:bookmarkEnd w:id="3"/>
    </w:p>
    <w:p w14:paraId="59517EED" w14:textId="77777777" w:rsidR="007C1374" w:rsidRDefault="007C1374" w:rsidP="007C1374">
      <w:pPr>
        <w:pStyle w:val="CLALTRAddressorSignature"/>
      </w:pPr>
      <w:r>
        <w:t>Phoenix, AZ 85004</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5" w:name="Text22"/>
      <w:r>
        <w:rPr>
          <w:noProof/>
        </w:rPr>
        <w:t>Mark</w:t>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Arizona Center for Hand Surgery, P.C.</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rPr>
          <w:noProof/>
        </w:rPr>
        <w:t>December 31, 2026</w:t>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ONYX provides consistent, controller-led finance leadership with CFO oversight, giving the physicians a senior point of contact that does not turn over. We work inside QuickBooks Online alongside your internal accounting team, support and supervise that team, and follow a perform-and-review approach so the person preparing a number is never the one approving it. The engagement covers Arizona Center for Hand Surgery, P.C. and its affiliated entities, the surgery center and Arizona Pharmacy Consultants. The services below are illustrative of what ONYX provides and are not a fixed or exhaustive list; the scope can be structured as full finance leadership, controller-led support, or staff augmentation, and adjusted as your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pPr>
        <w:pStyle w:val="CLALTRNormal"/>
        <w:jc w:val="both"/>
      </w:pPr>
      <w:r>
        <w:rPr>
          <w:b/>
        </w:rPr>
        <w:t xml:space="preserve">Day-to-day accounting across the three entities.  </w:t>
      </w:r>
      <w:r>
        <w:rPr/>
        <w:t>Working with your internal accounting team, ONYX supports the recurring work that keeps the books accurate and close-ready across the practice, the surgery center, and Arizona Pharmacy Consultants:</w:t>
      </w:r>
    </w:p>
    <w:p w14:paraId="5F77BEBA" w14:textId="77777777" w:rsidR="007C1374" w:rsidRPr="0004094D" w:rsidRDefault="007C1374" w:rsidP="004232B8">
      <w:pPr>
        <w:pStyle w:val="CLALTRNormal"/>
        <w:numPr>
          <w:ilvl w:val="0"/>
          <w:numId w:val="9"/>
        </w:numPr>
        <w:jc w:val="both"/>
      </w:pPr>
      <w:r>
        <w:rPr/>
        <w:t>Support accounts payable in QuickBooks Online, including the approval workflow and the international AP resource.</w:t>
      </w:r>
    </w:p>
    <w:p w14:paraId="0FDCCEB3" w14:textId="77777777" w:rsidR="007C1374" w:rsidRDefault="007C1374" w:rsidP="004232B8">
      <w:pPr>
        <w:pStyle w:val="CLALTRNormal"/>
        <w:numPr>
          <w:ilvl w:val="0"/>
          <w:numId w:val="9"/>
        </w:numPr>
        <w:jc w:val="both"/>
      </w:pPr>
      <w:r>
        <w:rPr/>
        <w:t>Record and reconcile revenue-cycle activity from eClinicalWorks, including patient billing, collections, and cash posting.</w:t>
      </w:r>
    </w:p>
    <w:p w14:paraId="24F25670" w14:textId="77777777" w:rsidR="007C1374" w:rsidRDefault="007C1374" w:rsidP="004232B8">
      <w:pPr>
        <w:pStyle w:val="CLALTRNormal"/>
        <w:numPr>
          <w:ilvl w:val="0"/>
          <w:numId w:val="9"/>
        </w:numPr>
        <w:jc w:val="both"/>
      </w:pPr>
      <w:r>
        <w:rPr/>
        <w:t>Support biweekly payroll in Paylocity and the mid-month physician bonus process, including the payroll-to-GL entries.</w:t>
      </w:r>
    </w:p>
    <w:p w14:paraId="7FEABD02" w14:textId="77777777" w:rsidR="007C1374" w:rsidRDefault="007C1374" w:rsidP="004232B8">
      <w:pPr>
        <w:pStyle w:val="CLALTRNormal"/>
        <w:numPr>
          <w:ilvl w:val="0"/>
          <w:numId w:val="9"/>
        </w:numPr>
        <w:jc w:val="both"/>
      </w:pPr>
      <w:r>
        <w:rPr/>
        <w:t>Reconcile accounts and post journal entries each month across all three entities,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Prepare the EMR-to-GL entries between eClinicalWorks and QuickBooks Online, with exception review.</w:t>
      </w:r>
    </w:p>
    <w:p>
      <w:pPr>
        <w:pStyle w:val="CLALTRNormal"/>
        <w:jc w:val="both"/>
      </w:pPr>
      <w:r>
        <w:rPr>
          <w:b/>
        </w:rPr>
        <w:t xml:space="preserve">Controller-level oversight and reporting.  </w:t>
      </w: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Review and approve the reconciliations and journal entries prepared by the internal team,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Lead the monthly cash-basis close and produce management, departmental, and physician-level reporting.</w:t>
      </w:r>
    </w:p>
    <w:p w14:paraId="4198EB4C" w14:textId="77777777" w:rsidR="007C1374" w:rsidRPr="00EE0520" w:rsidRDefault="007C1374" w:rsidP="004232B8">
      <w:pPr>
        <w:pStyle w:val="CLALTRNormal"/>
        <w:numPr>
          <w:ilvl w:val="0"/>
          <w:numId w:val="10"/>
        </w:numPr>
        <w:jc w:val="both"/>
      </w:pPr>
      <w:r>
        <w:rPr/>
        <w:t>Prepare revenue-cycle analytics, including gross charges, collection rates, denials, and payer trends, with experienced human review.</w:t>
      </w:r>
    </w:p>
    <w:p w14:paraId="49474567" w14:textId="77777777" w:rsidR="007C1374" w:rsidRDefault="007C1374" w:rsidP="004232B8">
      <w:pPr>
        <w:pStyle w:val="CLALTRNormal"/>
        <w:numPr>
          <w:ilvl w:val="0"/>
          <w:numId w:val="10"/>
        </w:numPr>
        <w:jc w:val="both"/>
      </w:pPr>
      <w:r>
        <w:rPr/>
        <w:t>Document the practice’s accounting processes, the close checklist, and the physician-compensation and bonus procedures.</w:t>
      </w:r>
    </w:p>
    <w:p w14:paraId="4E3E6738" w14:textId="77777777" w:rsidR="007C1374" w:rsidRDefault="007C1374" w:rsidP="004232B8">
      <w:pPr>
        <w:pStyle w:val="CLALTRNormal"/>
        <w:numPr>
          <w:ilvl w:val="0"/>
          <w:numId w:val="10"/>
        </w:numPr>
        <w:jc w:val="both"/>
      </w:pPr>
      <w:r>
        <w:rPr/>
        <w:t>Supervise, mentor, and support the internal accounting team.</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Prepare borrowing-base and lender reporting for Bank of Oklahoma / Bank of Arizona, and assist with routine bank requests.</w:t>
      </w:r>
    </w:p>
    <w:p w14:paraId="4AE0C1F8" w14:textId="3FBCFA1B" w:rsidR="007C1374" w:rsidRDefault="007C1374" w:rsidP="004232B8">
      <w:pPr>
        <w:pStyle w:val="CLALTRNormal"/>
        <w:numPr>
          <w:ilvl w:val="0"/>
          <w:numId w:val="10"/>
        </w:numPr>
        <w:jc w:val="both"/>
      </w:pPr>
      <w:r>
        <w:rPr/>
        <w:t>Gather and organize everything your tax team at CBIZ and your auditor need for the annual return and audit. ONYX does not prepare or file tax returns; CBIZ handles all tax filings.</w:t>
      </w:r>
    </w:p>
    <w:p>
      <w:pPr>
        <w:pStyle w:val="CLALTRNormal"/>
        <w:jc w:val="both"/>
      </w:pPr>
      <w:r>
        <w:rPr>
          <w:b/>
        </w:rPr>
        <w:t xml:space="preserve">CFO-level strategic support.  </w:t>
      </w: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Serve as a consistent, senior financial partner to the physicians, shareholders, and the executive board.</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banking and lender relationships, including the lines of credit and borrowing-base reporting.</w:t>
      </w:r>
    </w:p>
    <w:p>
      <w:pPr>
        <w:pStyle w:val="CLALTRNormal"/>
        <w:numPr>
          <w:ilvl w:val="0"/>
          <w:numId w:val="10"/>
        </w:numPr>
        <w:jc w:val="both"/>
      </w:pPr>
      <w:r>
        <w:rPr/>
        <w:t>Prepare board and annual shareholder reporting, including the December shareholder meeting.</w:t>
      </w:r>
    </w:p>
    <w:p>
      <w:pPr>
        <w:pStyle w:val="CLALTRNormal"/>
        <w:numPr>
          <w:ilvl w:val="0"/>
          <w:numId w:val="10"/>
        </w:numPr>
        <w:jc w:val="both"/>
      </w:pPr>
      <w:r>
        <w:rPr/>
        <w:t>Build an automation roadmap for AP, payroll journals, EMR-to-GL activity, close checklists, and KPI dashboards, using automation and AI as controlled tools with human review of every material output.</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pPr>
        <w:pStyle w:val="CLALTRHeading2"/>
        <w:jc w:val="both"/>
      </w:pPr>
      <w:r>
        <w:t xml:space="preserve">Adjusting your services as your needs change</w:t>
      </w:r>
    </w:p>
    <w:p>
      <w:pPr>
        <w:pStyle w:val="CLALTRNormal"/>
        <w:jc w:val="both"/>
      </w:pPr>
      <w:r>
        <w:t>Your needs will evolve as your business grows, and this engagement is built to flex with them. Services can be added, reduced, or adjusted at any time by mutual written agreement,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pPr>
      <w:r>
        <w:t xml:space="preserve">How we’ll work together</w:t>
      </w:r>
    </w:p>
    <w:p w14:paraId="26CCF220" w14:textId="184C9533" w:rsidR="007C1374" w:rsidRDefault="00155433" w:rsidP="004232B8">
      <w:pPr>
        <w:pStyle w:val="CLALTRNormal"/>
        <w:jc w:val="both"/>
      </w:pPr>
      <w:r>
        <w:rPr/>
        <w:t>Because ONYX works from the access and records the practice provides and does not have authority to move funds, a few responsibilities stay with the practice.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rPr/>
      </w:pPr>
      <w:r w:rsidRPr="00D0294B">
        <w:rPr/>
        <w:t>Provide ONYX with access to QuickBooks Online, eClinicalWorks reports, Paylocity, and view access to bank and loan accounts.</w:t>
      </w:r>
    </w:p>
    <w:p w14:paraId="5D4CD6F1" w14:textId="77777777" w:rsidR="007C1374" w:rsidRPr="00D0294B" w:rsidRDefault="007C1374" w:rsidP="004232B8">
      <w:pPr>
        <w:pStyle w:val="CLALTRNormal"/>
        <w:numPr>
          <w:ilvl w:val="0"/>
          <w:numId w:val="21"/>
        </w:numPr>
        <w:jc w:val="both"/>
        <w:rPr/>
      </w:pPr>
      <w:r w:rsidRPr="00D0294B">
        <w:rPr/>
        <w:t>Provide timely, accurate information and a primary point of contact, and keep the internal accounting team available to support the work.</w:t>
      </w:r>
    </w:p>
    <w:p w14:paraId="67DECFEA" w14:textId="77777777" w:rsidR="007C1374" w:rsidRPr="00D0294B" w:rsidRDefault="007C1374" w:rsidP="004232B8">
      <w:pPr>
        <w:pStyle w:val="CLALTRNormal"/>
        <w:numPr>
          <w:ilvl w:val="0"/>
          <w:numId w:val="21"/>
        </w:numPr>
        <w:jc w:val="both"/>
        <w:rPr/>
      </w:pPr>
      <w:r w:rsidRPr="00D0294B">
        <w:rPr/>
        <w:t>Retain approval authority over the practice’s own transactions, including invoices and payments, new vendors and customers, and payroll.</w:t>
      </w:r>
    </w:p>
    <w:p w14:paraId="69DB2137" w14:textId="77777777" w:rsidR="007C1374" w:rsidRPr="00D0294B" w:rsidRDefault="007C1374" w:rsidP="004232B8">
      <w:pPr>
        <w:pStyle w:val="CLALTRNormal"/>
        <w:numPr>
          <w:ilvl w:val="0"/>
          <w:numId w:val="21"/>
        </w:numPr>
        <w:jc w:val="both"/>
        <w:rPr/>
      </w:pPr>
      <w:r>
        <w:rPr/>
        <w:t>Review and approve (or delegate to the ONYX controller) bank and account reconciliations.</w:t>
      </w:r>
    </w:p>
    <w:p w14:paraId="169639B0" w14:textId="77777777" w:rsidR="007C1374" w:rsidRPr="00D0294B" w:rsidRDefault="007C1374" w:rsidP="004232B8">
      <w:pPr>
        <w:pStyle w:val="CLALTRNormal"/>
        <w:numPr>
          <w:ilvl w:val="0"/>
          <w:numId w:val="21"/>
        </w:numPr>
        <w:jc w:val="both"/>
        <w:rPr/>
      </w:pPr>
      <w:r>
        <w:rPr/>
        <w:t>Maintain responsibility for tax filings (through CBIZ) and for meeting the practice’s legal, lender, and benefit-plan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tabs>
          <w:tab w:pos="9360" w:val="right"/>
        </w:tabs>
        <w:jc w:val="both"/>
      </w:pPr>
      <w:r w:rsidRPr="003B7E8F">
        <w:rPr/>
        <w:t>Services performed by Staff Accountant</w:t>
        <w:tab/>
        <w:t>$100 per hour</w:t>
      </w:r>
      <w:proofErr w:type="gramStart"/>
      <w:proofErr w:type="gramEnd"/>
    </w:p>
    <w:p w14:paraId="51CD06CC" w14:textId="77777777" w:rsidR="007C1374" w:rsidRDefault="007C1374" w:rsidP="004232B8">
      <w:pPr>
        <w:pStyle w:val="CLALTRNormal"/>
        <w:numPr>
          <w:ilvl w:val="0"/>
          <w:numId w:val="13"/>
        </w:numPr>
        <w:tabs>
          <w:tab w:pos="9360" w:val="right"/>
        </w:tabs>
        <w:jc w:val="both"/>
      </w:pPr>
      <w:r w:rsidRPr="003B7E8F">
        <w:rPr/>
        <w:t>Services performed by Controller</w:t>
        <w:tab/>
        <w:t>$185 per hour</w:t>
      </w:r>
    </w:p>
    <w:p w14:paraId="418AB107" w14:textId="77777777" w:rsidR="007C1374" w:rsidRDefault="007C1374" w:rsidP="004232B8">
      <w:pPr>
        <w:pStyle w:val="CLALTRNormal"/>
        <w:numPr>
          <w:ilvl w:val="0"/>
          <w:numId w:val="13"/>
        </w:numPr>
        <w:tabs>
          <w:tab w:pos="9360" w:val="right"/>
        </w:tabs>
        <w:jc w:val="both"/>
      </w:pPr>
      <w:r w:rsidRPr="003B7E8F">
        <w:rPr/>
        <w:t>Services performed by CFO</w:t>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Onboarding and transition:</w:t>
      </w:r>
    </w:p>
    <w:p w14:paraId="5FCFEC33" w14:textId="77777777" w:rsidR="007C1374" w:rsidRDefault="007C1374" w:rsidP="004232B8">
      <w:pPr>
        <w:pStyle w:val="CLALTRNormal"/>
        <w:numPr>
          <w:ilvl w:val="0"/>
          <w:numId w:val="14"/>
        </w:numPr>
        <w:jc w:val="both"/>
      </w:pPr>
      <w:r w:rsidRPr="003B7E8F">
        <w:rPr/>
        <w:t>Billed hourly as incurred. ONYX will work with Mark to capture knowledge, stabilize the close, and confirm the right team mix, with weekly progress-and-budget updates during the first 90 days.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finance services:</w:t>
      </w:r>
      <w:proofErr w:type="gramEnd"/>
    </w:p>
    <w:p w14:paraId="507ACF6F" w14:textId="77777777" w:rsidR="007C1374" w:rsidRDefault="007C1374" w:rsidP="004232B8">
      <w:pPr>
        <w:pStyle w:val="CLALTRNormal"/>
        <w:numPr>
          <w:ilvl w:val="0"/>
          <w:numId w:val="15"/>
        </w:numPr>
        <w:jc w:val="both"/>
      </w:pPr>
      <w:r w:rsidRPr="003B7E8F">
        <w:rPr/>
        <w:t>Billed hourly at the rates above. The engagement can be structured as full finance leadership, controller-led with CFO oversight, or staff augmentation, and the mix can be changed at any time by email.</w:t>
      </w:r>
      <w:proofErr w:type="gramStart"/>
      <w:proofErr w:type="gramEnd"/>
      <w:bookmarkStart w:id="7" w:name="Text49"/>
      <w:bookmarkEnd w:id="7"/>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the practice in providing requested records and access; if requested items are not available when needed or are inaccurate, the fee will likely be higher. Should unexpected circumstances require significant additional time, ONYX will advise the practice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rPr>
          <w:noProof/>
        </w:rPr>
        <w:t>the 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r>
      <w:r w:rsidRPr="004F3EA8">
        <w:rPr>
          <w:noProof/>
        </w:rPr>
        <w:t>3,000</w:t>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This letter correctly sets forth the understanding of Arizona Center for Hand Surgery, P.C.</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