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480-999-5509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val="0"/>
        </w:rPr>
        <w:t xml:space="preserve">will apply to the </w:t>
      </w:r>
      <w:r w:rsidR="00762531">
        <w:rPr>
          <w:b w:val="0"/>
        </w:rPr>
        <w:t>I</w:t>
      </w:r>
      <w:r w:rsidR="007C1374" w:rsidRPr="009A434F">
        <w:rPr>
          <w:b w:val="0"/>
        </w:rPr>
        <w:t>nitial</w:t>
      </w:r>
      <w:r w:rsidR="00762531">
        <w:rPr>
          <w:b w:val="0"/>
        </w:rPr>
        <w:t xml:space="preserve"> Period</w:t>
      </w:r>
      <w:r w:rsidR="0056231A">
        <w:rPr>
          <w:b w:val="0"/>
        </w:rPr>
        <w:t>,</w:t>
      </w:r>
      <w:r w:rsidR="007C1374" w:rsidRPr="009A434F">
        <w:rPr>
          <w:b w:val="0"/>
        </w:rPr>
        <w:t xml:space="preserve"> and all subsequent </w:t>
      </w:r>
      <w:r w:rsidR="007C1374">
        <w:rPr>
          <w:b w:val="0"/>
        </w:rPr>
        <w:t>periods</w:t>
      </w:r>
      <w:r w:rsidR="007C1374" w:rsidRPr="009A434F">
        <w:rPr>
          <w:b w:val="0"/>
        </w:rPr>
        <w:t xml:space="preserve">, unless the </w:t>
      </w:r>
      <w:r w:rsidR="0056231A">
        <w:rPr>
          <w:b w:val="0"/>
        </w:rPr>
        <w:t>terms of our engagement are</w:t>
      </w:r>
      <w:r w:rsidR="007C1374" w:rsidRPr="009A434F">
        <w:rPr>
          <w:b w:val="0"/>
        </w:rPr>
        <w:t xml:space="preserve"> changed in a </w:t>
      </w:r>
      <w:r w:rsidR="00786782">
        <w:rPr>
          <w:b w:val="0"/>
        </w:rPr>
        <w:t xml:space="preserve">written </w:t>
      </w:r>
      <w:r w:rsidR="007C1374" w:rsidRPr="009A434F">
        <w:rPr>
          <w:b w:val="0"/>
        </w:rPr>
        <w:t xml:space="preserve">communication </w:t>
      </w:r>
      <w:r w:rsidR="00786782">
        <w:rPr>
          <w:b w:val="0"/>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pPr>
        <w:pStyle w:val="CLALTRNormal"/>
        <w:jc w:val="both"/>
      </w:pPr>
      <w:r>
        <w:rPr>
          <w:b/>
        </w:rPr>
        <w:t xml:space="preserve">Day-to-day accounting operations.  </w:t>
      </w: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pPr>
        <w:pStyle w:val="CLALTRNormal"/>
        <w:jc w:val="both"/>
      </w:pPr>
      <w:r>
        <w:rPr>
          <w:b/>
        </w:rPr>
        <w:t xml:space="preserve">Controller-level oversight and reporting.  </w:t>
      </w: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jc w:val="both"/>
      </w:pPr>
      <w:r>
        <w:rPr>
          <w:b/>
        </w:rPr>
        <w:t xml:space="preserve">CFO-level strategic support.  </w:t>
      </w: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for these services are as follows</w:t>
      </w:r>
      <w:r w:rsidRPr="003B7E8F">
        <w:t>:</w:t>
      </w:r>
    </w:p>
    <w:p w14:paraId="7DFDA492" w14:textId="77777777" w:rsidR="007C1374" w:rsidRDefault="007C1374" w:rsidP="004232B8">
      <w:pPr>
        <w:pStyle w:val="CLALTRNormal"/>
        <w:tabs>
          <w:tab w:pos="9360" w:val="right"/>
        </w:tabs>
        <w:jc w:val="both"/>
      </w:pPr>
      <w:r w:rsidRPr="003B7E8F">
        <w:t>Initial project services (anticipated to last three to four weeks):</w:t>
        <w:tab/>
        <w:t>$10,500 fixed fee</w:t>
      </w:r>
      <w:proofErr w:type="gramStart"/>
      <w:proofErr w:type="gramEnd"/>
    </w:p>
    <w:p w14:paraId="069F758B" w14:textId="77777777" w:rsidR="007C1374" w:rsidRPr="003B7E8F" w:rsidRDefault="007C1374" w:rsidP="004232B8">
      <w:pPr>
        <w:pStyle w:val="CLALTRNormal"/>
        <w:tabs>
          <w:tab w:pos="9360" w:val="right"/>
        </w:tabs>
        <w:jc w:val="both"/>
        <w:rPr>
          <w:b/>
        </w:rPr>
      </w:pPr>
      <w:r w:rsidRPr="003B7E8F">
        <w:t>Ongoing normal accounting services:</w:t>
        <w:tab/>
        <w:t>$7,000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Pr>
          <w:highlight w:val="yellow"/>
        </w:rPr>
        <w:t xml:space="preserve">This fixed fee assumes timely cooperation and assistance from the Client’s personnel in preparing requested schedules. If the scope of work changes materially or unexpected circumstances arise, ONYX will advise the Client before performing work beyond the agreed scope, and any such additional work will be billed only as mutually agreed in writing.</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480-999-5509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