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hanging="4590"/>
      </w:pPr>
      <w:r>
        <w:rPr>
          <w:i/>
        </w:rPr>
        <w:t xml:space="preserve">The accounting department your business deserves — without the cost and overhead of building one in-house.</w:t>
      </w:r>
    </w:p>
    <w:p>
      <w:pPr>
        <w:pStyle w:val="CLAProNormalNoSpaceAfter"/>
        <w:ind w:left="4140" w:hanging="4590"/>
      </w:pPr>
      <w:r>
        <w:t xml:space="preserve">·   Bookkeeping support</w:t>
      </w:r>
    </w:p>
    <w:p>
      <w:pPr>
        <w:pStyle w:val="CLAProNormalNoSpaceAfter"/>
        <w:ind w:left="4140" w:hanging="4590"/>
      </w:pPr>
      <w:r>
        <w:t xml:space="preserve">·   Controller-level oversight</w:t>
      </w:r>
    </w:p>
    <w:p>
      <w:pPr>
        <w:pStyle w:val="CLAProNormalNoSpaceAfter"/>
        <w:ind w:left="4140" w:hanging="4590"/>
      </w:pPr>
      <w:r>
        <w:t xml:space="preserve">·   Review &amp; audit readiness</w:t>
      </w:r>
    </w:p>
    <w:p>
      <w:pPr>
        <w:pStyle w:val="CLAProNormalNoSpaceAfter"/>
        <w:ind w:left="4140" w:hanging="4590"/>
      </w:pPr>
      <w:r>
        <w:t xml:space="preserve">·   CFO Level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t xml:space="preserve">ONYX becomes the Client’s accounting department — without the cost and overhead of building one in-house. Working as needed or requested, our team delivers everything from day-to-day transaction processing to controller-level oversight to CFO-level strategic guidance, so the Client’s leaders can focus on running the business instead of chasing the numbers. The services below are illustrative of what ONYX provides and are not a fixed or exhaustive list; we tailor the mix to the Client’s needs and adjust it as those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pPr>
        <w:pStyle w:val="CLALTRNormal"/>
        <w:jc w:val="both"/>
      </w:pPr>
      <w:r>
        <w:rPr>
          <w:highlight w:val="yellow"/>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pPr>
        <w:pStyle w:val="CLALTRNormal"/>
        <w:jc w:val="both"/>
      </w:pPr>
      <w:r>
        <w:rPr>
          <w:highlight w:val="yellow"/>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Assist with bank communications and routine information requests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pPr>
        <w:pStyle w:val="CLALTRNormal"/>
        <w:numPr>
          <w:ilvl w:val="0"/>
          <w:numId w:val="8"/>
        </w:numPr>
        <w:jc w:val="both"/>
      </w:pPr>
      <w:r>
        <w:rPr>
          <w:highlight w:val="yellow"/>
        </w:rPr>
        <w:t xml:space="preserve">CFO-level strategic support</w:t>
      </w:r>
    </w:p>
    <w:p>
      <w:pPr>
        <w:pStyle w:val="CLALTRNormal"/>
        <w:jc w:val="both"/>
      </w:pPr>
      <w:r>
        <w:rPr>
          <w:highlight w:val="yellow"/>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highlight w:val="yellow"/>
        </w:rPr>
        <w:t xml:space="preserve">Serve as a strategic financial partner to ownership and management, offering guidance and direction across the finance function</w:t>
      </w:r>
    </w:p>
    <w:p>
      <w:pPr>
        <w:pStyle w:val="CLALTRNormal"/>
        <w:numPr>
          <w:ilvl w:val="0"/>
          <w:numId w:val="10"/>
        </w:numPr>
        <w:jc w:val="both"/>
      </w:pPr>
      <w:r>
        <w:rPr>
          <w:highlight w:val="yellow"/>
        </w:rPr>
        <w:t xml:space="preserve">Advise on financial reporting structure, management reporting, and accounting policy</w:t>
      </w:r>
    </w:p>
    <w:p>
      <w:pPr>
        <w:pStyle w:val="CLALTRNormal"/>
        <w:numPr>
          <w:ilvl w:val="0"/>
          <w:numId w:val="10"/>
        </w:numPr>
        <w:jc w:val="both"/>
      </w:pPr>
      <w:r>
        <w:rPr>
          <w:highlight w:val="yellow"/>
        </w:rPr>
        <w:t xml:space="preserve">Lead budgeting, forecasting, and long-term financial modeling to support growth and scenario planning</w:t>
      </w:r>
    </w:p>
    <w:p>
      <w:pPr>
        <w:pStyle w:val="CLALTRNormal"/>
        <w:numPr>
          <w:ilvl w:val="0"/>
          <w:numId w:val="10"/>
        </w:numPr>
        <w:jc w:val="both"/>
      </w:pPr>
      <w:r>
        <w:rPr>
          <w:highlight w:val="yellow"/>
        </w:rPr>
        <w:t xml:space="preserve">Support financing activities — preparing lender packages, tracking loan covenants, and assisting with bank negotiations</w:t>
      </w:r>
    </w:p>
    <w:p>
      <w:pPr>
        <w:pStyle w:val="CLALTRNormal"/>
        <w:numPr>
          <w:ilvl w:val="0"/>
          <w:numId w:val="10"/>
        </w:numPr>
        <w:jc w:val="both"/>
      </w:pPr>
      <w:r>
        <w:rPr>
          <w:highlight w:val="yellow"/>
        </w:rPr>
        <w:t xml:space="preserve">Provide periodic discussions with ownership and management to share insight and perspective as financial questions arise</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$100</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$185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sidRPr="003B7E8F">
        <w:rPr>
          <w:highlight w:val="yellow"/>
        </w:rPr>
        <w:tab/>
        <w:t>$250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Pr>
          <w:highlight w:val="yellow"/>
        </w:rPr>
        <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pPr>
        <w:pStyle w:val="CLALTRNormal"/>
        <w:jc w:val="both"/>
      </w:pPr>
      <w:r>
        <w:rPr>
          <w:b/>
        </w:rPr>
        <w:t xml:space="preserve">Record retention.  </w:t>
      </w:r>
      <w:r>
        <w:t xml:space="preserve">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