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Engagement letter</w:t>
      </w:r>
      <w:r>
        <w:br/>
        <w:t>tailored for</w:t>
      </w:r>
      <w:r w:rsidR="000C011F" w:rsidRPr="00473C08">
        <w:rPr>
          <w:szCs w:val="32"/>
        </w:rPr>
        <w:t>:</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p>
    <w:p w14:paraId="766FF407" w14:textId="77777777" w:rsidR="000C011F" w:rsidRPr="00B36DF9" w:rsidRDefault="000C011F" w:rsidP="000C011F">
      <w:pPr>
        <w:pStyle w:val="CLAProNormalNoSpaceAfter"/>
        <w:ind w:left="4140"/>
      </w:pP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702561C8" w14:textId="77777777" w:rsidR="007C1374" w:rsidRDefault="007C1374" w:rsidP="007C1374">
      <w:pPr>
        <w:pStyle w:val="CLALTRNormal"/>
        <w:rPr>
          <w:rStyle w:val="CLALTRHiddenTextChar"/>
        </w:rPr>
      </w:pPr>
      <w:r>
        <w:rPr>
          <w:rStyle w:val="CLALTRHiddenTextChar"/>
        </w:rPr>
        <w:lastRenderedPageBreak/>
        <w:t>BizOps - preparation assistance engagement letter (no tax services)</w:t>
      </w:r>
      <w:r w:rsidR="006C0004">
        <w:rPr>
          <w:rStyle w:val="CLALTRHiddenTextChar"/>
        </w:rPr>
        <w:tab/>
      </w:r>
      <w:r w:rsidR="006C0004">
        <w:rPr>
          <w:rStyle w:val="CLALTRHiddenTextChar"/>
        </w:rPr>
        <w:tab/>
      </w:r>
      <w:r w:rsidR="006C0004">
        <w:rPr>
          <w:rStyle w:val="CLALTRHiddenTextChar"/>
        </w:rPr>
        <w:tab/>
      </w:r>
      <w:r w:rsidRPr="003219ED">
        <w:rPr>
          <w:rStyle w:val="CLALTRHiddenTextChar"/>
        </w:rPr>
        <w:t xml:space="preserve">DAR </w:t>
      </w:r>
      <w:r w:rsidR="005173C0">
        <w:rPr>
          <w:rStyle w:val="CLALTRHiddenTextChar"/>
          <w:szCs w:val="22"/>
        </w:rPr>
        <w:t>6/2</w:t>
      </w:r>
      <w:r w:rsidR="0036461A">
        <w:rPr>
          <w:rStyle w:val="CLALTRHiddenTextChar"/>
          <w:szCs w:val="22"/>
        </w:rPr>
        <w:t>6</w:t>
      </w:r>
      <w:r w:rsidR="00FB777B">
        <w:rPr>
          <w:rStyle w:val="CLALTRHiddenTextChar"/>
          <w:szCs w:val="22"/>
        </w:rPr>
        <w:t>/17</w:t>
      </w:r>
      <w:r w:rsidRPr="00736823">
        <w:rPr>
          <w:rStyle w:val="CLALTRHiddenTextChar"/>
        </w:rPr>
        <w:t xml:space="preserve">    </w:t>
      </w:r>
      <w:r w:rsidRPr="006D1B61">
        <w:rPr>
          <w:rStyle w:val="CLALTRHiddenTextChar"/>
        </w:rPr>
        <w:endnoteReference w:id="2"/>
      </w:r>
      <w:r>
        <w:rPr>
          <w:rStyle w:val="CLALTRHiddenTextChar"/>
        </w:rPr>
        <w:t xml:space="preserve">    </w:t>
      </w:r>
      <w:r w:rsidRPr="00736823">
        <w:rPr>
          <w:rStyle w:val="CLALTRHiddenTextChar"/>
        </w:rPr>
        <w:endnoteReference w:id="3"/>
      </w:r>
      <w:r w:rsidRPr="00736823">
        <w:rPr>
          <w:rStyle w:val="CLALTRHiddenTextChar"/>
        </w:rPr>
        <w:t xml:space="preserve"> </w:t>
      </w:r>
      <w:r>
        <w:rPr>
          <w:rStyle w:val="CLALTRHiddenTextChar"/>
        </w:rPr>
        <w:t xml:space="preserve">   </w:t>
      </w:r>
      <w:r w:rsidRPr="00EA0AF7">
        <w:rPr>
          <w:rStyle w:val="CLALTRHiddenTextChar"/>
        </w:rPr>
        <w:endnoteReference w:id="4"/>
      </w:r>
    </w:p>
    <w:p w14:paraId="399C419A" w14:textId="77777777" w:rsidR="007C1374" w:rsidRPr="001A114D" w:rsidRDefault="007C1374" w:rsidP="007C1374">
      <w:pPr>
        <w:pStyle w:val="CLALTRNormal"/>
        <w:rPr>
          <w:rStyle w:val="CLALTRHiddenTextChar"/>
        </w:rPr>
      </w:pPr>
      <w:r w:rsidRPr="001A114D">
        <w:rPr>
          <w:rStyle w:val="CLALTRHiddenTextChar"/>
        </w:rPr>
        <w:t xml:space="preserve">Modified for </w:t>
      </w:r>
      <w:r>
        <w:rPr>
          <w:rStyle w:val="CLALTRHiddenTextChar"/>
        </w:rPr>
        <w:t>BizOps</w:t>
      </w:r>
      <w:r w:rsidRPr="001A114D">
        <w:rPr>
          <w:rStyle w:val="CLALTRHiddenTextChar"/>
        </w:rPr>
        <w:t xml:space="preserve"> to be:</w:t>
      </w:r>
    </w:p>
    <w:p w14:paraId="3A8D88B0" w14:textId="77777777" w:rsidR="007C1374" w:rsidRPr="004576DF" w:rsidRDefault="007C1374" w:rsidP="007C1374">
      <w:pPr>
        <w:pStyle w:val="CLALTRNormal"/>
        <w:numPr>
          <w:ilvl w:val="0"/>
          <w:numId w:val="12"/>
        </w:numPr>
        <w:rPr>
          <w:rStyle w:val="CLALTRHiddenTextChar"/>
        </w:rPr>
      </w:pPr>
      <w:r>
        <w:rPr>
          <w:rStyle w:val="CLALTRHiddenTextChar"/>
        </w:rPr>
        <w:t xml:space="preserve">INTERIM, </w:t>
      </w:r>
      <w:r w:rsidRPr="004576DF">
        <w:rPr>
          <w:rStyle w:val="CLALTRHiddenTextChar"/>
        </w:rPr>
        <w:t>EVERGREEN</w:t>
      </w:r>
    </w:p>
    <w:p w14:paraId="62C19650" w14:textId="77777777" w:rsidR="007C1374" w:rsidRDefault="007C1374" w:rsidP="007C1374">
      <w:pPr>
        <w:pStyle w:val="CLALTRNormal"/>
        <w:numPr>
          <w:ilvl w:val="0"/>
          <w:numId w:val="12"/>
        </w:numPr>
        <w:rPr>
          <w:rStyle w:val="CLALTRHiddenTextChar"/>
        </w:rPr>
      </w:pPr>
      <w:r w:rsidRPr="001A114D">
        <w:rPr>
          <w:rStyle w:val="CLALTRHiddenTextChar"/>
        </w:rPr>
        <w:t xml:space="preserve">NOT INDEPENDENT – This letter assumes independence is </w:t>
      </w:r>
      <w:r>
        <w:rPr>
          <w:rStyle w:val="CLALTRHiddenTextChar"/>
        </w:rPr>
        <w:t>NOT</w:t>
      </w:r>
      <w:r w:rsidRPr="001A114D">
        <w:rPr>
          <w:rStyle w:val="CLALTRHiddenTextChar"/>
        </w:rPr>
        <w:t xml:space="preserve"> required for these or any other services. (If independence is to be maintained, the </w:t>
      </w:r>
      <w:r>
        <w:rPr>
          <w:rStyle w:val="CLALTRHiddenTextChar"/>
        </w:rPr>
        <w:t>“independent” preparation</w:t>
      </w:r>
      <w:r w:rsidRPr="001A114D">
        <w:rPr>
          <w:rStyle w:val="CLALTRHiddenTextChar"/>
        </w:rPr>
        <w:t xml:space="preserve"> </w:t>
      </w:r>
      <w:r>
        <w:rPr>
          <w:rStyle w:val="CLALTRHiddenTextChar"/>
        </w:rPr>
        <w:t xml:space="preserve">assistance </w:t>
      </w:r>
      <w:r w:rsidRPr="001A114D">
        <w:rPr>
          <w:rStyle w:val="CLALTRHiddenTextChar"/>
        </w:rPr>
        <w:t>engagement letter should be used</w:t>
      </w:r>
      <w:r>
        <w:rPr>
          <w:rStyle w:val="CLALTRHiddenTextChar"/>
        </w:rPr>
        <w:t>.</w:t>
      </w:r>
      <w:r w:rsidRPr="001A114D">
        <w:rPr>
          <w:rStyle w:val="CLALTRHiddenTextChar"/>
        </w:rPr>
        <w:t>)</w:t>
      </w:r>
    </w:p>
    <w:p w14:paraId="37B054C1" w14:textId="77777777" w:rsidR="007C1374" w:rsidRPr="008C001E" w:rsidRDefault="007C1374" w:rsidP="007C1374">
      <w:pPr>
        <w:pStyle w:val="CLALTRNormal"/>
        <w:rPr>
          <w:rStyle w:val="CLALTRHiddenTextChar"/>
        </w:rPr>
      </w:pPr>
      <w:r>
        <w:rPr>
          <w:rStyle w:val="CLALTRHiddenTextChar"/>
        </w:rPr>
        <w:t xml:space="preserve">Please read the guidance in endnote 2 for information to help you efficiently use this CLA </w:t>
      </w:r>
      <w:r w:rsidRPr="008C001E">
        <w:rPr>
          <w:rStyle w:val="CLALTRHiddenTextChar"/>
        </w:rPr>
        <w:t>template.</w:t>
      </w: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bookmarkStart w:id="1" w:name="Text36"/>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r w:rsidRPr="00FD0C02">
        <w:rPr>
          <w:rStyle w:val="CLALTRHiddenTextChar"/>
        </w:rPr>
        <w:endnoteReference w:id="5"/>
      </w:r>
    </w:p>
    <w:bookmarkStart w:id="2" w:name="Text46"/>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Scope of professional services</w:t>
      </w:r>
    </w:p>
    <w:p w14:paraId="79A7EA5D" w14:textId="3D99C666" w:rsidR="007C1374" w:rsidRDefault="00F73F44" w:rsidP="004232B8">
      <w:pPr>
        <w:pStyle w:val="CLALTRNormal"/>
        <w:jc w:val="both"/>
      </w:pPr>
      <w:r>
        <w:t>ONYX</w:t>
      </w:r>
      <w:r w:rsidR="007C1374">
        <w:t xml:space="preserve"> will perform the following services for the </w:t>
      </w:r>
      <w:r w:rsidR="00A21783">
        <w:t>Client</w:t>
      </w:r>
      <w:r w:rsidR="007C1374">
        <w:t>:</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sidRPr="00890609">
        <w:rPr>
          <w:highlight w:val="yellow"/>
        </w:rPr>
        <w:t>Outsourced accounting functions - staff</w:t>
      </w:r>
    </w:p>
    <w:p w14:paraId="5F77BEBA" w14:textId="77777777" w:rsidR="007C1374" w:rsidRPr="0004094D" w:rsidRDefault="007C1374" w:rsidP="004232B8">
      <w:pPr>
        <w:pStyle w:val="CLALTRNormal"/>
        <w:numPr>
          <w:ilvl w:val="0"/>
          <w:numId w:val="9"/>
        </w:numPr>
        <w:jc w:val="both"/>
      </w:pPr>
      <w:r w:rsidRPr="00890609">
        <w:rPr>
          <w:highlight w:val="yellow"/>
        </w:rPr>
        <w:t xml:space="preserve">Process accounts payable </w:t>
      </w:r>
      <w:proofErr w:type="gramStart"/>
      <w:r w:rsidRPr="00890609">
        <w:rPr>
          <w:highlight w:val="yellow"/>
        </w:rPr>
        <w:t>including</w:t>
      </w:r>
      <w:proofErr w:type="gramEnd"/>
      <w:r w:rsidRPr="00890609">
        <w:rPr>
          <w:highlight w:val="yellow"/>
        </w:rPr>
        <w:t xml:space="preserve"> the preparation and issuance of chec</w:t>
      </w:r>
      <w:r w:rsidRPr="00BD588B">
        <w:rPr>
          <w:highlight w:val="yellow"/>
        </w:rPr>
        <w:t>ks</w:t>
      </w:r>
    </w:p>
    <w:p w14:paraId="0FDCCEB3" w14:textId="77777777" w:rsidR="007C1374" w:rsidRDefault="007C1374" w:rsidP="004232B8">
      <w:pPr>
        <w:pStyle w:val="CLALTRNormal"/>
        <w:numPr>
          <w:ilvl w:val="0"/>
          <w:numId w:val="9"/>
        </w:numPr>
        <w:jc w:val="both"/>
      </w:pPr>
      <w:r w:rsidRPr="00890609">
        <w:rPr>
          <w:highlight w:val="yellow"/>
        </w:rPr>
        <w:t>Prepare billings, record billings, enter cash receipts, and track sales tax</w:t>
      </w:r>
    </w:p>
    <w:p w14:paraId="24F25670" w14:textId="77777777" w:rsidR="007C1374" w:rsidRDefault="007C1374" w:rsidP="004232B8">
      <w:pPr>
        <w:pStyle w:val="CLALTRNormal"/>
        <w:numPr>
          <w:ilvl w:val="0"/>
          <w:numId w:val="9"/>
        </w:numPr>
        <w:jc w:val="both"/>
      </w:pPr>
      <w:r w:rsidRPr="00890609">
        <w:rPr>
          <w:highlight w:val="yellow"/>
        </w:rPr>
        <w:t>Coordinate payroll for U.S. entities</w:t>
      </w:r>
    </w:p>
    <w:p w14:paraId="7FEABD02" w14:textId="77777777" w:rsidR="007C1374" w:rsidRDefault="007C1374" w:rsidP="004232B8">
      <w:pPr>
        <w:pStyle w:val="CLALTRNormal"/>
        <w:numPr>
          <w:ilvl w:val="0"/>
          <w:numId w:val="9"/>
        </w:numPr>
        <w:jc w:val="both"/>
      </w:pPr>
      <w:r w:rsidRPr="00890609">
        <w:rPr>
          <w:highlight w:val="yellow"/>
        </w:rPr>
        <w:t>Reconcile certain accounts monthly and prepare journal entr</w:t>
      </w:r>
      <w:r w:rsidRPr="005A5298">
        <w:rPr>
          <w:highlight w:val="yellow"/>
        </w:rPr>
        <w:t>ies</w:t>
      </w:r>
    </w:p>
    <w:p w14:paraId="6B61EA03" w14:textId="77777777" w:rsidR="007C1374" w:rsidRDefault="007C1374" w:rsidP="004232B8">
      <w:pPr>
        <w:pStyle w:val="CLALTRNormal"/>
        <w:numPr>
          <w:ilvl w:val="0"/>
          <w:numId w:val="9"/>
        </w:numPr>
        <w:jc w:val="both"/>
      </w:pPr>
      <w:r w:rsidRPr="00F0450E">
        <w:rPr>
          <w:highlight w:val="yellow"/>
        </w:rPr>
        <w:t>Prepare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sidRPr="00890609">
        <w:rPr>
          <w:highlight w:val="yellow"/>
        </w:rPr>
        <w:t>Outsourced accounting functions - controller</w:t>
      </w:r>
    </w:p>
    <w:p w14:paraId="460008E1" w14:textId="77777777" w:rsidR="007C1374" w:rsidRDefault="007C1374" w:rsidP="004232B8">
      <w:pPr>
        <w:pStyle w:val="CLALTRNormal"/>
        <w:numPr>
          <w:ilvl w:val="0"/>
          <w:numId w:val="10"/>
        </w:numPr>
        <w:jc w:val="both"/>
      </w:pPr>
      <w:r w:rsidRPr="00890609">
        <w:rPr>
          <w:highlight w:val="yellow"/>
        </w:rPr>
        <w:t>Review and approve monthly reconciliations and journal entries prepared by staff</w:t>
      </w:r>
    </w:p>
    <w:p w14:paraId="0A617E3A" w14:textId="77777777" w:rsidR="007C1374" w:rsidRDefault="007C1374" w:rsidP="004232B8">
      <w:pPr>
        <w:pStyle w:val="CLALTRNormal"/>
        <w:numPr>
          <w:ilvl w:val="0"/>
          <w:numId w:val="10"/>
        </w:numPr>
        <w:jc w:val="both"/>
      </w:pPr>
      <w:r w:rsidRPr="00890609">
        <w:rPr>
          <w:highlight w:val="yellow"/>
        </w:rPr>
        <w:t>Reconcile complex accounts monthly and prepare journal entries</w:t>
      </w:r>
    </w:p>
    <w:p w14:paraId="59342C6B" w14:textId="77777777" w:rsidR="007C1374" w:rsidRPr="00EE0520" w:rsidRDefault="007C1374" w:rsidP="004232B8">
      <w:pPr>
        <w:pStyle w:val="CLALTRNormal"/>
        <w:numPr>
          <w:ilvl w:val="0"/>
          <w:numId w:val="10"/>
        </w:numPr>
        <w:jc w:val="both"/>
      </w:pPr>
      <w:r w:rsidRPr="00890609">
        <w:rPr>
          <w:highlight w:val="yellow"/>
        </w:rPr>
        <w:t>Analyze financial statements an</w:t>
      </w:r>
      <w:r>
        <w:rPr>
          <w:highlight w:val="yellow"/>
        </w:rPr>
        <w:t>d present to man</w:t>
      </w:r>
      <w:r w:rsidRPr="00EE0520">
        <w:rPr>
          <w:highlight w:val="yellow"/>
        </w:rPr>
        <w:t>agement</w:t>
      </w:r>
    </w:p>
    <w:p w14:paraId="4198EB4C" w14:textId="77777777" w:rsidR="007C1374" w:rsidRPr="00EE0520" w:rsidRDefault="007C1374" w:rsidP="004232B8">
      <w:pPr>
        <w:pStyle w:val="CLALTRNormal"/>
        <w:numPr>
          <w:ilvl w:val="0"/>
          <w:numId w:val="10"/>
        </w:numPr>
        <w:jc w:val="both"/>
      </w:pPr>
      <w:r w:rsidRPr="00890609">
        <w:rPr>
          <w:highlight w:val="yellow"/>
        </w:rPr>
        <w:t>Develop and track key business metrics as requested and review pe</w:t>
      </w:r>
      <w:r w:rsidRPr="0004094D">
        <w:rPr>
          <w:highlight w:val="yellow"/>
        </w:rPr>
        <w:t xml:space="preserve">riodically </w:t>
      </w:r>
      <w:r w:rsidRPr="006D320A">
        <w:rPr>
          <w:highlight w:val="yellow"/>
        </w:rPr>
        <w:t xml:space="preserve">with </w:t>
      </w:r>
      <w:r w:rsidRPr="007466C6">
        <w:rPr>
          <w:highlight w:val="yellow"/>
        </w:rPr>
        <w:t>management</w:t>
      </w:r>
    </w:p>
    <w:p w14:paraId="2287A810" w14:textId="77777777" w:rsidR="007C1374" w:rsidRDefault="007C1374" w:rsidP="004232B8">
      <w:pPr>
        <w:pStyle w:val="CLALTRNormal"/>
        <w:numPr>
          <w:ilvl w:val="0"/>
          <w:numId w:val="10"/>
        </w:numPr>
        <w:jc w:val="both"/>
      </w:pPr>
      <w:r w:rsidRPr="00890609">
        <w:rPr>
          <w:highlight w:val="yellow"/>
        </w:rPr>
        <w:t>Provide budgeting services</w:t>
      </w:r>
    </w:p>
    <w:p w14:paraId="49474567" w14:textId="77777777" w:rsidR="007C1374" w:rsidRDefault="007C1374" w:rsidP="004232B8">
      <w:pPr>
        <w:pStyle w:val="CLALTRNormal"/>
        <w:numPr>
          <w:ilvl w:val="0"/>
          <w:numId w:val="10"/>
        </w:numPr>
        <w:jc w:val="both"/>
      </w:pPr>
      <w:r w:rsidRPr="00890609">
        <w:rPr>
          <w:highlight w:val="yellow"/>
        </w:rPr>
        <w:lastRenderedPageBreak/>
        <w:t>Document accounting processes and procedures</w:t>
      </w:r>
    </w:p>
    <w:p w14:paraId="4E3E6738" w14:textId="77777777" w:rsidR="007C1374" w:rsidRDefault="007C1374" w:rsidP="004232B8">
      <w:pPr>
        <w:pStyle w:val="CLALTRNormal"/>
        <w:numPr>
          <w:ilvl w:val="0"/>
          <w:numId w:val="10"/>
        </w:numPr>
        <w:jc w:val="both"/>
      </w:pPr>
      <w:proofErr w:type="gramStart"/>
      <w:r w:rsidRPr="00890609">
        <w:rPr>
          <w:highlight w:val="yellow"/>
        </w:rPr>
        <w:t>Continue</w:t>
      </w:r>
      <w:proofErr w:type="gramEnd"/>
      <w:r w:rsidRPr="00890609">
        <w:rPr>
          <w:highlight w:val="yellow"/>
        </w:rPr>
        <w:t xml:space="preserve"> process and procedure improvement implementation</w:t>
      </w:r>
    </w:p>
    <w:p w14:paraId="4B0AB146" w14:textId="77777777" w:rsidR="007C1374" w:rsidRDefault="007C1374" w:rsidP="004232B8">
      <w:pPr>
        <w:pStyle w:val="CLALTRNormal"/>
        <w:numPr>
          <w:ilvl w:val="0"/>
          <w:numId w:val="10"/>
        </w:numPr>
        <w:jc w:val="both"/>
      </w:pPr>
      <w:r w:rsidRPr="00890609">
        <w:rPr>
          <w:highlight w:val="yellow"/>
        </w:rPr>
        <w:t>Report and manage cash flows</w:t>
      </w:r>
    </w:p>
    <w:p w14:paraId="743FB3C7" w14:textId="77777777" w:rsidR="007C1374" w:rsidRDefault="007C1374" w:rsidP="004232B8">
      <w:pPr>
        <w:pStyle w:val="CLALTRNormal"/>
        <w:numPr>
          <w:ilvl w:val="0"/>
          <w:numId w:val="10"/>
        </w:numPr>
        <w:jc w:val="both"/>
      </w:pPr>
      <w:r w:rsidRPr="00890609">
        <w:rPr>
          <w:highlight w:val="yellow"/>
        </w:rPr>
        <w:t>Assist with bank communications and negotiations</w:t>
      </w:r>
    </w:p>
    <w:p w14:paraId="4AE0C1F8" w14:textId="3FBCFA1B" w:rsidR="007C1374" w:rsidRDefault="007C1374" w:rsidP="004232B8">
      <w:pPr>
        <w:pStyle w:val="CLALTRNormal"/>
        <w:numPr>
          <w:ilvl w:val="0"/>
          <w:numId w:val="10"/>
        </w:numPr>
        <w:jc w:val="both"/>
      </w:pPr>
      <w:r w:rsidRPr="00890609">
        <w:rPr>
          <w:highlight w:val="yellow"/>
        </w:rPr>
        <w:t xml:space="preserve">Gather information necessary to prepare the </w:t>
      </w:r>
      <w:r w:rsidR="007F18F3">
        <w:rPr>
          <w:highlight w:val="yellow"/>
        </w:rPr>
        <w:t>Client</w:t>
      </w:r>
      <w:r w:rsidR="007F18F3" w:rsidRPr="00890609">
        <w:rPr>
          <w:highlight w:val="yellow"/>
        </w:rPr>
        <w:t xml:space="preserve">’s </w:t>
      </w:r>
      <w:r w:rsidRPr="00890609">
        <w:rPr>
          <w:highlight w:val="yellow"/>
        </w:rPr>
        <w:t>annual tax return</w:t>
      </w:r>
      <w:r>
        <w:t xml:space="preserve"> </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rsidRPr="0036461A">
        <w:t>Additional services are presented in the attached addendum(s).</w:t>
      </w:r>
    </w:p>
    <w:p w14:paraId="033984D9" w14:textId="77777777" w:rsidR="007C1374" w:rsidRDefault="007C1374" w:rsidP="004232B8">
      <w:pPr>
        <w:pStyle w:val="CLALTRNormal"/>
        <w:numPr>
          <w:ilvl w:val="0"/>
          <w:numId w:val="11"/>
        </w:numPr>
        <w:jc w:val="both"/>
      </w:pPr>
      <w:r w:rsidRPr="00B44C7D">
        <w:rPr>
          <w:highlight w:val="yellow"/>
        </w:rPr>
        <w:t>Payroll preparation services</w:t>
      </w:r>
    </w:p>
    <w:p w14:paraId="50AA1DFF" w14:textId="77777777" w:rsidR="007C1374" w:rsidRDefault="007C1374" w:rsidP="004232B8">
      <w:pPr>
        <w:pStyle w:val="CLALTRNormal"/>
        <w:numPr>
          <w:ilvl w:val="0"/>
          <w:numId w:val="11"/>
        </w:numPr>
        <w:jc w:val="both"/>
      </w:pPr>
      <w:r>
        <w:rPr>
          <w:highlight w:val="yellow"/>
        </w:rPr>
        <w:t>Intacct</w:t>
      </w:r>
      <w:r w:rsidRPr="00B44C7D">
        <w:rPr>
          <w:highlight w:val="yellow"/>
        </w:rPr>
        <w:t xml:space="preserve"> services</w:t>
      </w:r>
    </w:p>
    <w:p w14:paraId="294D9D14" w14:textId="77777777" w:rsidR="007C1374" w:rsidRDefault="007C1374" w:rsidP="004232B8">
      <w:pPr>
        <w:pStyle w:val="CLALTRNormal"/>
        <w:numPr>
          <w:ilvl w:val="0"/>
          <w:numId w:val="11"/>
        </w:numPr>
        <w:jc w:val="both"/>
      </w:pPr>
      <w:r>
        <w:rPr>
          <w:highlight w:val="yellow"/>
        </w:rPr>
        <w:t xml:space="preserve">Hosting </w:t>
      </w:r>
      <w:r w:rsidRPr="00F443C2">
        <w:rPr>
          <w:highlight w:val="yellow"/>
        </w:rPr>
        <w:t>services</w:t>
      </w:r>
    </w:p>
    <w:p w14:paraId="218FBFCA" w14:textId="77777777" w:rsidR="007C1374" w:rsidRDefault="007C1374" w:rsidP="004232B8">
      <w:pPr>
        <w:pStyle w:val="CLALTRNormal"/>
        <w:numPr>
          <w:ilvl w:val="0"/>
          <w:numId w:val="11"/>
        </w:numPr>
        <w:jc w:val="both"/>
      </w:pPr>
      <w:r w:rsidRPr="00B44C7D">
        <w:rPr>
          <w:highlight w:val="yellow"/>
        </w:rPr>
        <w:t>Human resource services</w:t>
      </w:r>
    </w:p>
    <w:p w14:paraId="22BD72B7" w14:textId="77777777" w:rsidR="00FB777B" w:rsidRDefault="005173C0" w:rsidP="004232B8">
      <w:pPr>
        <w:pStyle w:val="CLALTRNormal"/>
        <w:numPr>
          <w:ilvl w:val="0"/>
          <w:numId w:val="11"/>
        </w:numPr>
        <w:jc w:val="both"/>
      </w:pPr>
      <w:r>
        <w:t>Work opportunity tax credit services</w:t>
      </w:r>
    </w:p>
    <w:p w14:paraId="58E69126" w14:textId="77777777" w:rsidR="007C1374" w:rsidRDefault="007C1374" w:rsidP="004232B8">
      <w:pPr>
        <w:pStyle w:val="CLALTRHeading1"/>
        <w:jc w:val="both"/>
      </w:pPr>
      <w:r>
        <w:t>Engagement objectives, limitations, and responsibilities</w:t>
      </w:r>
    </w:p>
    <w:p w14:paraId="205B4143" w14:textId="1E56F162" w:rsidR="007C1374" w:rsidRDefault="007C1374" w:rsidP="004232B8">
      <w:pPr>
        <w:pStyle w:val="CLALTRNormalIndent"/>
        <w:ind w:left="0"/>
        <w:jc w:val="both"/>
      </w:pPr>
      <w:r>
        <w:t xml:space="preserve">The objective of </w:t>
      </w:r>
      <w:r w:rsidR="00337017">
        <w:t xml:space="preserve">ONYX’s </w:t>
      </w:r>
      <w:r>
        <w:t xml:space="preserve">engagement is to assist </w:t>
      </w:r>
      <w:r w:rsidR="00337017">
        <w:t xml:space="preserve">the Client </w:t>
      </w:r>
      <w:r>
        <w:t xml:space="preserve">in the preparation of financial statements by providing the services identified above. </w:t>
      </w:r>
      <w:r w:rsidR="00337017">
        <w:t>ONYX has</w:t>
      </w:r>
      <w:r w:rsidRPr="004F70C5">
        <w:t xml:space="preserve"> not been engaged to prepare financial statements</w:t>
      </w:r>
      <w:r w:rsidR="00337017">
        <w:t>,</w:t>
      </w:r>
      <w:r w:rsidRPr="004F70C5">
        <w:t xml:space="preserve"> and financial </w:t>
      </w:r>
      <w:r w:rsidRPr="004F70C5">
        <w:lastRenderedPageBreak/>
        <w:t xml:space="preserve">statements will not be presented to </w:t>
      </w:r>
      <w:r w:rsidR="00337017">
        <w:t>the Client</w:t>
      </w:r>
      <w:r w:rsidRPr="004F70C5">
        <w:t xml:space="preserve">. Financial statements that may be generated from </w:t>
      </w:r>
      <w:r w:rsidR="000E46C2">
        <w:t>the Client’s</w:t>
      </w:r>
      <w:r w:rsidR="000E46C2" w:rsidRPr="004F70C5">
        <w:t xml:space="preserve"> </w:t>
      </w:r>
      <w:r w:rsidRPr="004F70C5">
        <w:t xml:space="preserve">accounting system have not been </w:t>
      </w:r>
      <w:r>
        <w:t xml:space="preserve">prepared, </w:t>
      </w:r>
      <w:r w:rsidRPr="004F70C5">
        <w:t xml:space="preserve">compiled, reviewed, or audited by </w:t>
      </w:r>
      <w:r w:rsidR="000E46C2">
        <w:t>ONYX</w:t>
      </w:r>
      <w:r w:rsidR="000E46C2" w:rsidRPr="004F70C5">
        <w:t xml:space="preserve"> </w:t>
      </w:r>
      <w:r w:rsidRPr="004F70C5">
        <w:t xml:space="preserve">and, accordingly, will not include an opinion or any other form of assurance. The financial statements will not be accompanied by a report, and </w:t>
      </w:r>
      <w:r w:rsidR="000E46C2">
        <w:t>ONYX</w:t>
      </w:r>
      <w:r w:rsidRPr="004F70C5">
        <w:t xml:space="preserve"> should not be discussed or associated with them.</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14:paraId="3A7EA000" w14:textId="4A2C317E" w:rsidR="007C1374" w:rsidRPr="00CA59AB" w:rsidRDefault="00155433" w:rsidP="004232B8">
      <w:pPr>
        <w:pStyle w:val="CLALTRHeading1"/>
        <w:jc w:val="both"/>
        <w:rPr>
          <w:highlight w:val="yellow"/>
        </w:rPr>
      </w:pPr>
      <w:r>
        <w:rPr>
          <w:highlight w:val="yellow"/>
        </w:rPr>
        <w:t>The Client’s</w:t>
      </w:r>
      <w:r w:rsidR="007C1374" w:rsidRPr="00CA59AB">
        <w:rPr>
          <w:highlight w:val="yellow"/>
        </w:rPr>
        <w:t xml:space="preserve"> responsibilities relevant to </w:t>
      </w:r>
      <w:r w:rsidR="003A2EF5">
        <w:rPr>
          <w:highlight w:val="yellow"/>
        </w:rPr>
        <w:t>ONYX</w:t>
      </w:r>
      <w:r w:rsidR="007C1374" w:rsidRPr="00CA59AB">
        <w:rPr>
          <w:highlight w:val="yellow"/>
        </w:rPr>
        <w:t xml:space="preserve">’s access to </w:t>
      </w:r>
      <w:r w:rsidR="00136A87">
        <w:rPr>
          <w:highlight w:val="yellow"/>
        </w:rPr>
        <w:t>the Client’s monies</w:t>
      </w:r>
    </w:p>
    <w:p w14:paraId="26CCF220" w14:textId="184C9533" w:rsidR="007C1374" w:rsidRDefault="00155433" w:rsidP="004232B8">
      <w:pPr>
        <w:pStyle w:val="CLALTRNormal"/>
        <w:jc w:val="both"/>
      </w:pPr>
      <w:r>
        <w:rPr>
          <w:highlight w:val="yellow"/>
        </w:rPr>
        <w:t>The Client</w:t>
      </w:r>
      <w:r w:rsidR="007C1374" w:rsidRPr="00CA59AB">
        <w:rPr>
          <w:highlight w:val="yellow"/>
        </w:rPr>
        <w:t xml:space="preserve"> is responsible for the processes below. All approvals listed must be documented in writing, either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sidRPr="00D0294B">
        <w:rPr>
          <w:highlight w:val="yellow"/>
        </w:rPr>
        <w:t>Approve all new employees and all employee status changes prior to those employees or changes being added to the payroll system.</w:t>
      </w:r>
    </w:p>
    <w:p w14:paraId="169639B0" w14:textId="77777777" w:rsidR="007C1374" w:rsidRPr="00D0294B" w:rsidRDefault="007C1374" w:rsidP="004232B8">
      <w:pPr>
        <w:pStyle w:val="CLALTRNormal"/>
        <w:numPr>
          <w:ilvl w:val="0"/>
          <w:numId w:val="21"/>
        </w:numPr>
        <w:jc w:val="both"/>
        <w:rPr>
          <w:highlight w:val="yellow"/>
        </w:rPr>
      </w:pPr>
      <w:r w:rsidRPr="00D0294B">
        <w:rPr>
          <w:highlight w:val="yellow"/>
        </w:rPr>
        <w:lastRenderedPageBreak/>
        <w:t>Approve all credit card statements prior to those expenses being processed in the accounting system and subsequently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Fees, time estimates, and terms</w:t>
      </w:r>
    </w:p>
    <w:p w14:paraId="6399B5B0" w14:textId="77777777" w:rsidR="007C1374" w:rsidRDefault="007C1374" w:rsidP="004232B8">
      <w:pPr>
        <w:pStyle w:val="CLALTRHiddenText"/>
        <w:jc w:val="both"/>
      </w:pPr>
      <w:r>
        <w:t>Include the following section for “hourly” fee engagements</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  45</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$100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sidRPr="003B7E8F">
        <w:rPr>
          <w:highlight w:val="yellow"/>
        </w:rPr>
        <w:tab/>
        <w:t>$175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(Delete if not applicable)</w:t>
      </w:r>
    </w:p>
    <w:p w14:paraId="5FCFEC33" w14:textId="77777777" w:rsidR="007C1374" w:rsidRDefault="007C1374" w:rsidP="004232B8">
      <w:pPr>
        <w:pStyle w:val="CLALTRNormal"/>
        <w:numPr>
          <w:ilvl w:val="0"/>
          <w:numId w:val="14"/>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Pr>
          <w:highlight w:val="yellow"/>
        </w:rPr>
        <w:t>/quality assurance</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sidRPr="00C32C7F">
        <w:rPr>
          <w:highlight w:val="yellow"/>
        </w:rPr>
        <w:t xml:space="preserve">Our fees for these services will be based on the time involved and the degree of responsibility and skills required, plus </w:t>
      </w:r>
      <w:r>
        <w:rPr>
          <w:highlight w:val="yellow"/>
        </w:rPr>
        <w:t xml:space="preserve">expenses including </w:t>
      </w:r>
      <w:r w:rsidRPr="00C32C7F">
        <w:rPr>
          <w:highlight w:val="yellow"/>
        </w:rPr>
        <w:t xml:space="preserve">internal and administrative charges. The time estimate is based on anticipated cooperation from </w:t>
      </w:r>
      <w:r w:rsidR="00630A78">
        <w:rPr>
          <w:highlight w:val="yellow"/>
        </w:rPr>
        <w:t>the Client’s</w:t>
      </w:r>
      <w:r w:rsidR="00630A78" w:rsidRPr="00C32C7F">
        <w:rPr>
          <w:highlight w:val="yellow"/>
        </w:rPr>
        <w:t xml:space="preserve"> </w:t>
      </w:r>
      <w:r w:rsidRPr="00C32C7F">
        <w:rPr>
          <w:highlight w:val="yellow"/>
        </w:rPr>
        <w:t xml:space="preserve">personnel and their assistance with preparing requested schedules. If the requested items are not available on the dates required or are not accurate, the estimated fee for services will likely be higher. If unexpected circumstances require significant additional time, </w:t>
      </w:r>
      <w:r w:rsidR="00630A78">
        <w:rPr>
          <w:highlight w:val="yellow"/>
        </w:rPr>
        <w:t>ONYX</w:t>
      </w:r>
      <w:r w:rsidR="00630A78" w:rsidRPr="00C32C7F">
        <w:rPr>
          <w:highlight w:val="yellow"/>
        </w:rPr>
        <w:t xml:space="preserve"> </w:t>
      </w:r>
      <w:r w:rsidRPr="00C32C7F">
        <w:rPr>
          <w:highlight w:val="yellow"/>
        </w:rPr>
        <w:t xml:space="preserve">will advise </w:t>
      </w:r>
      <w:r w:rsidR="00630A78">
        <w:rPr>
          <w:highlight w:val="yellow"/>
        </w:rPr>
        <w:t>the Client</w:t>
      </w:r>
      <w:r w:rsidR="00630A78" w:rsidRPr="00C32C7F">
        <w:rPr>
          <w:highlight w:val="yellow"/>
        </w:rPr>
        <w:t xml:space="preserve"> </w:t>
      </w:r>
      <w:r w:rsidRPr="00C32C7F">
        <w:rPr>
          <w:highlight w:val="yellow"/>
        </w:rPr>
        <w:t>before undertaking work that would require a substantial increase in the fee estimate.</w:t>
      </w:r>
      <w:r w:rsidRPr="00F13697">
        <w:t xml:space="preserve"> </w:t>
      </w:r>
    </w:p>
    <w:p w14:paraId="5F80F91D" w14:textId="77777777" w:rsidR="007C1374" w:rsidRDefault="007C1374" w:rsidP="004232B8">
      <w:pPr>
        <w:pStyle w:val="CLALTRHiddenText"/>
        <w:jc w:val="both"/>
      </w:pPr>
      <w:r>
        <w:t>Include the following section for “fixed” fee engagements</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sidRPr="00C32C7F">
        <w:rPr>
          <w:highlight w:val="yellow"/>
        </w:rPr>
        <w:t xml:space="preserve">The </w:t>
      </w:r>
      <w:r>
        <w:rPr>
          <w:highlight w:val="yellow"/>
        </w:rPr>
        <w:t>fee</w:t>
      </w:r>
      <w:r w:rsidRPr="00C32C7F">
        <w:rPr>
          <w:highlight w:val="yellow"/>
        </w:rPr>
        <w:t xml:space="preserve"> estimate is based on anticipated cooperation from </w:t>
      </w:r>
      <w:r w:rsidR="002F6675">
        <w:rPr>
          <w:highlight w:val="yellow"/>
        </w:rPr>
        <w:t>the Client’s</w:t>
      </w:r>
      <w:r w:rsidR="002F6675" w:rsidRPr="00C32C7F">
        <w:rPr>
          <w:highlight w:val="yellow"/>
        </w:rPr>
        <w:t xml:space="preserve"> </w:t>
      </w:r>
      <w:r w:rsidRPr="00C32C7F">
        <w:rPr>
          <w:highlight w:val="yellow"/>
        </w:rPr>
        <w:t>personnel and their assistance with preparing requested schedules</w:t>
      </w:r>
      <w:r w:rsidR="002C5D46">
        <w:rPr>
          <w:highlight w:val="yellow"/>
        </w:rPr>
        <w:t xml:space="preserve">. </w:t>
      </w:r>
      <w:r w:rsidR="002C5D46">
        <w:rPr>
          <w:highlight w:val="yellow"/>
          <w:u w:val="single"/>
        </w:rPr>
        <w:t>The fee estimate is not maximum or minimum or fixed or guaranteed unless we say otherwise in writing</w:t>
      </w:r>
      <w:r w:rsidRPr="00C32C7F">
        <w:rPr>
          <w:highlight w:val="yellow"/>
        </w:rPr>
        <w:t>.</w:t>
      </w:r>
      <w:r w:rsidR="003D46E8">
        <w:rPr>
          <w:highlight w:val="yellow"/>
        </w:rPr>
        <w:t xml:space="preserve"> The actual cost of our legal services may be more or less than the fee estimate.</w:t>
      </w:r>
      <w:r w:rsidRPr="00C32C7F">
        <w:rPr>
          <w:highlight w:val="yellow"/>
        </w:rPr>
        <w:t xml:space="preserve"> </w:t>
      </w:r>
      <w:r w:rsidR="00CB5DCB">
        <w:rPr>
          <w:highlight w:val="yellow"/>
        </w:rPr>
        <w:t>The accuracy of our estimate may vary depending on facts or circumstances beyond our control, such as if</w:t>
      </w:r>
      <w:r w:rsidRPr="00C32C7F">
        <w:rPr>
          <w:highlight w:val="yellow"/>
        </w:rPr>
        <w:t xml:space="preserve"> the requested items are not available on the dates required or are not accurate. If unexpected circumstances require significant additional time, </w:t>
      </w:r>
      <w:r w:rsidR="002F6675">
        <w:rPr>
          <w:highlight w:val="yellow"/>
        </w:rPr>
        <w:t>ONYX</w:t>
      </w:r>
      <w:r w:rsidR="002F6675" w:rsidRPr="00C32C7F">
        <w:rPr>
          <w:highlight w:val="yellow"/>
        </w:rPr>
        <w:t xml:space="preserve"> </w:t>
      </w:r>
      <w:r w:rsidRPr="00C32C7F">
        <w:rPr>
          <w:highlight w:val="yellow"/>
        </w:rPr>
        <w:t xml:space="preserve">will advise </w:t>
      </w:r>
      <w:r w:rsidR="002F6675">
        <w:rPr>
          <w:highlight w:val="yellow"/>
        </w:rPr>
        <w:t>the Client</w:t>
      </w:r>
      <w:r w:rsidR="002F6675" w:rsidRPr="00C32C7F">
        <w:rPr>
          <w:highlight w:val="yellow"/>
        </w:rPr>
        <w:t xml:space="preserve"> </w:t>
      </w:r>
      <w:r w:rsidRPr="00C32C7F">
        <w:rPr>
          <w:highlight w:val="yellow"/>
        </w:rPr>
        <w:t>before undertaking work that would require a substantial increase in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1074A084" w14:textId="77777777" w:rsidR="007C1374" w:rsidRDefault="007C1374" w:rsidP="004232B8">
      <w:pPr>
        <w:pStyle w:val="CLALTRHiddenText"/>
        <w:jc w:val="both"/>
      </w:pPr>
      <w:r>
        <w:t>Include the following fee paragraphs (i.e., invoices, retainer, other fees, and finance charges) in both hourly and fixed fee engagement letters, as appropriate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t xml:space="preserve">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rPr>
          <w:rStyle w:val="CLALTRHiddenTextChar"/>
        </w:rPr>
        <w:endnoteReference w:id="6"/>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r w:rsidR="007C1374" w:rsidRPr="00CD34FF">
        <w:rPr>
          <w:rStyle w:val="CLALTRHiddenTextChar"/>
        </w:rPr>
        <w:endnoteReference w:id="7"/>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FAEB53B" w14:textId="77777777" w:rsidR="007C1374" w:rsidRDefault="007C1374" w:rsidP="004232B8">
      <w:pPr>
        <w:pStyle w:val="CLALTRHeading1"/>
        <w:jc w:val="both"/>
      </w:pPr>
      <w:r>
        <w:t>Service satisfaction</w:t>
      </w:r>
    </w:p>
    <w:p w14:paraId="0C6B52CE" w14:textId="18ECCCBD" w:rsidR="007C1374" w:rsidRDefault="007C1374" w:rsidP="004232B8">
      <w:pPr>
        <w:pStyle w:val="CLALTRNormal"/>
        <w:jc w:val="both"/>
      </w:pPr>
      <w:r w:rsidRPr="009E14AB">
        <w:rPr>
          <w:highlight w:val="yellow"/>
        </w:rPr>
        <w:t xml:space="preserve">Upon full payment of our invoice, we will assume you are satisfied with our </w:t>
      </w:r>
      <w:proofErr w:type="gramStart"/>
      <w:r w:rsidRPr="009E14AB">
        <w:rPr>
          <w:highlight w:val="yellow"/>
        </w:rPr>
        <w:t>work</w:t>
      </w:r>
      <w:proofErr w:type="gramEnd"/>
      <w:r w:rsidRPr="009E14AB">
        <w:rPr>
          <w:highlight w:val="yellow"/>
        </w:rPr>
        <w:t xml:space="preserve"> and our service commitment will have been fulfilled.</w:t>
      </w:r>
    </w:p>
    <w:p w14:paraId="0C546F6C" w14:textId="29EA98E9" w:rsidR="007C1374" w:rsidRDefault="007C1374" w:rsidP="004232B8">
      <w:pPr>
        <w:pStyle w:val="CLALTRNormal"/>
        <w:jc w:val="both"/>
      </w:pPr>
      <w:r>
        <w:t xml:space="preserve">To ensure that </w:t>
      </w:r>
      <w:r w:rsidR="009E14AB">
        <w:t xml:space="preserve">ONYX’s </w:t>
      </w:r>
      <w:r>
        <w:t xml:space="preserve">services remain responsive to </w:t>
      </w:r>
      <w:r w:rsidR="009E14AB">
        <w:t xml:space="preserve">the Client’s </w:t>
      </w:r>
      <w:r>
        <w:t xml:space="preserve">needs, as well as fair to both parties, </w:t>
      </w:r>
      <w:r w:rsidR="009E14AB">
        <w:t xml:space="preserve">ONYX </w:t>
      </w:r>
      <w:r>
        <w:t xml:space="preserve">will meet with </w:t>
      </w:r>
      <w:r w:rsidR="009E14AB">
        <w:t xml:space="preserve">the Client </w:t>
      </w:r>
      <w:r>
        <w:t>throughout the term of th</w:t>
      </w:r>
      <w:r w:rsidR="009E14AB">
        <w:t>is</w:t>
      </w:r>
      <w:r>
        <w:t xml:space="preserve"> agreement and, if necessary, revise or adjust the scope of the services to be provided and the fees to be charged.</w:t>
      </w:r>
      <w:r w:rsidR="00600EAB">
        <w:t xml:space="preserve"> Such revisions or adjustments shall not be binding unless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our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14:paraId="08CBE52D" w14:textId="589B90DC" w:rsidR="007C1374" w:rsidRDefault="007C1374" w:rsidP="004232B8">
      <w:pPr>
        <w:pStyle w:val="CLALTRNormal"/>
        <w:jc w:val="both"/>
      </w:pPr>
      <w:r>
        <w:t xml:space="preserve">Accounting standards and procedures will be suggested that are consistent with those normally utilized in an entity of </w:t>
      </w:r>
      <w:r w:rsidR="00330014">
        <w:t xml:space="preserve">the Client’s </w:t>
      </w:r>
      <w:r>
        <w:t xml:space="preserve">size and nature. </w:t>
      </w:r>
      <w:r w:rsidR="00330014">
        <w:t xml:space="preserve">ONYX </w:t>
      </w:r>
      <w:r>
        <w:t xml:space="preserve">will require </w:t>
      </w:r>
      <w:r w:rsidR="00330014">
        <w:t xml:space="preserve">the Client </w:t>
      </w:r>
      <w:r>
        <w:t xml:space="preserve">to approve any changes in the application of accounting standards and procedures </w:t>
      </w:r>
      <w:r w:rsidR="009919E2">
        <w:t xml:space="preserve">for </w:t>
      </w:r>
      <w:r>
        <w:t xml:space="preserve">the </w:t>
      </w:r>
      <w:r w:rsidR="009919E2">
        <w:t>Client</w:t>
      </w:r>
      <w:r>
        <w:t xml:space="preserve">. Internal controls may be recommended relating to the safeguarding of the </w:t>
      </w:r>
      <w:r w:rsidR="009919E2">
        <w:t xml:space="preserve">Client’s </w:t>
      </w:r>
      <w:r>
        <w:t xml:space="preserve">assets. If fraud is initiated by </w:t>
      </w:r>
      <w:r w:rsidR="009919E2">
        <w:t xml:space="preserve">the Client’s </w:t>
      </w:r>
      <w:r>
        <w:t xml:space="preserve">employees or other service providers, </w:t>
      </w:r>
      <w:r w:rsidR="009919E2">
        <w:t xml:space="preserve">the Client’s </w:t>
      </w:r>
      <w:r>
        <w:t>insurance is responsible for covering any losses.</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refutable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r w:rsidRPr="007C1374">
        <w:rPr>
          <w:rStyle w:val="CLALTRHiddenTextChar"/>
          <w:b/>
          <w:i/>
        </w:rPr>
        <w:endnoteReference w:id="8"/>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You acknowledge and authorize ONYX to share and process your data with such providers as necessary to perform the services. These providers may have access to your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r w:rsidRPr="00FD0C02">
        <w:rPr>
          <w:rStyle w:val="CLALTRHiddenTextChar"/>
        </w:rPr>
        <w:endnoteReference w:id="9"/>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p w14:paraId="3186F43C" w14:textId="77777777" w:rsidR="00E35680" w:rsidRPr="00EE6E5B" w:rsidRDefault="00E35680" w:rsidP="00E35680">
      <w:pPr>
        <w:pStyle w:val="CLALTRHiddenText"/>
      </w:pPr>
      <w:r w:rsidRPr="009B4AB5">
        <w:t>CliftonLarsonAllen Guidance and Considerat</w:t>
      </w:r>
      <w:r>
        <w:t>ions</w:t>
      </w: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 w:id="2">
    <w:p w14:paraId="6000C86C" w14:textId="77777777" w:rsidR="007C1374" w:rsidRDefault="007C1374" w:rsidP="007C1374">
      <w:pPr>
        <w:pStyle w:val="CLALTRHiddenText"/>
        <w:ind w:left="90" w:hanging="90"/>
      </w:pPr>
      <w:r>
        <w:rPr>
          <w:rStyle w:val="EndnoteReference"/>
        </w:rPr>
        <w:endnoteRef/>
      </w:r>
      <w:r>
        <w:t xml:space="preserve"> CliftonLarsonAllen has consulted with our outside attorney and insurance carrier on this engagement letter. Please exercise caution when modifying this engagement letter.</w:t>
      </w:r>
    </w:p>
  </w:endnote>
  <w:endnote w:id="3">
    <w:p w14:paraId="1915B80B" w14:textId="77777777" w:rsidR="007C1374" w:rsidRPr="006D1F16" w:rsidRDefault="007C1374" w:rsidP="007C1374">
      <w:pPr>
        <w:pStyle w:val="CLALTRHiddenText"/>
      </w:pPr>
      <w:r>
        <w:rPr>
          <w:rStyle w:val="EndnoteReference"/>
        </w:rPr>
        <w:endnoteRef/>
      </w:r>
      <w:r>
        <w:t xml:space="preserve"> Template letter </w:t>
      </w:r>
      <w:r w:rsidRPr="006D1F16">
        <w:t xml:space="preserve">functionality </w:t>
      </w:r>
      <w:r w:rsidRPr="006D1F16">
        <w:rPr>
          <w:noProof/>
        </w:rPr>
        <w:drawing>
          <wp:inline distT="0" distB="0" distL="0" distR="0" wp14:anchorId="5ECB53E7" wp14:editId="395EB636">
            <wp:extent cx="1227802" cy="248421"/>
            <wp:effectExtent l="19050" t="0" r="0" b="0"/>
            <wp:docPr id="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srcRect l="1832" t="8000" b="8000"/>
                    <a:stretch>
                      <a:fillRect/>
                    </a:stretch>
                  </pic:blipFill>
                  <pic:spPr bwMode="auto">
                    <a:xfrm>
                      <a:off x="0" y="0"/>
                      <a:ext cx="1227802" cy="248421"/>
                    </a:xfrm>
                    <a:prstGeom prst="rect">
                      <a:avLst/>
                    </a:prstGeom>
                    <a:noFill/>
                    <a:ln w="9525">
                      <a:noFill/>
                      <a:miter lim="800000"/>
                      <a:headEnd/>
                      <a:tailEnd/>
                    </a:ln>
                  </pic:spPr>
                </pic:pic>
              </a:graphicData>
            </a:graphic>
          </wp:inline>
        </w:drawing>
      </w:r>
    </w:p>
    <w:p w14:paraId="71424B8B" w14:textId="77777777" w:rsidR="007C1374" w:rsidRDefault="007C1374" w:rsidP="007C1374">
      <w:pPr>
        <w:pStyle w:val="CLALTRHiddenText"/>
        <w:spacing w:after="0"/>
        <w:ind w:left="90"/>
      </w:pPr>
      <w:r>
        <w:t>F</w:t>
      </w:r>
      <w:r w:rsidRPr="00FD6237">
        <w:t>ive</w:t>
      </w:r>
      <w:r>
        <w:t xml:space="preserve"> icons were added to the Word quick access toolbar for this template to help you efficiently use it.</w:t>
      </w:r>
    </w:p>
    <w:p w14:paraId="175913A0" w14:textId="77777777" w:rsidR="007C1374" w:rsidRDefault="007C1374" w:rsidP="007C1374">
      <w:pPr>
        <w:pStyle w:val="CLALTRHiddenText"/>
        <w:ind w:left="90"/>
      </w:pPr>
      <w:r>
        <w:t xml:space="preserve">Since computers have different default settings, you may need to change your settings. Click on “Options" </w:t>
      </w:r>
      <w:r w:rsidRPr="00E01A84">
        <w:rPr>
          <w:noProof/>
        </w:rPr>
        <w:drawing>
          <wp:inline distT="0" distB="0" distL="0" distR="0" wp14:anchorId="018101AC" wp14:editId="4D29E4F9">
            <wp:extent cx="192405" cy="231775"/>
            <wp:effectExtent l="19050" t="0" r="0" b="0"/>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 cstate="print"/>
                    <a:srcRect/>
                    <a:stretch>
                      <a:fillRect/>
                    </a:stretch>
                  </pic:blipFill>
                  <pic:spPr bwMode="auto">
                    <a:xfrm>
                      <a:off x="0" y="0"/>
                      <a:ext cx="192405" cy="231775"/>
                    </a:xfrm>
                    <a:prstGeom prst="rect">
                      <a:avLst/>
                    </a:prstGeom>
                    <a:noFill/>
                    <a:ln w="9525">
                      <a:noFill/>
                      <a:miter lim="800000"/>
                      <a:headEnd/>
                      <a:tailEnd/>
                    </a:ln>
                  </pic:spPr>
                </pic:pic>
              </a:graphicData>
            </a:graphic>
          </wp:inline>
        </w:drawing>
      </w:r>
      <w:r>
        <w:t xml:space="preserve"> on the quick access toolbar. Ensure “Hidden text” and “Print hidden text” are unchecked.</w:t>
      </w:r>
    </w:p>
    <w:p w14:paraId="4F52ABFA" w14:textId="77777777" w:rsidR="007C1374" w:rsidRPr="00E01A84" w:rsidRDefault="007C1374" w:rsidP="007C1374">
      <w:pPr>
        <w:pStyle w:val="CLALTRHiddenText"/>
        <w:ind w:left="720"/>
      </w:pPr>
      <w:r w:rsidRPr="00E01A84">
        <w:rPr>
          <w:noProof/>
        </w:rPr>
        <w:drawing>
          <wp:inline distT="0" distB="0" distL="0" distR="0" wp14:anchorId="5B41F4DB" wp14:editId="0C5B570B">
            <wp:extent cx="3491524" cy="2849217"/>
            <wp:effectExtent l="19050" t="0" r="0" b="0"/>
            <wp:docPr id="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 cstate="print"/>
                    <a:srcRect/>
                    <a:stretch>
                      <a:fillRect/>
                    </a:stretch>
                  </pic:blipFill>
                  <pic:spPr bwMode="auto">
                    <a:xfrm>
                      <a:off x="0" y="0"/>
                      <a:ext cx="3491458" cy="2849163"/>
                    </a:xfrm>
                    <a:prstGeom prst="rect">
                      <a:avLst/>
                    </a:prstGeom>
                    <a:noFill/>
                    <a:ln w="9525">
                      <a:noFill/>
                      <a:miter lim="800000"/>
                      <a:headEnd/>
                      <a:tailEnd/>
                    </a:ln>
                  </pic:spPr>
                </pic:pic>
              </a:graphicData>
            </a:graphic>
          </wp:inline>
        </w:drawing>
      </w:r>
    </w:p>
    <w:p w14:paraId="319C8145" w14:textId="77777777" w:rsidR="007C1374" w:rsidRDefault="007C1374" w:rsidP="007C1374">
      <w:pPr>
        <w:pStyle w:val="CLALTRHiddenText"/>
        <w:spacing w:after="120"/>
      </w:pPr>
      <w:r>
        <w:t xml:space="preserve">Red text identifies informational (hidden) text. Click on “Show/Hide” </w:t>
      </w:r>
      <w:r w:rsidRPr="006D1F16">
        <w:rPr>
          <w:noProof/>
        </w:rPr>
        <w:drawing>
          <wp:inline distT="0" distB="0" distL="0" distR="0" wp14:anchorId="2727008A" wp14:editId="1E4C62CF">
            <wp:extent cx="218440" cy="218440"/>
            <wp:effectExtent l="19050" t="0" r="0" b="0"/>
            <wp:docPr id="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 cstate="print"/>
                    <a:srcRect/>
                    <a:stretch>
                      <a:fillRect/>
                    </a:stretch>
                  </pic:blipFill>
                  <pic:spPr bwMode="auto">
                    <a:xfrm>
                      <a:off x="0" y="0"/>
                      <a:ext cx="218440" cy="218440"/>
                    </a:xfrm>
                    <a:prstGeom prst="rect">
                      <a:avLst/>
                    </a:prstGeom>
                    <a:noFill/>
                    <a:ln w="9525">
                      <a:noFill/>
                      <a:miter lim="800000"/>
                      <a:headEnd/>
                      <a:tailEnd/>
                    </a:ln>
                  </pic:spPr>
                </pic:pic>
              </a:graphicData>
            </a:graphic>
          </wp:inline>
        </w:drawing>
      </w:r>
      <w:r>
        <w:t xml:space="preserve"> on the quick access toolbar to show or hide hidden text. Hidden text will not print. </w:t>
      </w:r>
    </w:p>
    <w:p w14:paraId="5C17F9AC" w14:textId="77777777" w:rsidR="007C1374" w:rsidRDefault="007C1374" w:rsidP="007C1374">
      <w:pPr>
        <w:pStyle w:val="CLALTRHiddenText"/>
        <w:spacing w:after="0"/>
      </w:pPr>
      <w:r w:rsidRPr="00F97EC1">
        <w:rPr>
          <w:highlight w:val="yellow"/>
        </w:rPr>
        <w:t>Yellow shaded text indicates text which may or may not be needed in the specific client circumstances. Edit</w:t>
      </w:r>
      <w:r>
        <w:rPr>
          <w:highlight w:val="yellow"/>
        </w:rPr>
        <w:t>, delete,</w:t>
      </w:r>
      <w:r w:rsidRPr="00F97EC1">
        <w:rPr>
          <w:highlight w:val="yellow"/>
        </w:rPr>
        <w:t xml:space="preserve"> or retain as appropriate for the client. </w:t>
      </w:r>
    </w:p>
    <w:p w14:paraId="1ED231E0" w14:textId="77777777" w:rsidR="007C1374" w:rsidRDefault="007C1374" w:rsidP="007C1374">
      <w:pPr>
        <w:pStyle w:val="CLALTRHiddenText"/>
      </w:pPr>
      <w:r>
        <w:t xml:space="preserve">Endnotes include hidden text. If you want to view the endnote popup, click “Options” </w:t>
      </w:r>
      <w:r w:rsidRPr="006D1F16">
        <w:rPr>
          <w:noProof/>
        </w:rPr>
        <w:drawing>
          <wp:inline distT="0" distB="0" distL="0" distR="0" wp14:anchorId="73776D46" wp14:editId="47A7FA9C">
            <wp:extent cx="192405" cy="231775"/>
            <wp:effectExtent l="19050" t="0" r="0"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 cstate="print"/>
                    <a:srcRect/>
                    <a:stretch>
                      <a:fillRect/>
                    </a:stretch>
                  </pic:blipFill>
                  <pic:spPr bwMode="auto">
                    <a:xfrm>
                      <a:off x="0" y="0"/>
                      <a:ext cx="192405" cy="231775"/>
                    </a:xfrm>
                    <a:prstGeom prst="rect">
                      <a:avLst/>
                    </a:prstGeom>
                    <a:noFill/>
                    <a:ln w="9525">
                      <a:noFill/>
                      <a:miter lim="800000"/>
                      <a:headEnd/>
                      <a:tailEnd/>
                    </a:ln>
                  </pic:spPr>
                </pic:pic>
              </a:graphicData>
            </a:graphic>
          </wp:inline>
        </w:drawing>
      </w:r>
      <w:r>
        <w:t xml:space="preserve"> on the quick access tool bar, and check “Hidden text” in the “Always show these formatting marks on the screen” section. You will need to uncheck again to hide the text if you want to view the text in order to insert appropriate page breaks before printing.</w:t>
      </w:r>
    </w:p>
    <w:p w14:paraId="00D0118E" w14:textId="77777777" w:rsidR="007C1374" w:rsidRDefault="007C1374" w:rsidP="007C1374">
      <w:pPr>
        <w:pStyle w:val="CLALTRHiddenText"/>
      </w:pPr>
      <w:r>
        <w:t xml:space="preserve">Click on shaded form fields and type appropriate text. (This replaces the content and eliminates the form field.) Alternatively, click “Lock” </w:t>
      </w:r>
      <w:r>
        <w:rPr>
          <w:noProof/>
        </w:rPr>
        <w:drawing>
          <wp:inline distT="0" distB="0" distL="0" distR="0" wp14:anchorId="124606F8" wp14:editId="238618D5">
            <wp:extent cx="192372" cy="179582"/>
            <wp:effectExtent l="19050" t="0" r="0" b="0"/>
            <wp:docPr id="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 cstate="print"/>
                    <a:srcRect t="10475"/>
                    <a:stretch>
                      <a:fillRect/>
                    </a:stretch>
                  </pic:blipFill>
                  <pic:spPr bwMode="auto">
                    <a:xfrm>
                      <a:off x="0" y="0"/>
                      <a:ext cx="192372" cy="179582"/>
                    </a:xfrm>
                    <a:prstGeom prst="rect">
                      <a:avLst/>
                    </a:prstGeom>
                    <a:noFill/>
                    <a:ln w="9525">
                      <a:noFill/>
                      <a:miter lim="800000"/>
                      <a:headEnd/>
                      <a:tailEnd/>
                    </a:ln>
                  </pic:spPr>
                </pic:pic>
              </a:graphicData>
            </a:graphic>
          </wp:inline>
        </w:drawing>
      </w:r>
      <w:r>
        <w:t xml:space="preserve"> in the quick access toolbar to lock the document so you may tab through the form fields in the document to edit the text in the form fields. The locking feature can be toggled on and off with this icon. (Use Shift + Tab to move to the previous field.) </w:t>
      </w:r>
    </w:p>
    <w:p w14:paraId="493E2A62" w14:textId="77777777" w:rsidR="007C1374" w:rsidRDefault="007C1374" w:rsidP="007C1374">
      <w:pPr>
        <w:pStyle w:val="CLALTRHiddenText"/>
      </w:pPr>
      <w:r>
        <w:t>Styles can be used to efficiently format added content copied from another document. (Styles are available on the Home ribbon.) Styles can be used to efficiently change optional text to hidden text to exclude from the letter for the current period but retain for evaluation in subsequent periods. (Use Word’s “Bullets” feature as needed.)</w:t>
      </w:r>
    </w:p>
    <w:p w14:paraId="70ECDB79" w14:textId="77777777" w:rsidR="007C1374" w:rsidRPr="00233440" w:rsidRDefault="007C1374" w:rsidP="007C1374">
      <w:pPr>
        <w:pStyle w:val="CLALTRHiddenText"/>
        <w:ind w:left="720"/>
      </w:pPr>
      <w:r w:rsidRPr="00233440">
        <w:rPr>
          <w:noProof/>
        </w:rPr>
        <w:drawing>
          <wp:inline distT="0" distB="0" distL="0" distR="0" wp14:anchorId="6A737AD1" wp14:editId="6B3BA327">
            <wp:extent cx="1368879" cy="3286436"/>
            <wp:effectExtent l="19050" t="0" r="2721" b="0"/>
            <wp:docPr id="1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
                    <a:srcRect l="1206" b="1004"/>
                    <a:stretch>
                      <a:fillRect/>
                    </a:stretch>
                  </pic:blipFill>
                  <pic:spPr bwMode="auto">
                    <a:xfrm>
                      <a:off x="0" y="0"/>
                      <a:ext cx="1370447" cy="3290202"/>
                    </a:xfrm>
                    <a:prstGeom prst="rect">
                      <a:avLst/>
                    </a:prstGeom>
                    <a:noFill/>
                    <a:ln w="9525">
                      <a:noFill/>
                      <a:miter lim="800000"/>
                      <a:headEnd/>
                      <a:tailEnd/>
                    </a:ln>
                  </pic:spPr>
                </pic:pic>
              </a:graphicData>
            </a:graphic>
          </wp:inline>
        </w:drawing>
      </w:r>
    </w:p>
    <w:p w14:paraId="49ACAF83" w14:textId="77777777" w:rsidR="007C1374" w:rsidRDefault="007C1374" w:rsidP="007C1374">
      <w:pPr>
        <w:pStyle w:val="CLALTRHiddenText"/>
      </w:pPr>
      <w:r>
        <w:t>Printing:</w:t>
      </w:r>
    </w:p>
    <w:p w14:paraId="00D6067E" w14:textId="77777777" w:rsidR="007C1374" w:rsidRPr="00146282" w:rsidRDefault="007C1374" w:rsidP="007C1374">
      <w:pPr>
        <w:pStyle w:val="CLALTRHiddenText"/>
        <w:numPr>
          <w:ilvl w:val="0"/>
          <w:numId w:val="4"/>
        </w:numPr>
        <w:spacing w:after="120"/>
        <w:ind w:left="360"/>
      </w:pPr>
      <w:r w:rsidRPr="00146282">
        <w:t xml:space="preserve">If sending the letter electronically, print the letter to firm letterhead, the </w:t>
      </w:r>
      <w:r>
        <w:t>principal</w:t>
      </w:r>
      <w:r w:rsidRPr="00146282">
        <w:t xml:space="preserve"> should sign the letter, and then the letter can be scanned and sent to the client. Alternatively, insert the firm’s letterhead and the </w:t>
      </w:r>
      <w:r>
        <w:t>principal</w:t>
      </w:r>
      <w:r w:rsidRPr="00146282">
        <w:t>’s electronic signature, print to Adobe, and send the Adobe file. Do not send the Word document because hidden text would be accessible by the client.</w:t>
      </w:r>
    </w:p>
    <w:p w14:paraId="2DC3B158" w14:textId="77777777" w:rsidR="007C1374" w:rsidRPr="00F21313" w:rsidRDefault="007C1374" w:rsidP="007C1374">
      <w:pPr>
        <w:pStyle w:val="CLALTRHiddenText"/>
        <w:numPr>
          <w:ilvl w:val="0"/>
          <w:numId w:val="4"/>
        </w:numPr>
        <w:spacing w:after="120"/>
        <w:ind w:left="360"/>
      </w:pPr>
      <w:r>
        <w:t>Complete the date and client name in the header fields on the second page. If the client name was linked, you may need to click the ProSystem fx Engagement “Refresh</w:t>
      </w:r>
      <w:r w:rsidRPr="00341B0A">
        <w:t xml:space="preserve">” icon </w:t>
      </w:r>
      <w:r w:rsidRPr="00341B0A">
        <w:rPr>
          <w:noProof/>
        </w:rPr>
        <w:drawing>
          <wp:inline distT="0" distB="0" distL="0" distR="0" wp14:anchorId="69EEF957" wp14:editId="0FE06749">
            <wp:extent cx="191729" cy="198120"/>
            <wp:effectExtent l="1905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srcRect/>
                    <a:stretch>
                      <a:fillRect/>
                    </a:stretch>
                  </pic:blipFill>
                  <pic:spPr bwMode="auto">
                    <a:xfrm>
                      <a:off x="0" y="0"/>
                      <a:ext cx="191729" cy="198120"/>
                    </a:xfrm>
                    <a:prstGeom prst="rect">
                      <a:avLst/>
                    </a:prstGeom>
                    <a:noFill/>
                    <a:ln w="9525">
                      <a:noFill/>
                      <a:miter lim="800000"/>
                      <a:headEnd/>
                      <a:tailEnd/>
                    </a:ln>
                  </pic:spPr>
                </pic:pic>
              </a:graphicData>
            </a:graphic>
          </wp:inline>
        </w:drawing>
      </w:r>
      <w:r w:rsidRPr="00341B0A">
        <w:t xml:space="preserve"> to</w:t>
      </w:r>
      <w:r>
        <w:t xml:space="preserve"> update the link.</w:t>
      </w:r>
    </w:p>
    <w:p w14:paraId="47773ED5" w14:textId="77777777" w:rsidR="007C1374" w:rsidRPr="009E0A9D" w:rsidRDefault="007C1374" w:rsidP="007C1374">
      <w:pPr>
        <w:pStyle w:val="CLALTRHiddenText"/>
        <w:numPr>
          <w:ilvl w:val="0"/>
          <w:numId w:val="4"/>
        </w:numPr>
        <w:spacing w:after="120"/>
        <w:ind w:left="360"/>
      </w:pPr>
      <w:r w:rsidRPr="009E0A9D">
        <w:rPr>
          <w:highlight w:val="yellow"/>
        </w:rPr>
        <w:t xml:space="preserve">Yellow highlighting needs to be eliminated before printing. </w:t>
      </w:r>
      <w:r w:rsidRPr="00D50DF7">
        <w:rPr>
          <w:highlight w:val="yellow"/>
        </w:rPr>
        <w:t xml:space="preserve">From the “Home” ribbon, choose “Select” and “Select All,” to highlight the </w:t>
      </w:r>
      <w:r>
        <w:rPr>
          <w:highlight w:val="yellow"/>
        </w:rPr>
        <w:t xml:space="preserve">content of the </w:t>
      </w:r>
      <w:r w:rsidRPr="00D50DF7">
        <w:rPr>
          <w:highlight w:val="yellow"/>
        </w:rPr>
        <w:t>entire letter</w:t>
      </w:r>
      <w:r>
        <w:rPr>
          <w:highlight w:val="yellow"/>
        </w:rPr>
        <w:t>; then</w:t>
      </w:r>
      <w:r w:rsidRPr="009E0A9D">
        <w:rPr>
          <w:highlight w:val="yellow"/>
        </w:rPr>
        <w:t xml:space="preserve"> click on</w:t>
      </w:r>
      <w:r>
        <w:rPr>
          <w:highlight w:val="yellow"/>
        </w:rPr>
        <w:t xml:space="preserve"> the</w:t>
      </w:r>
      <w:r w:rsidRPr="009E0A9D">
        <w:rPr>
          <w:highlight w:val="yellow"/>
        </w:rPr>
        <w:t xml:space="preserve"> “Text Highlight Color” </w:t>
      </w:r>
      <w:r w:rsidRPr="009E0A9D">
        <w:rPr>
          <w:noProof/>
          <w:highlight w:val="yellow"/>
        </w:rPr>
        <w:drawing>
          <wp:inline distT="0" distB="0" distL="0" distR="0" wp14:anchorId="2EE7057B" wp14:editId="6FCA0EBB">
            <wp:extent cx="292797" cy="239070"/>
            <wp:effectExtent l="1905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srcRect t="8000" b="8000"/>
                    <a:stretch>
                      <a:fillRect/>
                    </a:stretch>
                  </pic:blipFill>
                  <pic:spPr bwMode="auto">
                    <a:xfrm>
                      <a:off x="0" y="0"/>
                      <a:ext cx="292797" cy="239070"/>
                    </a:xfrm>
                    <a:prstGeom prst="rect">
                      <a:avLst/>
                    </a:prstGeom>
                    <a:noFill/>
                    <a:ln w="9525">
                      <a:noFill/>
                      <a:miter lim="800000"/>
                      <a:headEnd/>
                      <a:tailEnd/>
                    </a:ln>
                  </pic:spPr>
                </pic:pic>
              </a:graphicData>
            </a:graphic>
          </wp:inline>
        </w:drawing>
      </w:r>
      <w:r w:rsidRPr="009E0A9D">
        <w:rPr>
          <w:highlight w:val="yellow"/>
        </w:rPr>
        <w:t xml:space="preserve"> </w:t>
      </w:r>
      <w:r>
        <w:rPr>
          <w:highlight w:val="yellow"/>
        </w:rPr>
        <w:t xml:space="preserve">arrow </w:t>
      </w:r>
      <w:r w:rsidRPr="009E0A9D">
        <w:rPr>
          <w:highlight w:val="yellow"/>
        </w:rPr>
        <w:t xml:space="preserve">on the quick access toolbar and choose </w:t>
      </w:r>
      <w:r>
        <w:rPr>
          <w:highlight w:val="yellow"/>
        </w:rPr>
        <w:t>“</w:t>
      </w:r>
      <w:r w:rsidRPr="009E0A9D">
        <w:rPr>
          <w:highlight w:val="yellow"/>
        </w:rPr>
        <w:t>No Color</w:t>
      </w:r>
      <w:r w:rsidRPr="008D0A57">
        <w:rPr>
          <w:highlight w:val="yellow"/>
        </w:rPr>
        <w:t>.”</w:t>
      </w:r>
    </w:p>
    <w:p w14:paraId="44B249C2" w14:textId="77777777" w:rsidR="007C1374" w:rsidRDefault="007C1374" w:rsidP="007C1374">
      <w:pPr>
        <w:pStyle w:val="CLALTRHiddenText"/>
        <w:numPr>
          <w:ilvl w:val="0"/>
          <w:numId w:val="4"/>
        </w:numPr>
        <w:spacing w:after="120"/>
        <w:ind w:left="360"/>
      </w:pPr>
      <w:r>
        <w:t>Click “Form Field Shading”</w:t>
      </w:r>
      <w:r w:rsidRPr="009E0622">
        <w:t xml:space="preserve"> </w:t>
      </w:r>
      <w:r>
        <w:rPr>
          <w:noProof/>
        </w:rPr>
        <w:drawing>
          <wp:inline distT="0" distB="0" distL="0" distR="0" wp14:anchorId="35A40DFA" wp14:editId="71B8F4D4">
            <wp:extent cx="176936" cy="170383"/>
            <wp:effectExtent l="19050" t="0" r="0" b="0"/>
            <wp:docPr id="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a:srcRect/>
                    <a:stretch>
                      <a:fillRect/>
                    </a:stretch>
                  </pic:blipFill>
                  <pic:spPr bwMode="auto">
                    <a:xfrm>
                      <a:off x="0" y="0"/>
                      <a:ext cx="176936" cy="170383"/>
                    </a:xfrm>
                    <a:prstGeom prst="rect">
                      <a:avLst/>
                    </a:prstGeom>
                    <a:noFill/>
                    <a:ln w="9525">
                      <a:noFill/>
                      <a:miter lim="800000"/>
                      <a:headEnd/>
                      <a:tailEnd/>
                    </a:ln>
                  </pic:spPr>
                </pic:pic>
              </a:graphicData>
            </a:graphic>
          </wp:inline>
        </w:drawing>
      </w:r>
      <w:r>
        <w:t xml:space="preserve"> on the quick access toolbar to eliminate field shading before printing.</w:t>
      </w:r>
    </w:p>
    <w:p w14:paraId="06C46781" w14:textId="77777777" w:rsidR="007C1374" w:rsidRDefault="007C1374" w:rsidP="007C1374">
      <w:pPr>
        <w:pStyle w:val="CLALTRHiddenText"/>
        <w:numPr>
          <w:ilvl w:val="0"/>
          <w:numId w:val="4"/>
        </w:numPr>
        <w:ind w:left="360"/>
      </w:pPr>
      <w:r>
        <w:t xml:space="preserve">If hidden text is printing, click on “Options” </w:t>
      </w:r>
      <w:r w:rsidRPr="00D66563">
        <w:rPr>
          <w:noProof/>
        </w:rPr>
        <w:drawing>
          <wp:inline distT="0" distB="0" distL="0" distR="0" wp14:anchorId="5F954E04" wp14:editId="7DDEE9F5">
            <wp:extent cx="192405" cy="231775"/>
            <wp:effectExtent l="19050" t="0" r="0" b="0"/>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 cstate="print"/>
                    <a:srcRect/>
                    <a:stretch>
                      <a:fillRect/>
                    </a:stretch>
                  </pic:blipFill>
                  <pic:spPr bwMode="auto">
                    <a:xfrm>
                      <a:off x="0" y="0"/>
                      <a:ext cx="192405" cy="231775"/>
                    </a:xfrm>
                    <a:prstGeom prst="rect">
                      <a:avLst/>
                    </a:prstGeom>
                    <a:noFill/>
                    <a:ln w="9525">
                      <a:noFill/>
                      <a:miter lim="800000"/>
                      <a:headEnd/>
                      <a:tailEnd/>
                    </a:ln>
                  </pic:spPr>
                </pic:pic>
              </a:graphicData>
            </a:graphic>
          </wp:inline>
        </w:drawing>
      </w:r>
      <w:r>
        <w:t xml:space="preserve"> and uncheck “Print hidden text” under “Printing options.”</w:t>
      </w:r>
    </w:p>
  </w:endnote>
  <w:endnote w:id="4">
    <w:p w14:paraId="37C3730A" w14:textId="77777777" w:rsidR="007C1374" w:rsidRDefault="007C1374" w:rsidP="007C1374">
      <w:pPr>
        <w:pStyle w:val="CLALTRHiddenText"/>
        <w:ind w:left="90" w:hanging="90"/>
      </w:pPr>
      <w:r>
        <w:rPr>
          <w:rStyle w:val="EndnoteReference"/>
        </w:rPr>
        <w:endnoteRef/>
      </w:r>
      <w:r>
        <w:t xml:space="preserve"> Use separate engagement letters for other services CLA provides (for example, an agreed-upon procedures engagement or a consulting engagement).</w:t>
      </w:r>
    </w:p>
  </w:endnote>
  <w:endnote w:id="5">
    <w:p w14:paraId="602122CB" w14:textId="77777777" w:rsidR="007C1374" w:rsidRPr="00D94335" w:rsidRDefault="007C1374" w:rsidP="007C1374">
      <w:pPr>
        <w:pStyle w:val="CLALTRHiddenText"/>
        <w:ind w:left="90" w:hanging="90"/>
      </w:pPr>
      <w:r>
        <w:rPr>
          <w:rStyle w:val="EndnoteReference"/>
        </w:rPr>
        <w:endnoteRef/>
      </w:r>
      <w:r>
        <w:t xml:space="preserve"> The addresses and references in the engagement letter should be those that are appropriate in the circumstances of the engagement. </w:t>
      </w:r>
      <w:r w:rsidRPr="0019705C">
        <w:t>Depending on the entity's structure, the agreement may be with management, those charged with governance, or both. Nonetheless, when the agreement on the terms of engagement is only with those charged with governance, in accordance with paragraph .25c of section 60, the accountant is required to obtain management's agreement that it acknowledges and understands its responsibilities.</w:t>
      </w:r>
      <w:r>
        <w:t xml:space="preserve"> SSARSs define management: “</w:t>
      </w:r>
      <w:r w:rsidRPr="00F26980">
        <w:t>The person(s) with executive responsibility for the conduct of the entity's operations. For some entities, management includes some or all of those charged with governance (for example, executive members of a governance board or an owner-manager).</w:t>
      </w:r>
      <w:r>
        <w:t>”</w:t>
      </w:r>
    </w:p>
  </w:endnote>
  <w:endnote w:id="6">
    <w:p w14:paraId="7240AF9E" w14:textId="77777777" w:rsidR="007C1374" w:rsidRDefault="007C1374" w:rsidP="007C1374">
      <w:pPr>
        <w:pStyle w:val="CLALTRHiddenText"/>
      </w:pPr>
      <w:r>
        <w:rPr>
          <w:rStyle w:val="EndnoteReference"/>
        </w:rPr>
        <w:endnoteRef/>
      </w:r>
      <w:r>
        <w:t xml:space="preserve"> CLA</w:t>
      </w:r>
      <w:r w:rsidRPr="00DD3F6C">
        <w:t xml:space="preserve"> suggests this be 30 days. </w:t>
      </w:r>
      <w:r>
        <w:t>It should not</w:t>
      </w:r>
      <w:r w:rsidRPr="00DD3F6C">
        <w:t xml:space="preserve"> be greater than 60 days.</w:t>
      </w:r>
    </w:p>
  </w:endnote>
  <w:endnote w:id="7">
    <w:p w14:paraId="369E337D" w14:textId="77777777" w:rsidR="007C1374" w:rsidRDefault="007C1374" w:rsidP="007C1374">
      <w:pPr>
        <w:pStyle w:val="CLALTRHiddenText"/>
        <w:ind w:left="180" w:hanging="180"/>
      </w:pPr>
      <w:r>
        <w:rPr>
          <w:rStyle w:val="EndnoteReference"/>
        </w:rPr>
        <w:endnoteRef/>
      </w:r>
      <w:r>
        <w:t xml:space="preserve"> If the client requests that we change the state, the engagement principal may propose omitting the paragraph as a compromise. We include Minnesota because we are legally a Minnesota partnership. If you have additional questions or concerns, or if there is continued resistance from the client, consult with CLA’s general counsel, chief legal officer, or chief quality officer.</w:t>
      </w:r>
    </w:p>
  </w:endnote>
  <w:endnote w:id="8">
    <w:p w14:paraId="608A94EC" w14:textId="77777777" w:rsidR="007C1374" w:rsidRDefault="007C1374" w:rsidP="007C1374">
      <w:pPr>
        <w:pStyle w:val="CLALTRHiddenText"/>
        <w:ind w:left="180" w:hanging="180"/>
      </w:pPr>
      <w:r>
        <w:rPr>
          <w:rStyle w:val="EndnoteReference"/>
        </w:rPr>
        <w:endnoteRef/>
      </w:r>
      <w:r>
        <w:t xml:space="preserve"> This paragraph is generally included in all engagement letters. If the client requests, it may be deleted. If deleted, the engagement principal must ensure we provide the services without using a third-party service provider. The paragraph is required if we are using an entity or individual not employed or controlled by CLA to assist us in providing professional services to the client. </w:t>
      </w:r>
    </w:p>
    <w:p w14:paraId="3F7FFB46" w14:textId="77777777" w:rsidR="007C1374" w:rsidRDefault="007C1374" w:rsidP="007C1374">
      <w:pPr>
        <w:pStyle w:val="CLALTRHiddenText"/>
        <w:ind w:left="180"/>
      </w:pPr>
      <w:r>
        <w:t>Note – Examples of entities that assist us in providing professional services to clients include:</w:t>
      </w:r>
    </w:p>
    <w:p w14:paraId="2BD78898" w14:textId="77777777" w:rsidR="007C1374" w:rsidRDefault="007C1374" w:rsidP="007C1374">
      <w:pPr>
        <w:pStyle w:val="CLALTRHiddenText"/>
        <w:numPr>
          <w:ilvl w:val="0"/>
          <w:numId w:val="7"/>
        </w:numPr>
        <w:ind w:left="720" w:hanging="360"/>
      </w:pPr>
      <w:r>
        <w:t>Other accounting firms (for example, to observe or count inventory).</w:t>
      </w:r>
    </w:p>
    <w:p w14:paraId="069FF2BC" w14:textId="77777777" w:rsidR="007C1374" w:rsidRDefault="007C1374" w:rsidP="007C1374">
      <w:pPr>
        <w:pStyle w:val="CLALTRHiddenText"/>
        <w:numPr>
          <w:ilvl w:val="0"/>
          <w:numId w:val="7"/>
        </w:numPr>
        <w:ind w:left="720" w:hanging="360"/>
      </w:pPr>
      <w:r>
        <w:t>Specialists (for example, to value assets).</w:t>
      </w:r>
    </w:p>
    <w:p w14:paraId="412FBCA9" w14:textId="77777777" w:rsidR="007C1374" w:rsidRDefault="007C1374" w:rsidP="007C1374">
      <w:pPr>
        <w:pStyle w:val="CLALTRHiddenText"/>
        <w:numPr>
          <w:ilvl w:val="0"/>
          <w:numId w:val="7"/>
        </w:numPr>
        <w:ind w:left="720" w:hanging="360"/>
      </w:pPr>
      <w:r>
        <w:t>Independent contractors, including temporary workers who are not on CLA's payroll (for example, for outsourced accounting, tax preparation, or word processing services).</w:t>
      </w:r>
    </w:p>
    <w:p w14:paraId="5F65793B" w14:textId="77777777" w:rsidR="007C1374" w:rsidRDefault="007C1374" w:rsidP="007C1374">
      <w:pPr>
        <w:pStyle w:val="CLALTRHiddenText"/>
        <w:ind w:left="180"/>
      </w:pPr>
      <w:r>
        <w:t>Note - Communication with the client is not required for third-party service providers who provide administrative support services. Examples of administrative support services include:</w:t>
      </w:r>
    </w:p>
    <w:p w14:paraId="52E8C478" w14:textId="77777777" w:rsidR="007C1374" w:rsidRDefault="007C1374" w:rsidP="007C1374">
      <w:pPr>
        <w:pStyle w:val="CLALTRHiddenText"/>
        <w:numPr>
          <w:ilvl w:val="0"/>
          <w:numId w:val="7"/>
        </w:numPr>
        <w:ind w:left="720" w:hanging="360"/>
      </w:pPr>
      <w:r>
        <w:t>Record storage.</w:t>
      </w:r>
    </w:p>
    <w:p w14:paraId="46C608FC" w14:textId="77777777" w:rsidR="007C1374" w:rsidRDefault="007C1374" w:rsidP="007C1374">
      <w:pPr>
        <w:pStyle w:val="CLALTRHiddenText"/>
        <w:numPr>
          <w:ilvl w:val="0"/>
          <w:numId w:val="7"/>
        </w:numPr>
        <w:ind w:left="720" w:hanging="360"/>
      </w:pPr>
      <w:r>
        <w:t>Software application hosting.</w:t>
      </w:r>
    </w:p>
    <w:p w14:paraId="365379C6" w14:textId="77777777" w:rsidR="007C1374" w:rsidRDefault="007C1374" w:rsidP="007C1374">
      <w:pPr>
        <w:pStyle w:val="CLALTRHiddenText"/>
        <w:numPr>
          <w:ilvl w:val="0"/>
          <w:numId w:val="7"/>
        </w:numPr>
        <w:ind w:left="720" w:hanging="360"/>
      </w:pPr>
      <w:r>
        <w:t>Authorized e-file tax transmittal.</w:t>
      </w:r>
    </w:p>
    <w:p w14:paraId="3B736CAF" w14:textId="77777777" w:rsidR="007C1374" w:rsidRDefault="007C1374" w:rsidP="007C1374">
      <w:pPr>
        <w:pStyle w:val="CLALTRHiddenText"/>
        <w:ind w:left="180"/>
      </w:pPr>
      <w:r>
        <w:t>For additional information, see ET 0.400.47 for a definition of a third-party service provider and ET 1.150 Use of a Third-Party Service Provider [Prior reference: Ethics Rulings 191.112 and 391.1] in the AICPA Code of Professional Conduct.</w:t>
      </w:r>
    </w:p>
  </w:endnote>
  <w:endnote w:id="9">
    <w:p w14:paraId="37ACA354" w14:textId="77777777" w:rsidR="007C1374" w:rsidRDefault="007C1374" w:rsidP="007C1374">
      <w:pPr>
        <w:pStyle w:val="CLALTRHiddenText"/>
        <w:ind w:left="180" w:hanging="180"/>
      </w:pPr>
      <w:r>
        <w:rPr>
          <w:rStyle w:val="EndnoteReference"/>
        </w:rPr>
        <w:endnoteRef/>
      </w:r>
      <w:r>
        <w:t xml:space="preserve"> The accountant should agree upon the terms of the engagement with management or those charged with governance, as appropriate. (AR-C 70.10)</w:t>
      </w:r>
    </w:p>
    <w:p w14:paraId="7502A328" w14:textId="77777777" w:rsidR="007C1374" w:rsidRPr="00D94335" w:rsidRDefault="007C1374" w:rsidP="007C1374">
      <w:pPr>
        <w:pStyle w:val="CLALTRHiddenText"/>
        <w:ind w:left="180"/>
      </w:pPr>
      <w:r>
        <w:t>The roles of management and those charged with governance in agreeing upon the terms of the preparation engagement for the entity depend on the governance structure of the entity and relevant law or regulation. Depending on the entity's structure, the agreement may be with management, those charged with governance, or both. Nonetheless, when the agreement on the terms of engagement is only with those charged with governance, in accordance with paragraph .25c of section 60, the accountant is required to obtain management's agreement that it acknowledges and understands its responsibilities. (AR-C 70.A8)</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