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July 1, 2026</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Korman LLC</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Bookkeeping support   ·   Controller-level oversight   ·   Review &amp; audit readiness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July 1, 2026</w:t>
      </w:r>
      <w:r>
        <w:fldChar w:fldCharType="end"/>
      </w:r>
    </w:p>
    <w:p w14:paraId="3CC1ED77" w14:textId="77777777" w:rsidR="007C1374" w:rsidRDefault="007C1374" w:rsidP="007C1374">
      <w:pPr>
        <w:pStyle w:val="CLALTRAddressorSignature"/>
      </w:pPr>
      <w:r w:rsidRPr="0015119E">
        <w:rPr/>
        <w:t>Burton Korer, Member, and Management</w:t>
      </w:r>
      <w:bookmarkEnd w:id="1"/>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Korman LLC</w:t>
      </w:r>
      <w:r>
        <w:fldChar w:fldCharType="end"/>
      </w:r>
      <w:bookmarkEnd w:id="2"/>
    </w:p>
    <w:p w14:paraId="389C2558" w14:textId="77777777" w:rsidR="007C1374" w:rsidRDefault="007C1374" w:rsidP="007C1374">
      <w:pPr>
        <w:pStyle w:val="CLALTRAddressorSignature"/>
      </w:pPr>
      <w:r>
        <w:t>5783 W ERIE ST</w:t>
      </w:r>
      <w:bookmarkStart w:id="3" w:name="Text11"/>
      <w:bookmarkEnd w:id="3"/>
    </w:p>
    <w:p w14:paraId="59517EED" w14:textId="77777777" w:rsidR="007C1374" w:rsidRDefault="007C1374" w:rsidP="007C1374">
      <w:pPr>
        <w:pStyle w:val="CLALTRAddressorSignature"/>
      </w:pPr>
      <w:r>
        <w:t>Chandler, AZ 85226</w:t>
      </w:r>
      <w:bookmarkStart w:id="4" w:name="Text12"/>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Burton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Korman LLC</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2026</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December 31, 2026</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ONYX works as an extension of the Client’s accounting team — bringing controller-level oversight and review readiness without the cost and overhead of building it in-house. On a periodic basis (generally quarterly) and as otherwise needed or requested, ONYX supports the Client’s in-house bookkeeping, keeps the books in QuickBooks accurate and review-ready, helps stand up reporting by product line, and prepares the Client for its annual financial-statement review. The services below are illustrative of what ONYX provides and are not a fixed or exhaustive list; we tailor the mix to the Client’s needs and adjust it as those needs change. As an initial priority, ONYX will help compile the reports and supporting documentation needed to finalize the 2024 review, and perform catch-up and clean-up work to bring the 2025 books current and review-ready.</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t>Bookkeeping support and monthly close</w:t>
      </w:r>
    </w:p>
    <w:p>
      <w:pPr>
        <w:pStyle w:val="CLALTRNormal"/>
        <w:jc w:val="both"/>
      </w:pPr>
      <w:r>
        <w:rPr/>
        <w:t>Working alongside the Client’s in-house bookkeeper, ONYX helps keep the books in QuickBooks accurate, current, and close-ready:</w:t>
      </w:r>
    </w:p>
    <w:p w14:paraId="5F77BEBA" w14:textId="77777777" w:rsidR="007C1374" w:rsidRPr="0004094D" w:rsidRDefault="007C1374" w:rsidP="004232B8">
      <w:pPr>
        <w:pStyle w:val="CLALTRNormal"/>
        <w:numPr>
          <w:ilvl w:val="0"/>
          <w:numId w:val="9"/>
        </w:numPr>
        <w:jc w:val="both"/>
      </w:pPr>
      <w:r>
        <w:rPr/>
        <w:t>Support the accounts payable and accounts receivable processes so transactions are recorded accurately and on time</w:t>
      </w:r>
    </w:p>
    <w:p w14:paraId="0FDCCEB3" w14:textId="77777777" w:rsidR="007C1374" w:rsidRDefault="007C1374" w:rsidP="004232B8">
      <w:pPr>
        <w:pStyle w:val="CLALTRNormal"/>
        <w:numPr>
          <w:ilvl w:val="0"/>
          <w:numId w:val="9"/>
        </w:numPr>
        <w:jc w:val="both"/>
      </w:pPr>
      <w:r>
        <w:rPr/>
        <w:t>Review customer billings and cash receipts and keep sales-and-use tax tracked and current</w:t>
      </w:r>
    </w:p>
    <w:p w14:paraId="7FEABD02" w14:textId="77777777" w:rsidR="007C1374" w:rsidRDefault="007C1374" w:rsidP="004232B8">
      <w:pPr>
        <w:pStyle w:val="CLALTRNormal"/>
        <w:numPr>
          <w:ilvl w:val="0"/>
          <w:numId w:val="9"/>
        </w:numPr>
        <w:jc w:val="both"/>
      </w:pPr>
      <w:r>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t xml:space="preserve">Maintain depreciation schedules</w:t>
      </w:r>
    </w:p>
    <w:p w14:paraId="265B71B3" w14:textId="77777777" w:rsidR="007C1374" w:rsidRDefault="007C1374" w:rsidP="004232B8">
      <w:pPr>
        <w:pStyle w:val="CLALTRNormal"/>
        <w:numPr>
          <w:ilvl w:val="0"/>
          <w:numId w:val="9"/>
        </w:numPr>
        <w:jc w:val="both"/>
      </w:pPr>
      <w:r w:rsidRPr="00A43EB3">
        <w:rPr/>
        <w:t>Set up and maintain class or product-line tracking in QuickBooks so the pharmaceutical and medical-equipment lines can be reported separately</w:t>
      </w:r>
    </w:p>
    <w:p w14:paraId="1D259634" w14:textId="77777777" w:rsidR="007C1374" w:rsidRDefault="007C1374" w:rsidP="004232B8">
      <w:pPr>
        <w:pStyle w:val="CLALTRNormal"/>
        <w:numPr>
          <w:ilvl w:val="0"/>
          <w:numId w:val="8"/>
        </w:numPr>
        <w:jc w:val="both"/>
      </w:pPr>
      <w:r>
        <w:rPr/>
        <w:t xml:space="preserve">Controller-level oversight and reporting</w:t>
      </w:r>
    </w:p>
    <w:p>
      <w:pPr>
        <w:pStyle w:val="CLALTRNormal"/>
        <w:jc w:val="both"/>
      </w:pPr>
      <w:r>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t xml:space="preserve">Document the Client’s accounting processes and procedures</w:t>
      </w:r>
    </w:p>
    <w:p w14:paraId="4E3E6738" w14:textId="77777777" w:rsidR="007C1374" w:rsidRDefault="007C1374" w:rsidP="004232B8">
      <w:pPr>
        <w:pStyle w:val="CLALTRNormal"/>
        <w:numPr>
          <w:ilvl w:val="0"/>
          <w:numId w:val="10"/>
        </w:numPr>
        <w:jc w:val="both"/>
      </w:pPr>
      <w:r>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t>Assist with TBK Bank communications, borrowing-base and collateral reporting tied to receivables and inventory, and routine information requests</w:t>
      </w:r>
    </w:p>
    <w:p w14:paraId="4AE0C1F8" w14:textId="3FBCFA1B" w:rsidR="007C1374" w:rsidRDefault="007C1374" w:rsidP="004232B8">
      <w:pPr>
        <w:pStyle w:val="CLALTRNormal"/>
        <w:numPr>
          <w:ilvl w:val="0"/>
          <w:numId w:val="10"/>
        </w:numPr>
        <w:jc w:val="both"/>
      </w:pPr>
      <w:r>
        <w:rPr/>
        <w:t xml:space="preserve">Gather and organize everything the Client’s tax preparer needs for the annual return</w:t>
      </w:r>
    </w:p>
    <w:p w14:paraId="4AE0C1F8" w14:textId="3FBCFA1B" w:rsidR="007C1374" w:rsidRDefault="007C1374" w:rsidP="004232B8">
      <w:pPr>
        <w:pStyle w:val="CLALTRNormal"/>
        <w:numPr>
          <w:ilvl w:val="0"/>
          <w:numId w:val="10"/>
        </w:numPr>
        <w:jc w:val="both"/>
      </w:pPr>
      <w:r>
        <w:rPr/>
        <w:t>Compile the reports and supporting documentation needed to finalize 2024, and perform catch-up and clean-up accounting to bring the 2025 books current and review-ready</w:t>
      </w:r>
    </w:p>
    <w:p w14:paraId="4AE0C1F8" w14:textId="3FBCFA1B" w:rsidR="007C1374" w:rsidRDefault="007C1374" w:rsidP="004232B8">
      <w:pPr>
        <w:pStyle w:val="CLALTRNormal"/>
        <w:numPr>
          <w:ilvl w:val="0"/>
          <w:numId w:val="10"/>
        </w:numPr>
        <w:jc w:val="both"/>
      </w:pPr>
      <w:r>
        <w:rPr/>
        <w:t>Keep the books and supporting schedules review- and audit-ready, and prepare the schedules and documentation requested for the annual financial-statement review</w:t>
      </w:r>
    </w:p>
    <w:p w14:paraId="4AE0C1F8" w14:textId="3FBCFA1B" w:rsidR="007C1374" w:rsidRDefault="007C1374" w:rsidP="004232B8">
      <w:pPr>
        <w:pStyle w:val="CLALTRNormal"/>
        <w:numPr>
          <w:ilvl w:val="0"/>
          <w:numId w:val="10"/>
        </w:numPr>
        <w:jc w:val="both"/>
      </w:pPr>
      <w:r>
        <w:rPr/>
        <w:t>Produce separate profit-and-loss reporting for the pharmaceutical and medical-equipment product lines, consolidating into a single, company-wide view</w:t>
      </w:r>
    </w:p>
    <w:p>
      <w:pPr>
        <w:pStyle w:val="CLALTRNormal"/>
        <w:numPr>
          <w:ilvl w:val="0"/>
          <w:numId w:val="8"/>
        </w:numPr>
        <w:jc w:val="both"/>
      </w:pPr>
      <w:r>
        <w:rPr/>
        <w:t xml:space="preserve">CFO-level strategic support</w:t>
      </w:r>
    </w:p>
    <w:p>
      <w:pPr>
        <w:pStyle w:val="CLALTRNormal"/>
        <w:jc w:val="both"/>
      </w:pPr>
      <w:r>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t xml:space="preserve">Serve as a strategic financial partner to ownership and management, offering guidance and direction across the finance function</w:t>
      </w:r>
    </w:p>
    <w:p>
      <w:pPr>
        <w:pStyle w:val="CLALTRNormal"/>
        <w:numPr>
          <w:ilvl w:val="0"/>
          <w:numId w:val="10"/>
        </w:numPr>
        <w:jc w:val="both"/>
      </w:pPr>
      <w:r>
        <w:rPr/>
        <w:t xml:space="preserve">Advise on financial reporting structure, management reporting, and accounting policy</w:t>
      </w:r>
    </w:p>
    <w:p>
      <w:pPr>
        <w:pStyle w:val="CLALTRNormal"/>
        <w:numPr>
          <w:ilvl w:val="0"/>
          <w:numId w:val="10"/>
        </w:numPr>
        <w:jc w:val="both"/>
      </w:pPr>
      <w:r>
        <w:rPr/>
        <w:t xml:space="preserve">Lead budgeting, forecasting, and long-term financial modeling to support growth and scenario planning</w:t>
      </w:r>
    </w:p>
    <w:p>
      <w:pPr>
        <w:pStyle w:val="CLALTRNormal"/>
        <w:numPr>
          <w:ilvl w:val="0"/>
          <w:numId w:val="10"/>
        </w:numPr>
        <w:jc w:val="both"/>
      </w:pPr>
      <w:r>
        <w:rPr/>
        <w:t>Support financing and lender activities — preparing packages for TBK Bank, tracking borrowing-base and loan covenants, and assisting with renewals and negotiations</w:t>
      </w:r>
    </w:p>
    <w:p>
      <w:pPr>
        <w:pStyle w:val="CLALTRNormal"/>
        <w:numPr>
          <w:ilvl w:val="0"/>
          <w:numId w:val="10"/>
        </w:numPr>
        <w:jc w:val="both"/>
      </w:pPr>
      <w:r>
        <w:rPr/>
        <w:t xml:space="preserve">Provide periodic discussions with ownership and management to share insight and perspective as financial questions arise</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t xml:space="preserve">Payroll preparation</w:t>
      </w:r>
    </w:p>
    <w:p w14:paraId="218FBFCA" w14:textId="77777777" w:rsidR="007C1374" w:rsidRDefault="007C1374" w:rsidP="004232B8">
      <w:pPr>
        <w:pStyle w:val="CLALTRNormal"/>
        <w:numPr>
          <w:ilvl w:val="0"/>
          <w:numId w:val="11"/>
        </w:numPr>
        <w:jc w:val="both"/>
      </w:pPr>
      <w:r>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typically a brief addendum to this letter rather than a new engagement letter — with fees adjusted accordingly.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t>Sound financial reporting and a clean annual review depend on a clear separation of duties. The Client maintains responsibility for its own accounting operations, transactions, and internal controls, and will give ONYX timely, accurate records and the access needed to do its work. To keep the books accurate and the annual review on track, the Client is responsible for the following, with all approvals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t>Provide ONYX with timely access to QuickBooks, bank and credit-card statements, and the records and documentation requested for the annual review.</w:t>
      </w:r>
    </w:p>
    <w:p w14:paraId="5D4CD6F1" w14:textId="77777777" w:rsidR="007C1374" w:rsidRPr="00D0294B" w:rsidRDefault="007C1374" w:rsidP="004232B8">
      <w:pPr>
        <w:pStyle w:val="CLALTRNormal"/>
        <w:numPr>
          <w:ilvl w:val="0"/>
          <w:numId w:val="21"/>
        </w:numPr>
        <w:jc w:val="both"/>
        <w:rPr>
          <w:highlight w:val="yellow"/>
        </w:rPr>
      </w:pPr>
      <w:r w:rsidRPr="00D0294B">
        <w:rPr/>
        <w:t>Provide timely, accurate information and a primary point of contact so the books stay current and the annual review stays on track.</w:t>
      </w:r>
    </w:p>
    <w:p w14:paraId="67DECFEA" w14:textId="77777777" w:rsidR="007C1374" w:rsidRPr="00D0294B" w:rsidRDefault="007C1374" w:rsidP="004232B8">
      <w:pPr>
        <w:pStyle w:val="CLALTRNormal"/>
        <w:numPr>
          <w:ilvl w:val="0"/>
          <w:numId w:val="21"/>
        </w:numPr>
        <w:jc w:val="both"/>
        <w:rPr>
          <w:highlight w:val="yellow"/>
        </w:rPr>
      </w:pPr>
      <w:r w:rsidRPr="00D0294B">
        <w:rPr/>
        <w:t>Retain approval authority and internal control over the Client’s own transactions — including invoices and payments, new vendors and customers, wire transfers, payroll changes, and credit-card expenses.</w:t>
      </w:r>
    </w:p>
    <w:p w14:paraId="69DB2137" w14:textId="77777777" w:rsidR="007C1374" w:rsidRPr="00D0294B" w:rsidRDefault="007C1374" w:rsidP="004232B8">
      <w:pPr>
        <w:pStyle w:val="CLALTRNormal"/>
        <w:numPr>
          <w:ilvl w:val="0"/>
          <w:numId w:val="21"/>
        </w:numPr>
        <w:jc w:val="both"/>
        <w:rPr>
          <w:highlight w:val="yellow"/>
        </w:rPr>
      </w:pPr>
      <w:r>
        <w:rPr/>
        <w:t>Review and approve (or delegate to the ONYX controller if applicable) bank statements and the related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December 31, 2026</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t>Services performed by Staff Accountant</w:t>
      </w:r>
      <w:r>
        <w:rPr/>
        <w:tab/>
      </w:r>
      <w:r w:rsidRPr="003B7E8F">
        <w:rPr/>
        <w:tab/>
      </w:r>
      <w:r w:rsidRPr="003B7E8F">
        <w:rPr/>
        <w:tab/>
      </w:r>
      <w:r w:rsidRPr="003B7E8F">
        <w:rPr/>
        <w:tab/>
      </w:r>
      <w:r w:rsidRPr="003B7E8F">
        <w:rPr/>
        <w:tab/>
      </w:r>
      <w:r w:rsidRPr="003B7E8F">
        <w:rPr/>
        <w:tab/>
      </w:r>
      <w:r w:rsidRPr="003B7E8F">
        <w:rPr/>
        <w:tab/>
      </w:r>
      <w:proofErr w:type="gramStart"/>
      <w:r w:rsidRPr="003B7E8F">
        <w:rPr/>
        <w:t>$100</w:t>
      </w:r>
      <w:proofErr w:type="gramEnd"/>
      <w:r w:rsidRPr="003B7E8F">
        <w:rPr/>
        <w:t xml:space="preserve"> per hour</w:t>
      </w:r>
    </w:p>
    <w:p w14:paraId="51CD06CC" w14:textId="77777777" w:rsidR="007C1374" w:rsidRDefault="007C1374" w:rsidP="004232B8">
      <w:pPr>
        <w:pStyle w:val="CLALTRNormal"/>
        <w:numPr>
          <w:ilvl w:val="0"/>
          <w:numId w:val="13"/>
        </w:numPr>
        <w:jc w:val="both"/>
      </w:pPr>
      <w:r w:rsidRPr="003B7E8F">
        <w:rPr/>
        <w:t>Services performed by Controller</w:t>
      </w:r>
      <w:r w:rsidRPr="003B7E8F">
        <w:rPr/>
        <w:tab/>
      </w:r>
      <w:r w:rsidRPr="003B7E8F">
        <w:rPr/>
        <w:tab/>
      </w:r>
      <w:r w:rsidRPr="003B7E8F">
        <w:rPr/>
        <w:tab/>
      </w:r>
      <w:r w:rsidRPr="003B7E8F">
        <w:rPr/>
        <w:tab/>
      </w:r>
      <w:r w:rsidRPr="003B7E8F">
        <w:rPr/>
        <w:tab/>
      </w:r>
      <w:r w:rsidRPr="003B7E8F">
        <w:rPr/>
        <w:tab/>
        <w:t>$185 per hour</w:t>
      </w:r>
    </w:p>
    <w:p w14:paraId="418AB107" w14:textId="77777777" w:rsidR="007C1374" w:rsidRDefault="007C1374" w:rsidP="004232B8">
      <w:pPr>
        <w:pStyle w:val="CLALTRNormal"/>
        <w:numPr>
          <w:ilvl w:val="0"/>
          <w:numId w:val="13"/>
        </w:numPr>
        <w:jc w:val="both"/>
      </w:pPr>
      <w:r w:rsidRPr="003B7E8F">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t/>
      </w:r>
      <w:r w:rsidRPr="003B7E8F">
        <w:rPr/>
        <w:tab/>
      </w:r>
      <w:r w:rsidRPr="003B7E8F">
        <w:rPr/>
        <w:tab/>
      </w:r>
      <w:r w:rsidRPr="003B7E8F">
        <w:rPr/>
        <w:tab/>
        <w:t>$250 per hour</w:t>
      </w:r>
    </w:p>
    <w:p w14:paraId="00B6291F" w14:textId="4D048969" w:rsidR="007C1374" w:rsidRDefault="007C1374" w:rsidP="004232B8">
      <w:pPr>
        <w:pStyle w:val="CLALTRNormal"/>
        <w:jc w:val="both"/>
      </w:pPr>
      <w:proofErr w:type="gramStart"/>
      <w:r>
        <w:rPr/>
        <w:t>Subsequent to</w:t>
      </w:r>
      <w:proofErr w:type="gramEnd"/>
      <w:r>
        <w:rPr/>
        <w:t xml:space="preserve"> the billing rate guarantee date, the rates </w:t>
      </w:r>
      <w:r w:rsidRPr="008E719E">
        <w:rPr/>
        <w:t>may be adjusted</w:t>
      </w:r>
      <w:r w:rsidR="00CD0CCA">
        <w:rPr/>
        <w:t xml:space="preserve"> only</w:t>
      </w:r>
      <w:r w:rsidRPr="008E719E">
        <w:rPr/>
        <w:t xml:space="preserve"> as </w:t>
      </w:r>
      <w:r>
        <w:rPr/>
        <w:t>agreed</w:t>
      </w:r>
      <w:r w:rsidR="00CD0CCA">
        <w:rPr/>
        <w:t xml:space="preserve"> in writing</w:t>
      </w:r>
      <w:r>
        <w:rPr/>
        <w:t xml:space="preserve"> between </w:t>
      </w:r>
      <w:r w:rsidR="00B94063">
        <w:rPr/>
        <w:t xml:space="preserve">the Client </w:t>
      </w:r>
      <w:r>
        <w:rPr/>
        <w:t xml:space="preserve">and </w:t>
      </w:r>
      <w:r w:rsidR="003A2EF5">
        <w:rPr/>
        <w:t>ONYX</w:t>
      </w:r>
      <w:r w:rsidRPr="007956FE">
        <w:rPr/>
        <w:t xml:space="preserve"> </w:t>
      </w:r>
      <w:r>
        <w:rPr/>
        <w:t>through an addendum to this engagement letter</w:t>
      </w:r>
      <w:r w:rsidRPr="0065309C">
        <w:rPr/>
        <w:t>.</w:t>
      </w:r>
    </w:p>
    <w:p w14:paraId="0C381B6E" w14:textId="6FE7FD06" w:rsidR="007C1374" w:rsidRDefault="007C1374" w:rsidP="004232B8">
      <w:pPr>
        <w:pStyle w:val="CLALTRNormal"/>
        <w:jc w:val="both"/>
      </w:pPr>
      <w:r>
        <w:rPr/>
        <w:t>Our fees for these services will be based on the time involved and the degree of responsibility and skill required, plus expenses, including internal and administrative charges. Our fees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anticipated fees.</w:t>
      </w:r>
    </w:p>
    <w:p w14:paraId="34CB76F0" w14:textId="1C983FFC" w:rsidR="000679EF" w:rsidRDefault="00E4186A" w:rsidP="004232B8">
      <w:pPr>
        <w:pStyle w:val="CLALTRNormal"/>
        <w:jc w:val="both"/>
      </w:pPr>
      <w:r>
        <w:rPr/>
        <w:t xml:space="preserve"> </w:t>
      </w:r>
      <w:proofErr w:type="gramStart"/>
      <w:r>
        <w:rPr/>
        <w:t>During the course of</w:t>
      </w:r>
      <w:proofErr w:type="gramEnd"/>
      <w:r>
        <w:rPr/>
        <w:t xml:space="preserve"> our engagement, we may incur o</w:t>
      </w:r>
      <w:r w:rsidR="000679EF">
        <w:rPr/>
        <w:t xml:space="preserve">ut-of-pocket </w:t>
      </w:r>
      <w:r w:rsidR="00057067">
        <w:rPr/>
        <w:t xml:space="preserve">costs and </w:t>
      </w:r>
      <w:r w:rsidR="000679EF">
        <w:rPr/>
        <w:t>expenses</w:t>
      </w:r>
      <w:r>
        <w:rPr/>
        <w:t xml:space="preserve"> on your behalf. These costs and </w:t>
      </w:r>
      <w:r w:rsidR="00057067">
        <w:rPr/>
        <w:t xml:space="preserve">expenses, which you will be responsible </w:t>
      </w:r>
      <w:proofErr w:type="gramStart"/>
      <w:r w:rsidR="00057067">
        <w:rPr/>
        <w:t>to pay</w:t>
      </w:r>
      <w:proofErr w:type="gramEnd"/>
      <w:r w:rsidR="00057067">
        <w:rPr/>
        <w:t xml:space="preserve">, include, but are not necessarily limited </w:t>
      </w:r>
      <w:proofErr w:type="gramStart"/>
      <w:r w:rsidR="00057067">
        <w:rPr/>
        <w:t>to,</w:t>
      </w:r>
      <w:proofErr w:type="gramEnd"/>
      <w:r w:rsidR="000679EF">
        <w:rPr/>
        <w:t xml:space="preserve"> out-of-town travel, meals, and lodging</w:t>
      </w:r>
      <w:r w:rsidR="001D541D">
        <w:rPr/>
        <w:t>. These out-of-pocket costs and expenses</w:t>
      </w:r>
      <w:r w:rsidR="000679EF">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financial records and supporting schedules</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t>Retainer</w:t>
      </w:r>
    </w:p>
    <w:p w14:paraId="4E866157" w14:textId="1978B377" w:rsidR="007C1374" w:rsidRDefault="007C1374" w:rsidP="004232B8">
      <w:pPr>
        <w:pStyle w:val="CLALTRNormal"/>
        <w:jc w:val="both"/>
      </w:pPr>
      <w:r w:rsidRPr="000D38AB">
        <w:rPr/>
        <w:t xml:space="preserve">In connection with this engagement, </w:t>
      </w:r>
      <w:r w:rsidR="002F6675">
        <w:rPr/>
        <w:t>ONYX</w:t>
      </w:r>
      <w:r w:rsidR="002F6675" w:rsidRPr="000D38AB">
        <w:rPr/>
        <w:t xml:space="preserve"> </w:t>
      </w:r>
      <w:r w:rsidRPr="000D38AB">
        <w:rPr/>
        <w:t>must receive a retainer in the initial amount of</w:t>
      </w:r>
      <w:r>
        <w:rPr/>
        <w:t xml:space="preserve"> </w:t>
      </w:r>
      <w:r w:rsidRPr="000D38AB">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3,000</w:t>
      </w:r>
      <w:r w:rsidRPr="004F3EA8">
        <w:rPr>
          <w:b/>
          <w:i/>
        </w:rPr>
        <w:fldChar w:fldCharType="end"/>
      </w:r>
      <w:r w:rsidR="00B139CD">
        <w:rPr>
          <w:bCs/>
          <w:iCs/>
        </w:rPr>
        <w:t xml:space="preserve"> (the “Retainer”)</w:t>
      </w:r>
      <w:r w:rsidRPr="000D38AB">
        <w:rPr/>
        <w:t>, payable prior to the commencement of any services.</w:t>
      </w:r>
      <w:r w:rsidRPr="004E19D8">
        <w:rPr/>
        <w:t xml:space="preserve"> </w:t>
      </w:r>
      <w:r w:rsidR="00474FC8">
        <w:rPr/>
        <w:t xml:space="preserve">The Client expressly grants ONYX a possessory security interest </w:t>
      </w:r>
      <w:r w:rsidR="00DE5CA9">
        <w:rPr/>
        <w:t>in the</w:t>
      </w:r>
      <w:r w:rsidR="00B139CD">
        <w:rPr/>
        <w:t xml:space="preserve"> Retainer</w:t>
      </w:r>
      <w:r w:rsidR="007738D8">
        <w:rPr/>
        <w:t xml:space="preserve"> to secure the payment of ONYX’s fees and costs. The Client also authorizes ONYX to withdraw from the Retainer any sums necessary to </w:t>
      </w:r>
      <w:r w:rsidR="00E57650">
        <w:rPr/>
        <w:t>pay fees charged, and costs incurred, from ONYX’s engagement.</w:t>
      </w:r>
      <w:r w:rsidR="00DE5CA9">
        <w:rPr/>
        <w:t xml:space="preserve"> </w:t>
      </w:r>
      <w:r w:rsidRPr="002D016D">
        <w:rPr/>
        <w:t>T</w:t>
      </w:r>
      <w:r w:rsidRPr="00901E7F">
        <w:rPr/>
        <w:t xml:space="preserve">he </w:t>
      </w:r>
      <w:r w:rsidR="00582DBB">
        <w:rPr/>
        <w:t>R</w:t>
      </w:r>
      <w:r w:rsidRPr="00901E7F">
        <w:rPr/>
        <w:t xml:space="preserve">etainer will be applied to </w:t>
      </w:r>
      <w:r w:rsidR="002F6675">
        <w:rPr/>
        <w:t>ONYX’s</w:t>
      </w:r>
      <w:r w:rsidR="002F6675" w:rsidRPr="00901E7F">
        <w:rPr/>
        <w:t xml:space="preserve"> </w:t>
      </w:r>
      <w:r w:rsidRPr="00901E7F">
        <w:rPr/>
        <w:t>final invoice</w:t>
      </w:r>
      <w:r w:rsidR="00582DBB">
        <w:rPr/>
        <w:t>. The Client must also still pay any remaining balance due to ONYX</w:t>
      </w:r>
      <w:r w:rsidR="00A66919">
        <w:rPr/>
        <w:t xml:space="preserve"> after the Retainer is applied to the final invoice. We will refund to the Client any unearned balance remaining from the Retainer when we conclude our engagement</w:t>
      </w:r>
      <w:r w:rsidRPr="00D85D47">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are not binding unless made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t>Subcontractors</w:t>
      </w:r>
      <w:r w:rsidRPr="005067D8">
        <w:rPr>
          <w:rStyle w:val="CLALTRHiddenTextChar"/>
        </w:rPr>
        <w:t xml:space="preserve">    </w:t>
      </w:r>
    </w:p>
    <w:p w14:paraId="42041554" w14:textId="6A85CB98" w:rsidR="007C1374" w:rsidRDefault="003A2EF5" w:rsidP="004232B8">
      <w:pPr>
        <w:pStyle w:val="CLALTRNormal"/>
        <w:jc w:val="both"/>
      </w:pPr>
      <w:r>
        <w:rPr/>
        <w:t>ONYX</w:t>
      </w:r>
      <w:r w:rsidR="007C1374" w:rsidRPr="007C62AB">
        <w:rPr/>
        <w:t xml:space="preserve"> may, at times, use subcontractors to perform services under this agreement, and </w:t>
      </w:r>
      <w:r w:rsidR="00174820">
        <w:rPr/>
        <w:t>said subcontractors</w:t>
      </w:r>
      <w:r w:rsidR="00174820" w:rsidRPr="007C62AB">
        <w:rPr/>
        <w:t xml:space="preserve"> </w:t>
      </w:r>
      <w:r w:rsidR="007C1374" w:rsidRPr="007C62AB">
        <w:rPr/>
        <w:t xml:space="preserve">may have access to </w:t>
      </w:r>
      <w:r w:rsidR="00174820">
        <w:rPr/>
        <w:t>the Client’s</w:t>
      </w:r>
      <w:r w:rsidR="00174820" w:rsidRPr="007C62AB">
        <w:rPr/>
        <w:t xml:space="preserve"> </w:t>
      </w:r>
      <w:r w:rsidR="007C1374" w:rsidRPr="007C62AB">
        <w:rPr/>
        <w:t xml:space="preserve">information and records. Any such subcontractors will be subject to the same restrictions on the use of such information and records as apply to </w:t>
      </w:r>
      <w:r>
        <w:rPr/>
        <w:t>ONYX</w:t>
      </w:r>
      <w:r w:rsidR="007C1374" w:rsidRPr="007C62AB">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Korman LLC</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