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52B1" w14:textId="77777777" w:rsidR="000C011F" w:rsidRDefault="00B92DB9" w:rsidP="000C011F">
      <w:pPr>
        <w:pStyle w:val="CLAProNormal"/>
      </w:pPr>
      <w:r>
        <w:rPr>
          <w:noProof/>
        </w:rPr>
        <w:drawing>
          <wp:anchor distT="0" distB="0" distL="114300" distR="114300" simplePos="0" relativeHeight="251730944" behindDoc="0" locked="0" layoutInCell="1" allowOverlap="1" wp14:anchorId="08E38C4D" wp14:editId="2A31B630">
            <wp:simplePos x="0" y="0"/>
            <wp:positionH relativeFrom="column">
              <wp:posOffset>-922020</wp:posOffset>
            </wp:positionH>
            <wp:positionV relativeFrom="paragraph">
              <wp:posOffset>-3528060</wp:posOffset>
            </wp:positionV>
            <wp:extent cx="7778115" cy="2994660"/>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COVER-Group-Reviewing-Document.jpg"/>
                    <pic:cNvPicPr/>
                  </pic:nvPicPr>
                  <pic:blipFill>
                    <a:blip r:embed="rId8">
                      <a:extLst>
                        <a:ext uri="{28A0092B-C50C-407E-A947-70E740481C1C}">
                          <a14:useLocalDpi xmlns:a14="http://schemas.microsoft.com/office/drawing/2010/main" val="0"/>
                        </a:ext>
                      </a:extLst>
                    </a:blip>
                    <a:stretch>
                      <a:fillRect/>
                    </a:stretch>
                  </pic:blipFill>
                  <pic:spPr>
                    <a:xfrm>
                      <a:off x="0" y="0"/>
                      <a:ext cx="7778115" cy="2994660"/>
                    </a:xfrm>
                    <a:prstGeom prst="rect">
                      <a:avLst/>
                    </a:prstGeom>
                  </pic:spPr>
                </pic:pic>
              </a:graphicData>
            </a:graphic>
            <wp14:sizeRelH relativeFrom="margin">
              <wp14:pctWidth>0</wp14:pctWidth>
            </wp14:sizeRelH>
            <wp14:sizeRelV relativeFrom="margin">
              <wp14:pctHeight>0</wp14:pctHeight>
            </wp14:sizeRelV>
          </wp:anchor>
        </w:drawing>
      </w:r>
      <w:r w:rsidR="000C011F">
        <w:rPr>
          <w:noProof/>
        </w:rPr>
        <mc:AlternateContent>
          <mc:Choice Requires="wps">
            <w:drawing>
              <wp:anchor distT="0" distB="0" distL="114300" distR="114300" simplePos="0" relativeHeight="251660800" behindDoc="0" locked="0" layoutInCell="1" allowOverlap="1" wp14:anchorId="2AD18564" wp14:editId="2654A389">
                <wp:simplePos x="0" y="0"/>
                <wp:positionH relativeFrom="column">
                  <wp:posOffset>-914400</wp:posOffset>
                </wp:positionH>
                <wp:positionV relativeFrom="paragraph">
                  <wp:posOffset>-530860</wp:posOffset>
                </wp:positionV>
                <wp:extent cx="7778115" cy="133350"/>
                <wp:effectExtent l="0" t="0" r="0" b="0"/>
                <wp:wrapNone/>
                <wp:docPr id="27" name="Rectangle 27"/>
                <wp:cNvGraphicFramePr/>
                <a:graphic xmlns:a="http://schemas.openxmlformats.org/drawingml/2006/main">
                  <a:graphicData uri="http://schemas.microsoft.com/office/word/2010/wordprocessingShape">
                    <wps:wsp>
                      <wps:cNvSpPr/>
                      <wps:spPr>
                        <a:xfrm>
                          <a:off x="0" y="0"/>
                          <a:ext cx="7778115" cy="1333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8ECC87" id="Rectangle 27" o:spid="_x0000_s1026" style="position:absolute;margin-left:-1in;margin-top:-41.8pt;width:612.45pt;height:10.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" fillcolor="black [3213]" stroked="f" strokeweight="2pt"/>
            </w:pict>
          </mc:Fallback>
        </mc:AlternateContent>
      </w:r>
    </w:p>
    <w:p w14:paraId="5F121502" w14:textId="77777777" w:rsidR="000C011F" w:rsidRPr="009F7B4F" w:rsidRDefault="00B36DF9" w:rsidP="000C011F">
      <w:pPr>
        <w:pStyle w:val="CLAProNormal"/>
        <w:pBdr>
          <w:left w:val="single" w:sz="12" w:space="16" w:color="003767"/>
        </w:pBdr>
        <w:ind w:left="4140"/>
        <w:rPr>
          <w:rFonts w:ascii="Corbel" w:hAnsi="Corbel"/>
          <w:b/>
          <w:sz w:val="28"/>
        </w:rPr>
      </w:pPr>
      <w:r>
        <w:fldChar w:fldCharType="begin">
          <w:ffData>
            <w:name w:val=""/>
            <w:enabled/>
            <w:calcOnExit w:val="0"/>
            <w:textInput>
              <w:default w:val="[Date of letter]"/>
            </w:textInput>
          </w:ffData>
        </w:fldChar>
      </w:r>
      <w:r>
        <w:instrText xml:space="preserve"> FORMTEXT </w:instrText>
      </w:r>
      <w:r>
        <w:fldChar w:fldCharType="separate"/>
      </w:r>
      <w:r>
        <w:rPr>
          <w:noProof/>
        </w:rPr>
        <w:t>October 5, 2026</w:t>
      </w:r>
      <w:r>
        <w:fldChar w:fldCharType="end"/>
      </w:r>
    </w:p>
    <w:p w14:paraId="53BCDD38" w14:textId="77777777" w:rsidR="000C011F" w:rsidRPr="00473C08" w:rsidRDefault="005A153F" w:rsidP="000C011F">
      <w:pPr>
        <w:pStyle w:val="CLAProSubtitle"/>
        <w:rPr>
          <w:szCs w:val="32"/>
        </w:rPr>
      </w:pPr>
      <w:r>
        <w:t xml:space="preserve">Engagement Proposal &amp; Agreement</w:t>
      </w:r>
      <w:r>
        <w:br/>
        <w:t xml:space="preserve">Prepared exclusively for</w:t>
      </w:r>
    </w:p>
    <w:p w14:paraId="0F7F91FA" w14:textId="77777777" w:rsidR="000C011F" w:rsidRPr="001E220F" w:rsidRDefault="00B36DF9" w:rsidP="000C011F">
      <w:pPr>
        <w:pStyle w:val="CLAProTitle"/>
        <w:rPr>
          <w:color w:val="660003"/>
        </w:rPr>
      </w:pPr>
      <w:r w:rsidRPr="00C53667">
        <w:rPr>
          <w:color w:val="auto"/>
        </w:rPr>
        <w:fldChar w:fldCharType="begin">
          <w:ffData>
            <w:name w:val="Text1"/>
            <w:enabled/>
            <w:calcOnExit w:val="0"/>
            <w:textInput>
              <w:default w:val="[Client Name]"/>
            </w:textInput>
          </w:ffData>
        </w:fldChar>
      </w:r>
      <w:bookmarkStart w:id="0" w:name="Text1"/>
      <w:r w:rsidRPr="00C53667">
        <w:rPr>
          <w:color w:val="auto"/>
        </w:rPr>
        <w:instrText xml:space="preserve"> FORMTEXT </w:instrText>
      </w:r>
      <w:r w:rsidRPr="00C53667">
        <w:rPr>
          <w:color w:val="auto"/>
        </w:rPr>
      </w:r>
      <w:r w:rsidRPr="00C53667">
        <w:rPr>
          <w:color w:val="auto"/>
        </w:rPr>
        <w:fldChar w:fldCharType="separate"/>
      </w:r>
      <w:r w:rsidRPr="00C53667">
        <w:rPr>
          <w:noProof/>
          <w:color w:val="auto"/>
        </w:rPr>
        <w:t>Arizona Center for Hand to Shoulder Surgery</w:t>
      </w:r>
      <w:r w:rsidRPr="00C53667">
        <w:rPr>
          <w:color w:val="auto"/>
        </w:rPr>
        <w:fldChar w:fldCharType="end"/>
      </w:r>
      <w:bookmarkEnd w:id="0"/>
    </w:p>
    <w:p w14:paraId="2C0FD520" w14:textId="77777777" w:rsidR="000C011F" w:rsidRPr="00B36DF9" w:rsidRDefault="000C011F" w:rsidP="000C011F">
      <w:pPr>
        <w:pStyle w:val="CLAProNormalNoSpaceAfter"/>
        <w:ind w:left="4140" w:hanging="4590"/>
      </w:pPr>
    </w:p>
    <w:p>
      <w:pPr>
        <w:pStyle w:val="CLAProNormalNoSpaceAfter"/>
        <w:ind w:left="4140" w:hanging="4590"/>
      </w:pPr>
    </w:p>
    <w:p w14:paraId="3FF1B4B8" w14:textId="77777777" w:rsidR="000C011F" w:rsidRPr="00B36DF9" w:rsidRDefault="000C011F" w:rsidP="000C011F">
      <w:pPr>
        <w:pStyle w:val="CLAProNormalNoSpaceAfter"/>
        <w:ind w:left="4140"/>
      </w:pPr>
    </w:p>
    <w:p w14:paraId="36AEBA35" w14:textId="77777777" w:rsidR="000C011F" w:rsidRPr="00962B68" w:rsidRDefault="000C011F" w:rsidP="000C011F">
      <w:pPr>
        <w:pStyle w:val="CLAProNormalNoSpaceAfter"/>
        <w:ind w:left="4140"/>
        <w:rPr>
          <w:i/>
        </w:rPr>
      </w:pPr>
      <w:r w:rsidRPr="00962B68">
        <w:rPr>
          <w:i/>
        </w:rPr>
        <w:t xml:space="preserve">Prepared by: </w:t>
      </w:r>
    </w:p>
    <w:p w14:paraId="682A420B" w14:textId="77777777" w:rsidR="00B36DF9" w:rsidRPr="00962B68" w:rsidRDefault="00C53667" w:rsidP="00B36DF9">
      <w:pPr>
        <w:pStyle w:val="CLAProNormalNoSpaceAfter"/>
        <w:ind w:left="4140"/>
        <w:rPr>
          <w:b/>
        </w:rPr>
      </w:pPr>
      <w:r>
        <w:rPr>
          <w:b/>
        </w:rPr>
        <w:t>Steven Nikolov</w:t>
      </w:r>
    </w:p>
    <w:p w14:paraId="38348214" w14:textId="77777777" w:rsidR="00B36DF9" w:rsidRPr="00F900CE" w:rsidRDefault="00C53667" w:rsidP="00B36DF9">
      <w:pPr>
        <w:pStyle w:val="CLAProNormalNoSpaceAfter"/>
        <w:ind w:left="4140"/>
        <w:rPr>
          <w:b/>
        </w:rPr>
      </w:pPr>
      <w:r>
        <w:t>Steven@OnyxCFO.com</w:t>
      </w:r>
    </w:p>
    <w:p w14:paraId="516F0A30" w14:textId="77777777" w:rsidR="004E0F3F" w:rsidRDefault="00B36DF9" w:rsidP="00B36DF9">
      <w:pPr>
        <w:pStyle w:val="CLAProNormalNoSpaceAfter"/>
        <w:ind w:left="4140"/>
      </w:pPr>
      <w:r w:rsidRPr="00F900CE">
        <w:t xml:space="preserve">direct </w:t>
      </w:r>
      <w:r w:rsidR="00C53667">
        <w:t>480-999-5509</w:t>
      </w:r>
      <w:r w:rsidRPr="00F900CE">
        <w:t xml:space="preserve"> | mobile </w:t>
      </w:r>
      <w:r w:rsidR="00C53667">
        <w:t>480-772-5612</w:t>
      </w:r>
    </w:p>
    <w:p w14:paraId="2BE6B3DF" w14:textId="77777777" w:rsidR="00780EB4" w:rsidRPr="00780EB4" w:rsidRDefault="00780EB4" w:rsidP="00780EB4">
      <w:pPr>
        <w:pStyle w:val="CLAProNormal"/>
      </w:pPr>
    </w:p>
    <w:p w14:paraId="5CEF5EC3" w14:textId="77777777" w:rsidR="00B33543" w:rsidRDefault="00B33543" w:rsidP="00B36DF9">
      <w:pPr>
        <w:pStyle w:val="CLAProNormal"/>
        <w:sectPr w:rsidR="00B33543" w:rsidSect="00F05C4E">
          <w:headerReference w:type="default" r:id="rId9"/>
          <w:footerReference w:type="default" r:id="rId10"/>
          <w:headerReference w:type="first" r:id="rId11"/>
          <w:pgSz w:w="12240" w:h="15840"/>
          <w:pgMar w:top="7488" w:right="1440" w:bottom="1440" w:left="1440" w:header="720" w:footer="720" w:gutter="0"/>
          <w:cols w:space="720"/>
          <w:titlePg/>
          <w:docGrid w:linePitch="360"/>
        </w:sectPr>
      </w:pPr>
    </w:p>
    <w:p w14:paraId="6613487D" w14:textId="77777777" w:rsidR="00B33543" w:rsidRDefault="00B33543" w:rsidP="00B36DF9">
      <w:pPr>
        <w:pStyle w:val="CLAProNormal"/>
      </w:pPr>
    </w:p>
    <w:p w14:paraId="0CD0C199" w14:textId="77777777" w:rsidR="00B36DF9" w:rsidRDefault="00B36DF9" w:rsidP="00B36DF9">
      <w:pPr>
        <w:pStyle w:val="CLAProNormal"/>
      </w:pPr>
    </w:p>
    <w:p w14:paraId="3F9FCA6C" w14:textId="77777777" w:rsidR="00780EB4" w:rsidRPr="00B36DF9" w:rsidRDefault="00780EB4" w:rsidP="00B36DF9">
      <w:pPr>
        <w:pStyle w:val="CLAProNormal"/>
        <w:sectPr w:rsidR="00780EB4" w:rsidRPr="00B36DF9" w:rsidSect="00B33543">
          <w:type w:val="continuous"/>
          <w:pgSz w:w="12240" w:h="15840"/>
          <w:pgMar w:top="7488" w:right="1440" w:bottom="1440" w:left="1440" w:header="720" w:footer="720" w:gutter="0"/>
          <w:cols w:space="720"/>
          <w:titlePg/>
          <w:docGrid w:linePitch="360"/>
        </w:sectPr>
      </w:pPr>
    </w:p>
    <w:p w14:paraId="02B033DA" w14:textId="77777777" w:rsidR="007C1374" w:rsidRDefault="007C1374" w:rsidP="007C1374">
      <w:pPr>
        <w:pStyle w:val="CLALTRNormal"/>
      </w:pPr>
      <w:r>
        <w:fldChar w:fldCharType="begin">
          <w:ffData>
            <w:name w:val="Text25"/>
            <w:enabled/>
            <w:calcOnExit w:val="0"/>
            <w:textInput>
              <w:default w:val="[Date]"/>
            </w:textInput>
          </w:ffData>
        </w:fldChar>
      </w:r>
      <w:r>
        <w:instrText xml:space="preserve"> FORMTEXT </w:instrText>
      </w:r>
      <w:r>
        <w:fldChar w:fldCharType="separate"/>
      </w:r>
      <w:r>
        <w:rPr>
          <w:noProof/>
        </w:rPr>
        <w:t>October 5, 2026</w:t>
      </w:r>
      <w:r>
        <w:fldChar w:fldCharType="end"/>
      </w:r>
    </w:p>
    <w:p w14:paraId="3490F88E" w14:textId="77777777" w:rsidR="007C1374" w:rsidRDefault="007C1374" w:rsidP="007C1374">
      <w:pPr>
        <w:pStyle w:val="CLALTRAddressorSignature"/>
      </w:pPr>
      <w:r>
        <w:fldChar w:fldCharType="begin">
          <w:ffData>
            <w:name w:val="Text46"/>
            <w:enabled/>
            <w:calcOnExit w:val="0"/>
            <w:textInput>
              <w:default w:val="[Client Name]"/>
            </w:textInput>
          </w:ffData>
        </w:fldChar>
      </w:r>
      <w:r>
        <w:instrText xml:space="preserve"> FORMTEXT </w:instrText>
      </w:r>
      <w:r>
        <w:fldChar w:fldCharType="separate"/>
      </w:r>
      <w:r>
        <w:rPr>
          <w:noProof/>
        </w:rPr>
        <w:t>Arizona Center for Hand to Shoulder Surgery, [entity type]</w:t>
      </w:r>
      <w:r>
        <w:fldChar w:fldCharType="end"/>
      </w:r>
      <w:bookmarkEnd w:id="2"/>
    </w:p>
    <w:p w14:paraId="3490F88E" w14:textId="77777777" w:rsidR="007C1374" w:rsidRDefault="007C1374" w:rsidP="007C1374">
      <w:pPr>
        <w:pStyle w:val="CLALTRAddressorSignature"/>
      </w:pPr>
      <w:r>
        <w:t xml:space="preserve">Attn: Mark Williamson, </w:t>
      </w:r>
      <w:r>
        <w:rPr/>
        <w:t>CFO</w:t>
      </w:r>
    </w:p>
    <w:p w14:paraId="389C2558" w14:textId="77777777" w:rsidR="007C1374" w:rsidRDefault="007C1374" w:rsidP="007C1374">
      <w:pPr>
        <w:pStyle w:val="CLALTRAddressorSignature"/>
      </w:pPr>
      <w:r>
        <w:fldChar w:fldCharType="begin">
          <w:ffData>
            <w:name w:val="Text11"/>
            <w:enabled/>
            <w:calcOnExit w:val="0"/>
            <w:textInput>
              <w:default w:val="[Client Address]"/>
            </w:textInput>
          </w:ffData>
        </w:fldChar>
      </w:r>
      <w:bookmarkStart w:id="3" w:name="Text11"/>
      <w:r>
        <w:instrText xml:space="preserve"> FORMTEXT </w:instrText>
      </w:r>
      <w:r>
        <w:fldChar w:fldCharType="separate"/>
      </w:r>
      <w:r>
        <w:rPr>
          <w:noProof/>
        </w:rPr>
        <w:t>[Street address]</w:t>
      </w:r>
      <w:r>
        <w:fldChar w:fldCharType="end"/>
      </w:r>
      <w:bookmarkEnd w:id="3"/>
    </w:p>
    <w:p w14:paraId="59517EED" w14:textId="77777777" w:rsidR="007C1374" w:rsidRDefault="007C1374" w:rsidP="007C1374">
      <w:pPr>
        <w:pStyle w:val="CLALTRAddressorSignature"/>
      </w:pPr>
      <w:r>
        <w:fldChar w:fldCharType="begin">
          <w:ffData>
            <w:name w:val="Text12"/>
            <w:enabled/>
            <w:calcOnExit w:val="0"/>
            <w:textInput>
              <w:default w:val="[Client Address]"/>
            </w:textInput>
          </w:ffData>
        </w:fldChar>
      </w:r>
      <w:bookmarkStart w:id="4" w:name="Text12"/>
      <w:r>
        <w:instrText xml:space="preserve"> FORMTEXT </w:instrText>
      </w:r>
      <w:r>
        <w:fldChar w:fldCharType="separate"/>
      </w:r>
      <w:r>
        <w:rPr>
          <w:noProof/>
        </w:rPr>
        <w:t>[City], AZ [ZIP]</w:t>
      </w:r>
      <w:r>
        <w:fldChar w:fldCharType="end"/>
      </w:r>
      <w:bookmarkEnd w:id="4"/>
    </w:p>
    <w:p w14:paraId="267F41C3" w14:textId="77777777" w:rsidR="007C1374" w:rsidRDefault="007C1374" w:rsidP="007C1374">
      <w:pPr>
        <w:pStyle w:val="CLALTRAddressorSignature"/>
      </w:pPr>
    </w:p>
    <w:p w14:paraId="7B0A8C62" w14:textId="77777777" w:rsidR="007C1374" w:rsidRDefault="007C1374" w:rsidP="007C1374">
      <w:pPr>
        <w:pStyle w:val="CLALTRNormal"/>
      </w:pPr>
      <w:r>
        <w:t xml:space="preserve">Dear </w:t>
      </w:r>
      <w:r>
        <w:fldChar w:fldCharType="begin">
          <w:ffData>
            <w:name w:val="Text22"/>
            <w:enabled/>
            <w:calcOnExit w:val="0"/>
            <w:textInput>
              <w:default w:val="[Salutation]"/>
            </w:textInput>
          </w:ffData>
        </w:fldChar>
      </w:r>
      <w:bookmarkStart w:id="5" w:name="Text22"/>
      <w:r>
        <w:instrText xml:space="preserve"> FORMTEXT </w:instrText>
      </w:r>
      <w:r>
        <w:fldChar w:fldCharType="separate"/>
      </w:r>
      <w:r>
        <w:rPr>
          <w:noProof/>
        </w:rPr>
        <w:t>Mark</w:t>
      </w:r>
      <w:r>
        <w:fldChar w:fldCharType="end"/>
      </w:r>
      <w:bookmarkEnd w:id="5"/>
      <w:r>
        <w:t>:</w:t>
      </w:r>
    </w:p>
    <w:p w14:paraId="5EB894CB" w14:textId="4773B955" w:rsidR="007C1374" w:rsidRDefault="008E3EF9" w:rsidP="00786782">
      <w:pPr>
        <w:pStyle w:val="CLALTRNormal"/>
        <w:jc w:val="both"/>
      </w:pPr>
      <w:r>
        <w:t>We appreciate your decision to retain Onyx Accounting Group, LLC (“ONYX”</w:t>
      </w:r>
      <w:r w:rsidR="00C0450E">
        <w:t xml:space="preserve">, “we”, </w:t>
      </w:r>
      <w:r w:rsidR="002460A9">
        <w:t>and/or “us” – as the context requires</w:t>
      </w:r>
      <w:r>
        <w:t xml:space="preserve">). </w:t>
      </w:r>
      <w:r w:rsidR="00C55784">
        <w:t xml:space="preserve">This letter </w:t>
      </w:r>
      <w:r w:rsidR="001026D4">
        <w:t xml:space="preserve">states </w:t>
      </w:r>
      <w:r w:rsidR="007C1374">
        <w:t xml:space="preserve">the terms and objectives of </w:t>
      </w:r>
      <w:r w:rsidR="00C0450E">
        <w:t>ONYX’s</w:t>
      </w:r>
      <w:r w:rsidR="00476913">
        <w:t xml:space="preserve"> </w:t>
      </w:r>
      <w:r w:rsidR="007C1374">
        <w:t xml:space="preserve">engagement and the nature and limitations of the services </w:t>
      </w:r>
      <w:r w:rsidR="00476913">
        <w:t>Onyx</w:t>
      </w:r>
      <w:r w:rsidR="007C1374">
        <w:t xml:space="preserve"> will provide for </w:t>
      </w:r>
      <w:r w:rsidR="007C1374">
        <w:fldChar w:fldCharType="begin">
          <w:ffData>
            <w:name w:val="Text46"/>
            <w:enabled/>
            <w:calcOnExit w:val="0"/>
            <w:textInput>
              <w:default w:val="[Client Name]"/>
            </w:textInput>
          </w:ffData>
        </w:fldChar>
      </w:r>
      <w:r w:rsidR="007C1374">
        <w:instrText xml:space="preserve"> FORMTEXT </w:instrText>
      </w:r>
      <w:r w:rsidR="007C1374">
        <w:fldChar w:fldCharType="separate"/>
      </w:r>
      <w:r w:rsidR="007C1374">
        <w:rPr>
          <w:noProof/>
        </w:rPr>
        <w:t>Arizona Center for Hand to Shoulder Surgery, [entity type]</w:t>
      </w:r>
      <w:r w:rsidR="007C1374">
        <w:fldChar w:fldCharType="end"/>
      </w:r>
      <w:r w:rsidR="007C1374">
        <w:t xml:space="preserve"> (“</w:t>
      </w:r>
      <w:r w:rsidR="00476913">
        <w:t>the Client</w:t>
      </w:r>
      <w:r w:rsidR="007C1374">
        <w:t>”</w:t>
      </w:r>
      <w:r w:rsidR="002460A9">
        <w:t xml:space="preserve">, “you”, and/or “your” – as </w:t>
      </w:r>
      <w:r w:rsidR="00110923">
        <w:t>the context requires</w:t>
      </w:r>
      <w:r w:rsidR="007C1374">
        <w:t xml:space="preserve">) </w:t>
      </w:r>
      <w:r w:rsidR="00E705EB">
        <w:t xml:space="preserve">starting in </w:t>
      </w:r>
      <w:r w:rsidR="00E705EB">
        <w:fldChar w:fldCharType="begin">
          <w:ffData>
            <w:name w:val="Text27"/>
            <w:enabled/>
            <w:calcOnExit w:val="0"/>
            <w:textInput>
              <w:default w:val="[period OR year]"/>
            </w:textInput>
          </w:ffData>
        </w:fldChar>
      </w:r>
      <w:r w:rsidR="00E705EB">
        <w:instrText xml:space="preserve"> FORMTEXT </w:instrText>
      </w:r>
      <w:r w:rsidR="00E705EB">
        <w:fldChar w:fldCharType="separate"/>
      </w:r>
      <w:r w:rsidR="00E705EB">
        <w:rPr>
          <w:noProof/>
        </w:rPr>
        <w:t>[October/November] 2026</w:t>
      </w:r>
      <w:r w:rsidR="00E705EB">
        <w:fldChar w:fldCharType="end"/>
      </w:r>
      <w:r w:rsidR="00E705EB">
        <w:t xml:space="preserve"> </w:t>
      </w:r>
      <w:r w:rsidR="007C1374">
        <w:t>for the</w:t>
      </w:r>
      <w:r w:rsidR="00E705EB">
        <w:t xml:space="preserve"> fiscal year</w:t>
      </w:r>
      <w:r w:rsidR="007C1374">
        <w:t xml:space="preserve"> end</w:t>
      </w:r>
      <w:r w:rsidR="00786782">
        <w:t>ing</w:t>
      </w:r>
      <w:r w:rsidR="007C1374">
        <w:t xml:space="preserve"> </w:t>
      </w:r>
      <w:bookmarkStart w:id="6" w:name="Text47"/>
      <w:r w:rsidR="007C1374">
        <w:fldChar w:fldCharType="begin">
          <w:ffData>
            <w:name w:val="Text47"/>
            <w:enabled/>
            <w:calcOnExit w:val="0"/>
            <w:textInput>
              <w:default w:val="[Year-end Date]"/>
            </w:textInput>
          </w:ffData>
        </w:fldChar>
      </w:r>
      <w:r w:rsidR="007C1374">
        <w:instrText xml:space="preserve"> FORMTEXT </w:instrText>
      </w:r>
      <w:r w:rsidR="007C1374">
        <w:fldChar w:fldCharType="separate"/>
      </w:r>
      <w:r w:rsidR="007C1374">
        <w:rPr>
          <w:noProof/>
        </w:rPr>
        <w:t>December 31, 2026</w:t>
      </w:r>
      <w:r w:rsidR="007C1374">
        <w:fldChar w:fldCharType="end"/>
      </w:r>
      <w:bookmarkEnd w:id="6"/>
      <w:r w:rsidR="00476913">
        <w:t xml:space="preserve"> (the “Initial Period”)</w:t>
      </w:r>
      <w:r w:rsidR="007C1374">
        <w:t xml:space="preserve">. The terms of our engagement </w:t>
      </w:r>
      <w:r w:rsidR="007C1374" w:rsidRPr="009A434F">
        <w:rPr>
          <w:b w:val="0"/>
        </w:rPr>
        <w:t xml:space="preserve">will apply to the </w:t>
      </w:r>
      <w:r w:rsidR="00762531">
        <w:rPr>
          <w:b w:val="0"/>
        </w:rPr>
        <w:t>I</w:t>
      </w:r>
      <w:r w:rsidR="007C1374" w:rsidRPr="009A434F">
        <w:rPr>
          <w:b w:val="0"/>
        </w:rPr>
        <w:t>nitial</w:t>
      </w:r>
      <w:r w:rsidR="00762531">
        <w:rPr>
          <w:b w:val="0"/>
        </w:rPr>
        <w:t xml:space="preserve"> Period</w:t>
      </w:r>
      <w:r w:rsidR="0056231A">
        <w:rPr>
          <w:b w:val="0"/>
        </w:rPr>
        <w:t>,</w:t>
      </w:r>
      <w:r w:rsidR="007C1374" w:rsidRPr="009A434F">
        <w:rPr>
          <w:b w:val="0"/>
        </w:rPr>
        <w:t xml:space="preserve"> and all subsequent </w:t>
      </w:r>
      <w:r w:rsidR="007C1374">
        <w:rPr>
          <w:b w:val="0"/>
        </w:rPr>
        <w:t>periods</w:t>
      </w:r>
      <w:r w:rsidR="007C1374" w:rsidRPr="009A434F">
        <w:rPr>
          <w:b w:val="0"/>
        </w:rPr>
        <w:t xml:space="preserve">, unless the </w:t>
      </w:r>
      <w:r w:rsidR="0056231A">
        <w:rPr>
          <w:b w:val="0"/>
        </w:rPr>
        <w:t>terms of our engagement are</w:t>
      </w:r>
      <w:r w:rsidR="007C1374" w:rsidRPr="009A434F">
        <w:rPr>
          <w:b w:val="0"/>
        </w:rPr>
        <w:t xml:space="preserve"> changed in a </w:t>
      </w:r>
      <w:r w:rsidR="00786782">
        <w:rPr>
          <w:b w:val="0"/>
        </w:rPr>
        <w:t xml:space="preserve">written </w:t>
      </w:r>
      <w:r w:rsidR="007C1374" w:rsidRPr="009A434F">
        <w:rPr>
          <w:b w:val="0"/>
        </w:rPr>
        <w:t xml:space="preserve">communication </w:t>
      </w:r>
      <w:r w:rsidR="00786782">
        <w:rPr>
          <w:b w:val="0"/>
        </w:rPr>
        <w:t>including by email, agreed to by both ONYX and the Client</w:t>
      </w:r>
      <w:r w:rsidR="007C1374" w:rsidRPr="000410BE">
        <w:t>.</w:t>
      </w:r>
    </w:p>
    <w:p>
      <w:pPr>
        <w:pStyle w:val="CLALTRHeading1"/>
        <w:pBdr>
          <w:top w:val="single" w:sz="8" w:space="10" w:color="auto"/>
          <w:bottom w:val="single" w:sz="8" w:space="10" w:color="auto"/>
        </w:pBdr>
        <w:spacing w:before="240" w:after="200"/>
        <w:jc w:val="both"/>
      </w:pPr>
      <w:r>
        <w:rPr>
          <w:caps/>
          <w:color w:val="7F7F7F"/>
          <w:sz w:val="18"/>
          <w:szCs w:val="18"/>
          <w:spacing w:val="60"/>
        </w:rPr>
        <w:t xml:space="preserve">Section 1</w:t>
      </w:r>
      <w:r>
        <w:br/>
      </w:r>
      <w:r>
        <w:rPr>
          <w:sz w:val="48"/>
          <w:szCs w:val="48"/>
        </w:rPr>
        <w:t xml:space="preserve">What we’ll do for you</w:t>
      </w:r>
    </w:p>
    <w:p w14:paraId="79A7EA5D" w14:textId="3D99C666" w:rsidR="007C1374" w:rsidRDefault="00F73F44" w:rsidP="004232B8">
      <w:pPr>
        <w:pStyle w:val="CLALTRNormal"/>
        <w:jc w:val="both"/>
      </w:pPr>
      <w:r>
        <w:t xml:space="preserve">ONYX steps in as the practice’s finance leadership team: a consistent, senior point of contact backed by a controller and, where it helps, staff-level support. We give the physicians accurate, timely numbers and a trusted finance contact through Mark Williamson’s transition and beyond, follow a perform-and-review approach so the person doing the work is never the one reviewing it, and scale our involvement up or down as the finance function is rebuilt. The services below are illustrative of what ONYX provides and are not a fixed or exhaustive list; we tailor the mix to the Client’s needs and adjust it as those needs change. This engagement covers the Client and, as the Client directs, its related entities, </w:t>
      </w:r>
      <w:r>
        <w:rPr>
          <w:highlight w:val="yellow"/>
        </w:rPr>
        <w:t xml:space="preserve">[Surgery center legal name]</w:t>
      </w:r>
      <w:r>
        <w:t xml:space="preserve"> and Arizona Pharmacy Consultants, </w:t>
      </w:r>
      <w:r>
        <w:rPr>
          <w:highlight w:val="yellow"/>
        </w:rPr>
        <w:t xml:space="preserve">[entity type]</w:t>
      </w:r>
      <w:r>
        <w:t xml:space="preserve">, each maintained in QuickBooks Online.</w:t>
      </w:r>
    </w:p>
    <w:p w14:paraId="79A7EA5D" w14:textId="3D99C666" w:rsidR="007C1374" w:rsidRDefault="00F73F44" w:rsidP="004232B8">
      <w:pPr>
        <w:pStyle w:val="CLALTRNormal"/>
        <w:jc w:val="both"/>
      </w:pPr>
      <w:r>
        <w:rPr>
          <w:b/>
          <w:bCs/>
        </w:rPr>
        <w:t xml:space="preserve">Initial priorities:</w:t>
      </w:r>
    </w:p>
    <w:p w14:paraId="5F77BEBA" w14:textId="77777777" w:rsidR="007C1374" w:rsidRPr="0004094D" w:rsidRDefault="007C1374" w:rsidP="004232B8">
      <w:pPr>
        <w:pStyle w:val="CLALTRNormal"/>
        <w:numPr>
          <w:ilvl w:val="0"/>
          <w:numId w:val="9"/>
        </w:numPr>
        <w:jc w:val="both"/>
      </w:pPr>
      <w:r>
        <w:t xml:space="preserve">Provide a consistent finance contact and immediate continuity as Mark Williamson reduces his hours, with Mark supporting onboarding and knowledge transfer.</w:t>
      </w:r>
    </w:p>
    <w:p w14:paraId="5F77BEBA" w14:textId="77777777" w:rsidR="007C1374" w:rsidRPr="0004094D" w:rsidRDefault="007C1374" w:rsidP="004232B8">
      <w:pPr>
        <w:pStyle w:val="CLALTRNormal"/>
        <w:numPr>
          <w:ilvl w:val="0"/>
          <w:numId w:val="9"/>
        </w:numPr>
        <w:jc w:val="both"/>
      </w:pPr>
      <w:r>
        <w:t xml:space="preserve">Deliver a 30/60/90-day onboarding plan centered on knowledge transfer, close stabilization, physician compensation, revenue-cycle reporting, and systems integration.</w:t>
      </w:r>
    </w:p>
    <w:p w14:paraId="5F77BEBA" w14:textId="77777777" w:rsidR="007C1374" w:rsidRPr="0004094D" w:rsidRDefault="007C1374" w:rsidP="004232B8">
      <w:pPr>
        <w:pStyle w:val="CLALTRNormal"/>
        <w:numPr>
          <w:ilvl w:val="0"/>
          <w:numId w:val="9"/>
        </w:numPr>
        <w:jc w:val="both"/>
      </w:pPr>
      <w:r>
        <w:t xml:space="preserve">Document the monthly close, physician compensation and bonus calculations, revenue-cycle reporting, payroll mappings, and borrowing-base reporting, so critical knowledge no longer rests with one person.</w:t>
      </w:r>
    </w:p>
    <w:p w14:paraId="5F77BEBA" w14:textId="77777777" w:rsidR="007C1374" w:rsidRPr="0004094D" w:rsidRDefault="007C1374" w:rsidP="004232B8">
      <w:pPr>
        <w:pStyle w:val="CLALTRNormal"/>
        <w:numPr>
          <w:ilvl w:val="0"/>
          <w:numId w:val="9"/>
        </w:numPr>
        <w:jc w:val="both"/>
      </w:pPr>
      <w:r>
        <w:t xml:space="preserve">Review the QuickBooks Online class structure, workflows, and controls across all three entities.</w:t>
      </w:r>
    </w:p>
    <w:p w14:paraId="5F77BEBA" w14:textId="77777777" w:rsidR="007C1374" w:rsidRPr="0004094D" w:rsidRDefault="007C1374" w:rsidP="004232B8">
      <w:pPr>
        <w:pStyle w:val="CLALTRNormal"/>
        <w:numPr>
          <w:ilvl w:val="0"/>
          <w:numId w:val="9"/>
        </w:numPr>
        <w:jc w:val="both"/>
      </w:pPr>
      <w:r>
        <w:t xml:space="preserve">Provide weekly onboarding updates, an open-items tracker, and a summary of completed work.</w:t>
      </w:r>
    </w:p>
    <w:p w14:paraId="5F77BEBA" w14:textId="77777777" w:rsidR="007C1374" w:rsidRPr="0004094D" w:rsidRDefault="007C1374" w:rsidP="004232B8">
      <w:pPr>
        <w:pStyle w:val="CLALTRNormal"/>
        <w:numPr>
          <w:ilvl w:val="0"/>
          <w:numId w:val="9"/>
        </w:numPr>
        <w:jc w:val="both"/>
      </w:pPr>
      <w:r>
        <w:t xml:space="preserve">Build an initial automation roadmap for accounts payable, payroll journals, eClinicalWorks-to-general-ledger activity, close checklists, and KPI dashboards, with documented review controls so every automated or AI-assisted output is verified by an experienced team member before it is relied on.</w:t>
      </w:r>
    </w:p>
    <w:p w14:paraId="5F77BEBA" w14:textId="77777777" w:rsidR="007C1374" w:rsidRPr="0004094D" w:rsidRDefault="007C1374" w:rsidP="004232B8">
      <w:pPr>
        <w:pStyle w:val="CLALTRNormal"/>
        <w:numPr>
          <w:ilvl w:val="0"/>
          <w:numId w:val="9"/>
        </w:numPr>
        <w:jc w:val="both"/>
      </w:pPr>
      <w:r>
        <w:t xml:space="preserve">Work onsite at the Client’s offices </w:t>
      </w:r>
      <w:r>
        <w:rPr/>
        <w:t>for kickoff, onboarding and training,</w:t>
      </w:r>
      <w:r>
        <w:t xml:space="preserve"> and remotely otherwise.</w:t>
      </w:r>
    </w:p>
    <w:p w14:paraId="39D6E8D9" w14:textId="77777777" w:rsidR="007C1374" w:rsidRDefault="007C1374" w:rsidP="004232B8">
      <w:pPr>
        <w:pStyle w:val="CLALTRHeading2"/>
        <w:jc w:val="both"/>
      </w:pPr>
      <w:r>
        <w:t xml:space="preserve">Ongoing normal accounting services:</w:t>
      </w:r>
    </w:p>
    <w:p w14:paraId="79A7EA5D" w14:textId="3D99C666" w:rsidR="007C1374" w:rsidRDefault="00F73F44" w:rsidP="004232B8">
      <w:pPr>
        <w:pStyle w:val="CLALTRNormal"/>
        <w:jc w:val="both"/>
      </w:pPr>
      <w:r>
        <w:rPr>
          <w:b/>
          <w:bCs/>
        </w:rPr>
        <w:t xml:space="preserve">Controller-level oversight and reporting</w:t>
      </w:r>
    </w:p>
    <w:p w14:paraId="79A7EA5D" w14:textId="3D99C666" w:rsidR="007C1374" w:rsidRDefault="00F73F44" w:rsidP="004232B8">
      <w:pPr>
        <w:pStyle w:val="CLALTRNormal"/>
        <w:jc w:val="both"/>
      </w:pPr>
      <w:r>
        <w:t xml:space="preserve">Hands-on leadership of the monthly close and the accounting team, so management always has accurate, timely numbers to act on:</w:t>
      </w:r>
    </w:p>
    <w:p w14:paraId="5F77BEBA" w14:textId="77777777" w:rsidR="007C1374" w:rsidRPr="0004094D" w:rsidRDefault="007C1374" w:rsidP="004232B8">
      <w:pPr>
        <w:pStyle w:val="CLALTRNormal"/>
        <w:numPr>
          <w:ilvl w:val="0"/>
          <w:numId w:val="9"/>
        </w:numPr>
        <w:jc w:val="both"/>
      </w:pPr>
      <w:r>
        <w:t xml:space="preserve">Lead the monthly close and review the reconciliations and journal entries prepared by the internal team, adding an independent layer of review.</w:t>
      </w:r>
    </w:p>
    <w:p w14:paraId="5F77BEBA" w14:textId="77777777" w:rsidR="007C1374" w:rsidRPr="0004094D" w:rsidRDefault="007C1374" w:rsidP="004232B8">
      <w:pPr>
        <w:pStyle w:val="CLALTRNormal"/>
        <w:numPr>
          <w:ilvl w:val="0"/>
          <w:numId w:val="9"/>
        </w:numPr>
        <w:jc w:val="both"/>
      </w:pPr>
      <w:r>
        <w:t xml:space="preserve">Turn each entity’s monthly, quarterly, and annual results into clear management reporting and analysis for the physicians and shareholders.</w:t>
      </w:r>
    </w:p>
    <w:p w14:paraId="5F77BEBA" w14:textId="77777777" w:rsidR="007C1374" w:rsidRPr="0004094D" w:rsidRDefault="007C1374" w:rsidP="004232B8">
      <w:pPr>
        <w:pStyle w:val="CLALTRNormal"/>
        <w:numPr>
          <w:ilvl w:val="0"/>
          <w:numId w:val="9"/>
        </w:numPr>
        <w:jc w:val="both"/>
      </w:pPr>
      <w:r>
        <w:t xml:space="preserve">Support the physician compensation process, including class-based allocations and the mid-month physician bonus calculations.</w:t>
      </w:r>
    </w:p>
    <w:p w14:paraId="5F77BEBA" w14:textId="77777777" w:rsidR="007C1374" w:rsidRPr="0004094D" w:rsidRDefault="007C1374" w:rsidP="004232B8">
      <w:pPr>
        <w:pStyle w:val="CLALTRNormal"/>
        <w:numPr>
          <w:ilvl w:val="0"/>
          <w:numId w:val="9"/>
        </w:numPr>
        <w:jc w:val="both"/>
      </w:pPr>
      <w:r>
        <w:t xml:space="preserve">Reconcile revenue-cycle activity to the general ledger and prepare monthly revenue-cycle analysis (gross charges, collection rates, denials, and payer trends), working with the revenue-cycle team to address issues as they arise.</w:t>
      </w:r>
    </w:p>
    <w:p w14:paraId="5F77BEBA" w14:textId="77777777" w:rsidR="007C1374" w:rsidRPr="0004094D" w:rsidRDefault="007C1374" w:rsidP="004232B8">
      <w:pPr>
        <w:pStyle w:val="CLALTRNormal"/>
        <w:numPr>
          <w:ilvl w:val="0"/>
          <w:numId w:val="9"/>
        </w:numPr>
        <w:jc w:val="both"/>
      </w:pPr>
      <w:r>
        <w:t xml:space="preserve">Guide and support the internal accounting team across accounts payable, accounts receivable, and the general ledger, and serve as the day-to-day point of contact for accounting questions.</w:t>
      </w:r>
    </w:p>
    <w:p w14:paraId="5F77BEBA" w14:textId="77777777" w:rsidR="007C1374" w:rsidRPr="0004094D" w:rsidRDefault="007C1374" w:rsidP="004232B8">
      <w:pPr>
        <w:pStyle w:val="CLALTRNormal"/>
        <w:numPr>
          <w:ilvl w:val="0"/>
          <w:numId w:val="9"/>
        </w:numPr>
        <w:jc w:val="both"/>
      </w:pPr>
      <w:r>
        <w:t xml:space="preserve">Reduce manual work in the eClinicalWorks-to-QuickBooks, payroll-to-general-ledger, and allocation processes, and support the evaluation of a payroll-provider transition.</w:t>
      </w:r>
    </w:p>
    <w:p w14:paraId="5F77BEBA" w14:textId="77777777" w:rsidR="007C1374" w:rsidRPr="0004094D" w:rsidRDefault="007C1374" w:rsidP="004232B8">
      <w:pPr>
        <w:pStyle w:val="CLALTRNormal"/>
        <w:numPr>
          <w:ilvl w:val="0"/>
          <w:numId w:val="9"/>
        </w:numPr>
        <w:jc w:val="both"/>
      </w:pPr>
      <w:r>
        <w:t xml:space="preserve">Recommend improvements to internal controls, and document accounting processes and procedures.</w:t>
      </w:r>
    </w:p>
    <w:p w14:paraId="5F77BEBA" w14:textId="77777777" w:rsidR="007C1374" w:rsidRPr="0004094D" w:rsidRDefault="007C1374" w:rsidP="004232B8">
      <w:pPr>
        <w:pStyle w:val="CLALTRNormal"/>
        <w:numPr>
          <w:ilvl w:val="0"/>
          <w:numId w:val="9"/>
        </w:numPr>
        <w:jc w:val="both"/>
      </w:pPr>
      <w:r>
        <w:t xml:space="preserve">Gather and organize everything the Client’s tax preparer and auditors need, and support audits and regulatory reviews by providing information. ONYX does not prepare or file tax returns; the Client’s tax preparer handles all tax filings.</w:t>
      </w:r>
    </w:p>
    <w:p w14:paraId="79A7EA5D" w14:textId="3D99C666" w:rsidR="007C1374" w:rsidRDefault="00F73F44" w:rsidP="004232B8">
      <w:pPr>
        <w:pStyle w:val="CLALTRNormal"/>
        <w:jc w:val="both"/>
      </w:pPr>
      <w:r>
        <w:rPr>
          <w:b/>
          <w:bCs/>
        </w:rPr>
        <w:t xml:space="preserve">CFO-level strategic support</w:t>
      </w:r>
    </w:p>
    <w:p w14:paraId="79A7EA5D" w14:textId="3D99C666" w:rsidR="007C1374" w:rsidRDefault="00F73F44" w:rsidP="004232B8">
      <w:pPr>
        <w:pStyle w:val="CLALTRNormal"/>
        <w:jc w:val="both"/>
      </w:pPr>
      <w:r>
        <w:t xml:space="preserve">A consistent, senior relationship lead who becomes the physicians’ trusted finance contact, providing the guidance and forward-looking planning of a CFO without the full-time cost:</w:t>
      </w:r>
    </w:p>
    <w:p w14:paraId="5F77BEBA" w14:textId="77777777" w:rsidR="007C1374" w:rsidRPr="0004094D" w:rsidRDefault="007C1374" w:rsidP="004232B8">
      <w:pPr>
        <w:pStyle w:val="CLALTRNormal"/>
        <w:numPr>
          <w:ilvl w:val="0"/>
          <w:numId w:val="9"/>
        </w:numPr>
        <w:jc w:val="both"/>
      </w:pPr>
      <w:r>
        <w:t xml:space="preserve">Serve as the relationship lead (</w:t>
      </w:r>
      <w:r>
        <w:rPr/>
        <w:t>Steven Nikolov</w:t>
      </w:r>
      <w:r>
        <w:t xml:space="preserve">) and the primary finance contact for the physicians, shareholders, and executive board.</w:t>
      </w:r>
    </w:p>
    <w:p w14:paraId="5F77BEBA" w14:textId="77777777" w:rsidR="007C1374" w:rsidRPr="0004094D" w:rsidRDefault="007C1374" w:rsidP="004232B8">
      <w:pPr>
        <w:pStyle w:val="CLALTRNormal"/>
        <w:numPr>
          <w:ilvl w:val="0"/>
          <w:numId w:val="9"/>
        </w:numPr>
        <w:jc w:val="both"/>
      </w:pPr>
      <w:r>
        <w:t xml:space="preserve">Present financial results and insight to the executive board as needed and at the annual December shareholder meeting.</w:t>
      </w:r>
    </w:p>
    <w:p w14:paraId="5F77BEBA" w14:textId="77777777" w:rsidR="007C1374" w:rsidRPr="0004094D" w:rsidRDefault="007C1374" w:rsidP="004232B8">
      <w:pPr>
        <w:pStyle w:val="CLALTRNormal"/>
        <w:numPr>
          <w:ilvl w:val="0"/>
          <w:numId w:val="9"/>
        </w:numPr>
        <w:jc w:val="both"/>
      </w:pPr>
      <w:r>
        <w:t xml:space="preserve">Lead budgeting, forecasting, and variance analysis to support strategic decisions across the clinics, therapy suites, and surgery center.</w:t>
      </w:r>
    </w:p>
    <w:p w14:paraId="5F77BEBA" w14:textId="77777777" w:rsidR="007C1374" w:rsidRPr="0004094D" w:rsidRDefault="007C1374" w:rsidP="004232B8">
      <w:pPr>
        <w:pStyle w:val="CLALTRNormal"/>
        <w:numPr>
          <w:ilvl w:val="0"/>
          <w:numId w:val="9"/>
        </w:numPr>
        <w:jc w:val="both"/>
      </w:pPr>
      <w:r>
        <w:t xml:space="preserve">Support lender relationships, including borrowing-base and covenant reporting for the Client’s lines of credit.</w:t>
      </w:r>
    </w:p>
    <w:p w14:paraId="5F77BEBA" w14:textId="77777777" w:rsidR="007C1374" w:rsidRPr="0004094D" w:rsidRDefault="007C1374" w:rsidP="004232B8">
      <w:pPr>
        <w:pStyle w:val="CLALTRNormal"/>
        <w:numPr>
          <w:ilvl w:val="0"/>
          <w:numId w:val="9"/>
        </w:numPr>
        <w:jc w:val="both"/>
      </w:pPr>
      <w:r>
        <w:t xml:space="preserve">Coordinate with the Client’s tax, legal, insurance, benefits, and retirement-plan advisors on finance matters.</w:t>
      </w:r>
    </w:p>
    <w:p w14:paraId="5F77BEBA" w14:textId="77777777" w:rsidR="007C1374" w:rsidRPr="0004094D" w:rsidRDefault="007C1374" w:rsidP="004232B8">
      <w:pPr>
        <w:pStyle w:val="CLALTRNormal"/>
        <w:numPr>
          <w:ilvl w:val="0"/>
          <w:numId w:val="9"/>
        </w:numPr>
        <w:jc w:val="both"/>
      </w:pPr>
      <w:r>
        <w:t xml:space="preserve">Advise on financial reporting structure, management reporting, and accounting policy.</w:t>
      </w:r>
    </w:p>
    <w:p w14:paraId="79A7EA5D" w14:textId="3D99C666" w:rsidR="007C1374" w:rsidRDefault="00F73F44" w:rsidP="004232B8">
      <w:pPr>
        <w:pStyle w:val="CLALTRNormal"/>
        <w:jc w:val="both"/>
      </w:pPr>
      <w:r>
        <w:rPr>
          <w:b/>
          <w:bCs/>
        </w:rPr>
        <w:t xml:space="preserve">Staff-level support</w:t>
      </w:r>
    </w:p>
    <w:p w14:paraId="79A7EA5D" w14:textId="3D99C666" w:rsidR="007C1374" w:rsidRDefault="00F73F44" w:rsidP="004232B8">
      <w:pPr>
        <w:pStyle w:val="CLALTRNormal"/>
        <w:jc w:val="both"/>
      </w:pPr>
      <w:r>
        <w:t xml:space="preserve">Where it helps, ONYX staff accountants add capacity to the internal team, under controller review:</w:t>
      </w:r>
    </w:p>
    <w:p w14:paraId="5F77BEBA" w14:textId="77777777" w:rsidR="007C1374" w:rsidRPr="0004094D" w:rsidRDefault="007C1374" w:rsidP="004232B8">
      <w:pPr>
        <w:pStyle w:val="CLALTRNormal"/>
        <w:numPr>
          <w:ilvl w:val="0"/>
          <w:numId w:val="9"/>
        </w:numPr>
        <w:jc w:val="both"/>
      </w:pPr>
      <w:r>
        <w:t xml:space="preserve">Prepare account reconciliations, journal entries, and month-end schedules.</w:t>
      </w:r>
    </w:p>
    <w:p w14:paraId="5F77BEBA" w14:textId="77777777" w:rsidR="007C1374" w:rsidRPr="0004094D" w:rsidRDefault="007C1374" w:rsidP="004232B8">
      <w:pPr>
        <w:pStyle w:val="CLALTRNormal"/>
        <w:numPr>
          <w:ilvl w:val="0"/>
          <w:numId w:val="9"/>
        </w:numPr>
        <w:jc w:val="both"/>
      </w:pPr>
      <w:r>
        <w:t xml:space="preserve">Support accounts payable processing and payroll journal entries.</w:t>
      </w:r>
    </w:p>
    <w:p w14:paraId="5F77BEBA" w14:textId="77777777" w:rsidR="007C1374" w:rsidRPr="0004094D" w:rsidRDefault="007C1374" w:rsidP="004232B8">
      <w:pPr>
        <w:pStyle w:val="CLALTRNormal"/>
        <w:numPr>
          <w:ilvl w:val="0"/>
          <w:numId w:val="9"/>
        </w:numPr>
        <w:jc w:val="both"/>
      </w:pPr>
      <w:r>
        <w:t xml:space="preserve">Cover backlogs, peak periods, and staffing gaps.</w:t>
      </w:r>
    </w:p>
    <w:p w14:paraId="79A7EA5D" w14:textId="3D99C666" w:rsidR="007C1374" w:rsidRDefault="00F73F44" w:rsidP="004232B8">
      <w:pPr>
        <w:pStyle w:val="CLALTRNormal"/>
        <w:jc w:val="both"/>
      </w:pPr>
      <w:r>
        <w:rPr>
          <w:b/>
          <w:bCs/>
        </w:rPr>
        <w:t xml:space="preserve">Ways to structure the engagement</w:t>
      </w:r>
    </w:p>
    <w:p w14:paraId="79A7EA5D" w14:textId="3D99C666" w:rsidR="007C1374" w:rsidRDefault="00F73F44" w:rsidP="004232B8">
      <w:pPr>
        <w:pStyle w:val="CLALTRNormal"/>
        <w:jc w:val="both"/>
      </w:pPr>
      <w:r>
        <w:t xml:space="preserve">ONYX does not require an all-or-nothing engagement. The Client may engage ONYX in any of the following ways and move between them as its needs change:</w:t>
      </w:r>
    </w:p>
    <w:p w14:paraId="5F77BEBA" w14:textId="77777777" w:rsidR="007C1374" w:rsidRPr="0004094D" w:rsidRDefault="007C1374" w:rsidP="004232B8">
      <w:pPr>
        <w:pStyle w:val="CLALTRNormal"/>
        <w:numPr>
          <w:ilvl w:val="0"/>
          <w:numId w:val="9"/>
        </w:numPr>
        <w:jc w:val="both"/>
      </w:pPr>
      <w:r>
        <w:t xml:space="preserve">CFO plus controller support: a CFO-level relationship lead and an ONYX controller who leads the close and the internal team.</w:t>
      </w:r>
    </w:p>
    <w:p w14:paraId="5F77BEBA" w14:textId="77777777" w:rsidR="007C1374" w:rsidRPr="0004094D" w:rsidRDefault="007C1374" w:rsidP="004232B8">
      <w:pPr>
        <w:pStyle w:val="CLALTRNormal"/>
        <w:numPr>
          <w:ilvl w:val="0"/>
          <w:numId w:val="9"/>
        </w:numPr>
        <w:jc w:val="both"/>
      </w:pPr>
      <w:r>
        <w:t xml:space="preserve">Controller-led support with CFO oversight: an ONYX controller leads the day-to-day finance function, with CFO-level oversight and review as requested.</w:t>
      </w:r>
    </w:p>
    <w:p w14:paraId="5F77BEBA" w14:textId="77777777" w:rsidR="007C1374" w:rsidRPr="0004094D" w:rsidRDefault="007C1374" w:rsidP="004232B8">
      <w:pPr>
        <w:pStyle w:val="CLALTRNormal"/>
        <w:numPr>
          <w:ilvl w:val="0"/>
          <w:numId w:val="9"/>
        </w:numPr>
        <w:jc w:val="both"/>
      </w:pPr>
      <w:r>
        <w:t xml:space="preserve">Targeted staff augmentation: ONYX staff add capacity to the internal team under controller review. CFO oversight can also be paired with an internally hired controller.</w:t>
      </w:r>
    </w:p>
    <w:p w14:paraId="79A7EA5D" w14:textId="3D99C666" w:rsidR="007C1374" w:rsidRDefault="00F73F44" w:rsidP="004232B8">
      <w:pPr>
        <w:pStyle w:val="CLALTRNormal"/>
        <w:jc w:val="both"/>
      </w:pPr>
      <w:r>
        <w:t xml:space="preserve">Initial structure selected: </w:t>
      </w:r>
      <w:r>
        <w:rPr>
          <w:highlight w:val="yellow"/>
        </w:rPr>
        <w:t xml:space="preserve">[CFO plus controller / controller-led with CFO oversight / staff augmentation]</w:t>
      </w:r>
    </w:p>
    <w:p>
      <w:pPr>
        <w:pStyle w:val="CLALTRHeading2"/>
        <w:jc w:val="both"/>
      </w:pPr>
      <w:r>
        <w:t xml:space="preserve">Adjusting your services as your needs change</w:t>
      </w:r>
    </w:p>
    <w:p>
      <w:pPr>
        <w:pStyle w:val="CLALTRNormal"/>
        <w:jc w:val="both"/>
      </w:pPr>
      <w:r>
        <w:t xml:space="preserve">Your needs will evolve as your practice grows, and this engagement is built to flex with them. Services can be added, reduced, or adjusted at any time by mutual written agreement, including by email, with no formal addendum or new engagement letter required. All other terms of this agreement remain in effect.</w:t>
      </w:r>
    </w:p>
    <w:p w14:paraId="3A7EA000" w14:textId="4A2C317E" w:rsidR="007C1374" w:rsidRPr="00CA59AB" w:rsidRDefault="00155433" w:rsidP="004232B8">
      <w:pPr>
        <w:pStyle w:val="CLALTRHeading1"/>
        <w:jc w:val="both"/>
        <w:rPr>
          <w:highlight w:val="yellow"/>
        </w:rPr>
      </w:pPr>
      <w:r>
        <w:t xml:space="preserve">How we’ll work together</w:t>
      </w:r>
    </w:p>
    <w:p w14:paraId="26CCF220" w14:textId="184C9533" w:rsidR="007C1374" w:rsidRDefault="00155433" w:rsidP="004232B8">
      <w:pPr>
        <w:pStyle w:val="CLALTRNormal"/>
        <w:jc w:val="both"/>
      </w:pPr>
      <w:r>
        <w:t xml:space="preserve">Because ONYX works from the access and records the Client provides and does not have authority to move funds, a few responsibilities stay with the Client. The Client’s internal team continues to process payments and payroll. All approvals should be documented in writing, whether electronically or manually:</w:t>
      </w:r>
    </w:p>
    <w:p w14:paraId="1F716C1A" w14:textId="77777777" w:rsidR="007C1374" w:rsidRPr="00D0294B" w:rsidRDefault="007C1374" w:rsidP="004232B8">
      <w:pPr>
        <w:pStyle w:val="CLALTRNormal"/>
        <w:numPr>
          <w:ilvl w:val="0"/>
          <w:numId w:val="21"/>
        </w:numPr>
        <w:jc w:val="both"/>
      </w:pPr>
      <w:r>
        <w:t xml:space="preserve">Provide ONYX with access to QuickBooks Online for each entity, eClinicalWorks reporting, the payroll system, and view access to bank and loan accounts, plus the reports and records needed to do the work.</w:t>
      </w:r>
    </w:p>
    <w:p w14:paraId="5D4CD6F1" w14:textId="77777777" w:rsidR="007C1374" w:rsidRPr="00D0294B" w:rsidRDefault="007C1374" w:rsidP="004232B8">
      <w:pPr>
        <w:pStyle w:val="CLALTRNormal"/>
        <w:numPr>
          <w:ilvl w:val="0"/>
          <w:numId w:val="21"/>
        </w:numPr>
        <w:jc w:val="both"/>
      </w:pPr>
      <w:r>
        <w:t xml:space="preserve">Provide timely, accurate information and a primary point of contact, and make Mark Williamson and the internal accounting staff available to support onboarding and the ongoing work.</w:t>
      </w:r>
    </w:p>
    <w:p w14:paraId="67DECFEA" w14:textId="77777777" w:rsidR="007C1374" w:rsidRPr="00D0294B" w:rsidRDefault="007C1374" w:rsidP="004232B8">
      <w:pPr>
        <w:pStyle w:val="CLALTRNormal"/>
        <w:numPr>
          <w:ilvl w:val="0"/>
          <w:numId w:val="21"/>
        </w:numPr>
        <w:jc w:val="both"/>
      </w:pPr>
      <w:r>
        <w:t xml:space="preserve">Retain approval authority over the Client’s own transactions, including invoices and payments, wire transfers, new vendors, payroll and employee changes, and physician compensation and bonus payments.</w:t>
      </w:r>
    </w:p>
    <w:p w14:paraId="69DB2137" w14:textId="77777777" w:rsidR="007C1374" w:rsidRPr="00D0294B" w:rsidRDefault="007C1374" w:rsidP="004232B8">
      <w:pPr>
        <w:pStyle w:val="CLALTRNormal"/>
        <w:numPr>
          <w:ilvl w:val="0"/>
          <w:numId w:val="21"/>
        </w:numPr>
        <w:jc w:val="both"/>
      </w:pPr>
      <w:r>
        <w:t xml:space="preserve">Review and approve the bank statements and monthly bank and loan reconciliations.</w:t>
      </w:r>
    </w:p>
    <w:p w14:paraId="169639B0" w14:textId="77777777" w:rsidR="007C1374" w:rsidRPr="00D0294B" w:rsidRDefault="007C1374" w:rsidP="004232B8">
      <w:pPr>
        <w:pStyle w:val="CLALTRNormal"/>
        <w:numPr>
          <w:ilvl w:val="0"/>
          <w:numId w:val="21"/>
        </w:numPr>
        <w:jc w:val="both"/>
      </w:pPr>
      <w:r>
        <w:t xml:space="preserve">Maintain responsibility for tax filings, patient billing and coding, and compliance with the Client’s healthcare, payer, lender, and benefit-plan obligations.</w:t>
      </w:r>
    </w:p>
    <w:p w14:paraId="5F1FD776" w14:textId="77777777" w:rsidR="007C1374" w:rsidRDefault="007C1374" w:rsidP="004232B8">
      <w:pPr>
        <w:pStyle w:val="CLALTRHeading1"/>
        <w:jc w:val="both"/>
      </w:pPr>
      <w:r>
        <w:t xml:space="preserve">Fees &amp; billing</w:t>
      </w:r>
    </w:p>
    <w:p w14:paraId="1ADC0964" w14:textId="77777777" w:rsidR="007C1374" w:rsidRPr="003B7E8F" w:rsidRDefault="007C1374" w:rsidP="004232B8">
      <w:pPr>
        <w:pStyle w:val="CLALTRHeading2"/>
        <w:jc w:val="both"/>
      </w:pPr>
      <w:r w:rsidRPr="003B7E8F">
        <w:t xml:space="preserve">Billing rates guaranteed through </w:t>
      </w:r>
      <w:r w:rsidRPr="003C0B6F">
        <w:fldChar w:fldCharType="begin">
          <w:ffData>
            <w:name w:val="Text30"/>
            <w:enabled/>
            <w:calcOnExit w:val="0"/>
            <w:textInput>
              <w:default w:val="[Insert date]"/>
            </w:textInput>
          </w:ffData>
        </w:fldChar>
      </w:r>
      <w:r w:rsidRPr="003C0B6F">
        <w:instrText xml:space="preserve"> FORMTEXT </w:instrText>
      </w:r>
      <w:r w:rsidRPr="003C0B6F">
        <w:fldChar w:fldCharType="separate"/>
      </w:r>
      <w:r w:rsidRPr="003C0B6F">
        <w:rPr>
          <w:noProof/>
        </w:rPr>
        <w:t>December 31, 2026</w:t>
      </w:r>
      <w:r w:rsidRPr="003C0B6F">
        <w:fldChar w:fldCharType="end"/>
      </w:r>
      <w:r w:rsidRPr="003B7E8F">
        <w:t>:</w:t>
      </w:r>
    </w:p>
    <w:p w14:paraId="0660FCC0" w14:textId="77777777" w:rsidR="007C1374" w:rsidRDefault="007C1374" w:rsidP="004232B8">
      <w:pPr>
        <w:pStyle w:val="CLALTRNormal"/>
        <w:numPr>
          <w:ilvl w:val="0"/>
          <w:numId w:val="13"/>
        </w:numPr>
        <w:jc w:val="both"/>
      </w:pPr>
      <w:r w:rsidRPr="003B7E8F">
        <w:rPr>
          <w:highlight w:val="yellow"/>
        </w:rPr>
        <w:t>Services performed by Staff Accountant</w:t>
      </w:r>
      <w:r>
        <w:rPr>
          <w:highlight w:val="yellow"/>
        </w:rPr>
        <w:tab/>
      </w:r>
      <w:r w:rsidRPr="003B7E8F">
        <w:rPr>
          <w:highlight w:val="yellow"/>
        </w:rPr>
        <w:tab/>
      </w:r>
      <w:r w:rsidRPr="003B7E8F">
        <w:rPr>
          <w:highlight w:val="yellow"/>
        </w:rPr>
        <w:tab/>
      </w:r>
      <w:r w:rsidRPr="003B7E8F">
        <w:rPr>
          <w:highlight w:val="yellow"/>
        </w:rPr>
        <w:tab/>
      </w:r>
      <w:r w:rsidRPr="003B7E8F">
        <w:rPr>
          <w:highlight w:val="yellow"/>
        </w:rPr>
        <w:tab/>
      </w:r>
      <w:r w:rsidRPr="003B7E8F">
        <w:rPr>
          <w:highlight w:val="yellow"/>
        </w:rPr>
        <w:tab/>
      </w:r>
      <w:r w:rsidRPr="003B7E8F">
        <w:rPr>
          <w:highlight w:val="yellow"/>
        </w:rPr>
        <w:tab/>
      </w:r>
      <w:proofErr w:type="gramStart"/>
      <w:r w:rsidRPr="003B7E8F">
        <w:rPr>
          <w:highlight w:val="yellow"/>
        </w:rPr>
        <w:t>$100</w:t>
      </w:r>
      <w:proofErr w:type="gramEnd"/>
      <w:r w:rsidRPr="003B7E8F">
        <w:rPr>
          <w:highlight w:val="yellow"/>
        </w:rPr>
        <w:t xml:space="preserve"> per hour</w:t>
      </w:r>
    </w:p>
    <w:p w14:paraId="51CD06CC" w14:textId="77777777" w:rsidR="007C1374" w:rsidRDefault="007C1374" w:rsidP="004232B8">
      <w:pPr>
        <w:pStyle w:val="CLALTRNormal"/>
        <w:numPr>
          <w:ilvl w:val="0"/>
          <w:numId w:val="13"/>
        </w:numPr>
        <w:jc w:val="both"/>
      </w:pPr>
      <w:r w:rsidRPr="003B7E8F">
        <w:rPr>
          <w:highlight w:val="yellow"/>
        </w:rPr>
        <w:t>Services performed by Controller</w:t>
      </w:r>
      <w:r w:rsidRPr="003B7E8F">
        <w:rPr>
          <w:highlight w:val="yellow"/>
        </w:rPr>
        <w:tab/>
      </w:r>
      <w:r w:rsidRPr="003B7E8F">
        <w:rPr>
          <w:highlight w:val="yellow"/>
        </w:rPr>
        <w:tab/>
      </w:r>
      <w:r w:rsidRPr="003B7E8F">
        <w:rPr>
          <w:highlight w:val="yellow"/>
        </w:rPr>
        <w:tab/>
      </w:r>
      <w:r w:rsidRPr="003B7E8F">
        <w:rPr>
          <w:highlight w:val="yellow"/>
        </w:rPr>
        <w:tab/>
      </w:r>
      <w:r w:rsidRPr="003B7E8F">
        <w:rPr>
          <w:highlight w:val="yellow"/>
        </w:rPr>
        <w:tab/>
      </w:r>
      <w:r w:rsidRPr="003B7E8F">
        <w:rPr>
          <w:highlight w:val="yellow"/>
        </w:rPr>
        <w:tab/>
        <w:t>$185 per hour</w:t>
      </w:r>
    </w:p>
    <w:p w14:paraId="418AB107" w14:textId="77777777" w:rsidR="007C1374" w:rsidRDefault="007C1374" w:rsidP="004232B8">
      <w:pPr>
        <w:pStyle w:val="CLALTRNormal"/>
        <w:numPr>
          <w:ilvl w:val="0"/>
          <w:numId w:val="13"/>
        </w:numPr>
        <w:jc w:val="both"/>
      </w:pPr>
      <w:r w:rsidRPr="003B7E8F">
        <w:rPr>
          <w:highlight w:val="yellow"/>
        </w:rPr>
        <w:t xml:space="preserve">Services performed by </w:t>
      </w:r>
      <w:r>
        <w:fldChar w:fldCharType="begin">
          <w:ffData>
            <w:name w:val=""/>
            <w:enabled/>
            <w:calcOnExit w:val="0"/>
            <w:textInput>
              <w:default w:val="CFO"/>
            </w:textInput>
          </w:ffData>
        </w:fldChar>
      </w:r>
      <w:r>
        <w:instrText xml:space="preserve"> FORMTEXT </w:instrText>
      </w:r>
      <w:r>
        <w:fldChar w:fldCharType="separate"/>
      </w:r>
      <w:r>
        <w:rPr>
          <w:noProof/>
        </w:rPr>
        <w:t>CFO</w:t>
      </w:r>
      <w:r>
        <w:fldChar w:fldCharType="end"/>
      </w:r>
      <w:r w:rsidRPr="003B7E8F">
        <w:rPr>
          <w:highlight w:val="yellow"/>
        </w:rPr>
        <w:t/>
      </w:r>
      <w:r w:rsidRPr="003B7E8F">
        <w:rPr>
          <w:highlight w:val="yellow"/>
        </w:rPr>
        <w:tab/>
      </w:r>
      <w:r w:rsidRPr="003B7E8F">
        <w:rPr>
          <w:highlight w:val="yellow"/>
        </w:rPr>
        <w:tab/>
      </w:r>
      <w:r w:rsidRPr="003B7E8F">
        <w:rPr>
          <w:highlight w:val="yellow"/>
        </w:rPr>
        <w:tab/>
        <w:t>$250 per hour</w:t>
      </w:r>
    </w:p>
    <w:p w14:paraId="00B6291F" w14:textId="4D048969" w:rsidR="007C1374" w:rsidRDefault="007C1374" w:rsidP="004232B8">
      <w:pPr>
        <w:pStyle w:val="CLALTRNormal"/>
        <w:jc w:val="both"/>
      </w:pPr>
      <w:proofErr w:type="gramStart"/>
      <w:r>
        <w:rPr>
          <w:highlight w:val="yellow"/>
        </w:rPr>
        <w:t>Subsequent to</w:t>
      </w:r>
      <w:proofErr w:type="gramEnd"/>
      <w:r>
        <w:rPr>
          <w:highlight w:val="yellow"/>
        </w:rPr>
        <w:t xml:space="preserve"> the billing rate guarantee date, the rates </w:t>
      </w:r>
      <w:r w:rsidRPr="008E719E">
        <w:rPr>
          <w:highlight w:val="yellow"/>
        </w:rPr>
        <w:t>may be adjusted</w:t>
      </w:r>
      <w:r w:rsidR="00CD0CCA">
        <w:rPr>
          <w:highlight w:val="yellow"/>
        </w:rPr>
        <w:t xml:space="preserve"> only</w:t>
      </w:r>
      <w:r w:rsidRPr="008E719E">
        <w:rPr>
          <w:highlight w:val="yellow"/>
        </w:rPr>
        <w:t xml:space="preserve"> as </w:t>
      </w:r>
      <w:r>
        <w:rPr>
          <w:highlight w:val="yellow"/>
        </w:rPr>
        <w:t>agreed</w:t>
      </w:r>
      <w:r w:rsidR="00CD0CCA">
        <w:rPr>
          <w:highlight w:val="yellow"/>
        </w:rPr>
        <w:t xml:space="preserve"> in writing</w:t>
      </w:r>
      <w:r>
        <w:rPr>
          <w:highlight w:val="yellow"/>
        </w:rPr>
        <w:t xml:space="preserve"> between </w:t>
      </w:r>
      <w:r w:rsidR="00B94063">
        <w:rPr>
          <w:highlight w:val="yellow"/>
        </w:rPr>
        <w:t xml:space="preserve">the Client </w:t>
      </w:r>
      <w:r>
        <w:rPr>
          <w:highlight w:val="yellow"/>
        </w:rPr>
        <w:t xml:space="preserve">and </w:t>
      </w:r>
      <w:r w:rsidR="003A2EF5">
        <w:rPr>
          <w:highlight w:val="yellow"/>
        </w:rPr>
        <w:t>ONYX</w:t>
      </w:r>
      <w:r w:rsidRPr="007956FE">
        <w:rPr>
          <w:highlight w:val="yellow"/>
        </w:rPr>
        <w:t xml:space="preserve"> </w:t>
      </w:r>
      <w:r>
        <w:rPr>
          <w:highlight w:val="yellow"/>
        </w:rPr>
        <w:t>through an addendum to this engagement letter</w:t>
      </w:r>
      <w:r w:rsidRPr="0065309C">
        <w:rPr>
          <w:highlight w:val="yellow"/>
        </w:rPr>
        <w:t>.</w:t>
      </w:r>
    </w:p>
    <w:p w14:paraId="675439FD" w14:textId="77777777" w:rsidR="007C1374" w:rsidRDefault="007C1374" w:rsidP="004232B8">
      <w:pPr>
        <w:pStyle w:val="CLALTRHeading2"/>
        <w:jc w:val="both"/>
      </w:pPr>
      <w:r>
        <w:t>Time estimates:</w:t>
      </w:r>
    </w:p>
    <w:p w14:paraId="254193CD" w14:textId="77777777" w:rsidR="007C1374" w:rsidRDefault="007C1374" w:rsidP="004232B8">
      <w:pPr>
        <w:pStyle w:val="CLALTRHeading2"/>
        <w:jc w:val="both"/>
      </w:pPr>
      <w:r>
        <w:rPr>
          <w:b w:val="0"/>
          <w:u w:val="single"/>
        </w:rPr>
        <w:t xml:space="preserve">Onboarding and knowledge transfer (first 90 days):</w:t>
      </w:r>
    </w:p>
    <w:p w14:paraId="5FCFEC33" w14:textId="77777777" w:rsidR="007C1374" w:rsidRDefault="007C1374" w:rsidP="004232B8">
      <w:pPr>
        <w:pStyle w:val="CLALTRNormal"/>
        <w:numPr>
          <w:ilvl w:val="0"/>
          <w:numId w:val="14"/>
        </w:numPr>
        <w:jc w:val="both"/>
      </w:pPr>
      <w:r>
        <w:t xml:space="preserve">Billed hourly as incurred. ONYX will provide weekly progress-and-budget updates so there are no surprises.</w:t>
      </w:r>
    </w:p>
    <w:p w14:paraId="2BC8C6AE" w14:textId="77777777" w:rsidR="007C1374" w:rsidRPr="003B7E8F" w:rsidRDefault="007C1374" w:rsidP="004232B8">
      <w:pPr>
        <w:pStyle w:val="CLALTRHeading2"/>
        <w:jc w:val="both"/>
      </w:pPr>
      <w:r>
        <w:rPr>
          <w:b w:val="0"/>
          <w:u w:val="single"/>
        </w:rPr>
        <w:t xml:space="preserve">Ongoing controller and CFO services:</w:t>
      </w:r>
    </w:p>
    <w:p w14:paraId="507ACF6F" w14:textId="77777777" w:rsidR="007C1374" w:rsidRDefault="007C1374" w:rsidP="004232B8">
      <w:pPr>
        <w:pStyle w:val="CLALTRNormal"/>
        <w:numPr>
          <w:ilvl w:val="0"/>
          <w:numId w:val="15"/>
        </w:numPr>
        <w:jc w:val="both"/>
      </w:pPr>
      <w:r>
        <w:t xml:space="preserve">Billed hourly at the rates above, based on the engagement structure the Client selects and the volume and mix of work.</w:t>
      </w:r>
    </w:p>
    <w:p w14:paraId="0C381B6E" w14:textId="6FE7FD06" w:rsidR="007C1374" w:rsidRDefault="007C1374" w:rsidP="004232B8">
      <w:pPr>
        <w:pStyle w:val="CLALTRNormal"/>
        <w:jc w:val="both"/>
      </w:pPr>
      <w:r>
        <w:rPr>
          <w:highlight w:val="yellow"/>
        </w:rPr>
        <w:t xml:space="preserve">Our fees for these services will be based on the time involved and the degree of responsibility and skill required, plus expenses, including internal and administrative charges. These estimates assume timely cooperation and assistance from the Client’s personnel in preparing requested schedules; if requested items are not available when needed or are inaccurate, the fee will likely be higher. Should unexpected circumstances require significant additional time, ONYX will advise the Client before undertaking any work that would substantially increase the fee estimate.</w:t>
      </w:r>
    </w:p>
    <w:p w14:paraId="34CB76F0" w14:textId="1C983FFC" w:rsidR="000679EF" w:rsidRDefault="00E4186A" w:rsidP="004232B8">
      <w:pPr>
        <w:pStyle w:val="CLALTRNormal"/>
        <w:jc w:val="both"/>
      </w:pPr>
      <w:r>
        <w:rPr>
          <w:highlight w:val="yellow"/>
        </w:rPr>
        <w:t xml:space="preserve"> </w:t>
      </w:r>
      <w:proofErr w:type="gramStart"/>
      <w:r>
        <w:rPr>
          <w:highlight w:val="yellow"/>
        </w:rPr>
        <w:t>During the course of</w:t>
      </w:r>
      <w:proofErr w:type="gramEnd"/>
      <w:r>
        <w:rPr>
          <w:highlight w:val="yellow"/>
        </w:rPr>
        <w:t xml:space="preserve"> our engagement, we may incur o</w:t>
      </w:r>
      <w:r w:rsidR="000679EF">
        <w:rPr>
          <w:highlight w:val="yellow"/>
        </w:rPr>
        <w:t xml:space="preserve">ut-of-pocket </w:t>
      </w:r>
      <w:r w:rsidR="00057067">
        <w:rPr>
          <w:highlight w:val="yellow"/>
        </w:rPr>
        <w:t xml:space="preserve">costs and </w:t>
      </w:r>
      <w:r w:rsidR="000679EF">
        <w:rPr>
          <w:highlight w:val="yellow"/>
        </w:rPr>
        <w:t>expenses</w:t>
      </w:r>
      <w:r>
        <w:rPr>
          <w:highlight w:val="yellow"/>
        </w:rPr>
        <w:t xml:space="preserve"> on your behalf. These costs and </w:t>
      </w:r>
      <w:r w:rsidR="00057067">
        <w:rPr>
          <w:highlight w:val="yellow"/>
        </w:rPr>
        <w:t xml:space="preserve">expenses, which you will be responsible </w:t>
      </w:r>
      <w:proofErr w:type="gramStart"/>
      <w:r w:rsidR="00057067">
        <w:rPr>
          <w:highlight w:val="yellow"/>
        </w:rPr>
        <w:t>to pay</w:t>
      </w:r>
      <w:proofErr w:type="gramEnd"/>
      <w:r w:rsidR="00057067">
        <w:rPr>
          <w:highlight w:val="yellow"/>
        </w:rPr>
        <w:t xml:space="preserve">, include, but are not necessarily limited </w:t>
      </w:r>
      <w:proofErr w:type="gramStart"/>
      <w:r w:rsidR="00057067">
        <w:rPr>
          <w:highlight w:val="yellow"/>
        </w:rPr>
        <w:t>to,</w:t>
      </w:r>
      <w:proofErr w:type="gramEnd"/>
      <w:r w:rsidR="000679EF">
        <w:rPr>
          <w:highlight w:val="yellow"/>
        </w:rPr>
        <w:t xml:space="preserve"> out-of-town travel, meals, and lodging</w:t>
      </w:r>
      <w:r w:rsidR="001D541D">
        <w:rPr>
          <w:highlight w:val="yellow"/>
        </w:rPr>
        <w:t>. These out-of-pocket costs and expenses</w:t>
      </w:r>
      <w:r w:rsidR="000679EF">
        <w:rPr>
          <w:highlight w:val="yellow"/>
        </w:rPr>
        <w:t xml:space="preserve"> will be billed at cost and are not included in the fees quoted above.</w:t>
      </w:r>
    </w:p>
    <w:p w14:paraId="653EA5FE" w14:textId="37F66B42" w:rsidR="007C1374" w:rsidRDefault="007C1374" w:rsidP="004232B8">
      <w:pPr>
        <w:pStyle w:val="CLALTRNormal"/>
        <w:jc w:val="both"/>
      </w:pPr>
      <w:r w:rsidRPr="00F13697">
        <w:t xml:space="preserve">Our invoices for these fees will be </w:t>
      </w:r>
      <w:proofErr w:type="gramStart"/>
      <w:r w:rsidRPr="00F13697">
        <w:t xml:space="preserve">rendered </w:t>
      </w:r>
      <w:r w:rsidR="00801237" w:rsidRPr="00801237">
        <w:rPr>
          <w:b/>
          <w:bCs/>
          <w:u w:val="single"/>
        </w:rPr>
        <w:t>bi</w:t>
      </w:r>
      <w:proofErr w:type="gramEnd"/>
      <w:r w:rsidR="00801237" w:rsidRPr="00801237">
        <w:rPr>
          <w:b/>
          <w:bCs/>
          <w:u w:val="single"/>
        </w:rPr>
        <w:t>-weekly</w:t>
      </w:r>
      <w:r w:rsidRPr="00F13697">
        <w:t xml:space="preserve"> as work progresses and are payable on presentation. </w:t>
      </w:r>
      <w:r w:rsidRPr="007441DE">
        <w:t xml:space="preserve">Terms of payment for services are </w:t>
      </w:r>
      <w:proofErr w:type="gramStart"/>
      <w:r w:rsidRPr="007441DE">
        <w:rPr>
          <w:b/>
          <w:u w:val="single"/>
        </w:rPr>
        <w:t>net</w:t>
      </w:r>
      <w:proofErr w:type="gramEnd"/>
      <w:r w:rsidR="0020163C">
        <w:rPr>
          <w:b/>
          <w:u w:val="single"/>
        </w:rPr>
        <w:t xml:space="preserve"> seven</w:t>
      </w:r>
      <w:r w:rsidRPr="007441DE">
        <w:rPr>
          <w:b/>
          <w:u w:val="single"/>
        </w:rPr>
        <w:t xml:space="preserve"> </w:t>
      </w:r>
      <w:r w:rsidR="0020163C">
        <w:rPr>
          <w:b/>
          <w:u w:val="single"/>
        </w:rPr>
        <w:t>(</w:t>
      </w:r>
      <w:r w:rsidR="007441DE">
        <w:rPr>
          <w:b/>
          <w:u w:val="single"/>
        </w:rPr>
        <w:t>7</w:t>
      </w:r>
      <w:r w:rsidR="0020163C">
        <w:rPr>
          <w:b/>
          <w:u w:val="single"/>
        </w:rPr>
        <w:t>)</w:t>
      </w:r>
      <w:r w:rsidRPr="007441DE">
        <w:rPr>
          <w:b/>
          <w:u w:val="single"/>
        </w:rPr>
        <w:t xml:space="preserve"> days</w:t>
      </w:r>
      <w:r w:rsidRPr="007441DE">
        <w:t>.</w:t>
      </w:r>
      <w:r w:rsidRPr="0045047B">
        <w:t xml:space="preserve"> </w:t>
      </w:r>
      <w:r w:rsidRPr="00F13697">
        <w:t xml:space="preserve">In accordance with our firm policies, work may be suspended if </w:t>
      </w:r>
      <w:r w:rsidR="002F6675">
        <w:t>the Client’s</w:t>
      </w:r>
      <w:r w:rsidR="002F6675" w:rsidRPr="00F13697">
        <w:t xml:space="preserve"> </w:t>
      </w:r>
      <w:r w:rsidRPr="00F13697">
        <w:t>account becomes</w:t>
      </w:r>
      <w:r w:rsidR="0020163C">
        <w:t xml:space="preserve"> thirty</w:t>
      </w:r>
      <w:r w:rsidRPr="00F13697">
        <w:t xml:space="preserve"> </w:t>
      </w:r>
      <w:r w:rsidR="0020163C">
        <w:t>(</w:t>
      </w:r>
      <w:r w:rsidR="007441DE">
        <w:t>30</w:t>
      </w:r>
      <w:r w:rsidR="0020163C">
        <w:t>)</w:t>
      </w:r>
      <w:r w:rsidRPr="00F13697">
        <w:rPr>
          <w:rStyle w:val="CLALTRHiddenTextChar"/>
        </w:rPr>
        <w:t xml:space="preserve"> </w:t>
      </w:r>
      <w:r w:rsidRPr="00F13697">
        <w:t xml:space="preserve"> days or more overdue and will not be resumed until </w:t>
      </w:r>
      <w:r w:rsidR="002F6675">
        <w:t>the Client’s</w:t>
      </w:r>
      <w:r w:rsidR="002F6675" w:rsidRPr="00F13697">
        <w:t xml:space="preserve"> </w:t>
      </w:r>
      <w:r w:rsidRPr="00F13697">
        <w:t xml:space="preserve">account is paid in full. If </w:t>
      </w:r>
      <w:r w:rsidR="002F6675">
        <w:t>ONYX</w:t>
      </w:r>
      <w:r w:rsidR="002F6675" w:rsidRPr="00F13697">
        <w:t xml:space="preserve"> </w:t>
      </w:r>
      <w:r w:rsidRPr="00F13697">
        <w:t>elect</w:t>
      </w:r>
      <w:r w:rsidR="002F6675">
        <w:t>s</w:t>
      </w:r>
      <w:r w:rsidRPr="00F13697">
        <w:t xml:space="preserve"> to terminate </w:t>
      </w:r>
      <w:r w:rsidR="002F6675">
        <w:t>its</w:t>
      </w:r>
      <w:r w:rsidRPr="00F13697">
        <w:t xml:space="preserve"> services for nonpayment, </w:t>
      </w:r>
      <w:r w:rsidR="002F6675">
        <w:t>ONYX’s</w:t>
      </w:r>
      <w:r w:rsidR="002F6675" w:rsidRPr="00F13697">
        <w:t xml:space="preserve"> </w:t>
      </w:r>
      <w:r w:rsidRPr="00F13697">
        <w:t xml:space="preserve">engagement will be deemed to have been completed even if </w:t>
      </w:r>
      <w:r w:rsidR="002F6675">
        <w:t>it has</w:t>
      </w:r>
      <w:r w:rsidRPr="00F13697">
        <w:t xml:space="preserve"> not </w:t>
      </w:r>
      <w:r>
        <w:t xml:space="preserve">provided </w:t>
      </w:r>
      <w:r w:rsidR="002F6675">
        <w:t xml:space="preserve">the Client </w:t>
      </w:r>
      <w:r>
        <w:t xml:space="preserve">with </w:t>
      </w:r>
      <w:r>
        <w:fldChar w:fldCharType="begin">
          <w:ffData>
            <w:name w:val=""/>
            <w:enabled/>
            <w:calcOnExit w:val="0"/>
            <w:textInput>
              <w:default w:val="[identify the work product]"/>
            </w:textInput>
          </w:ffData>
        </w:fldChar>
      </w:r>
      <w:r>
        <w:instrText xml:space="preserve"> FORMTEXT </w:instrText>
      </w:r>
      <w:r>
        <w:fldChar w:fldCharType="separate"/>
      </w:r>
      <w:r>
        <w:rPr>
          <w:noProof/>
        </w:rPr>
        <w:t>the books and supporting schedules</w:t>
      </w:r>
      <w:r>
        <w:fldChar w:fldCharType="end"/>
      </w:r>
      <w:r w:rsidRPr="00F13697">
        <w:t xml:space="preserve">. </w:t>
      </w:r>
      <w:r w:rsidR="002F6675">
        <w:t>The Client</w:t>
      </w:r>
      <w:r w:rsidR="002F6675" w:rsidRPr="00F13697">
        <w:t xml:space="preserve"> </w:t>
      </w:r>
      <w:r w:rsidRPr="00F13697">
        <w:t xml:space="preserve">will be obligated to compensate </w:t>
      </w:r>
      <w:r w:rsidR="002F6675">
        <w:t>ONYX</w:t>
      </w:r>
      <w:r w:rsidR="002F6675" w:rsidRPr="00F13697">
        <w:t xml:space="preserve"> </w:t>
      </w:r>
      <w:r w:rsidRPr="00F13697">
        <w:t xml:space="preserve">for all time expended and to reimburse </w:t>
      </w:r>
      <w:r w:rsidR="002F6675">
        <w:t>ONYX</w:t>
      </w:r>
      <w:r w:rsidR="002F6675" w:rsidRPr="00F13697">
        <w:t xml:space="preserve"> </w:t>
      </w:r>
      <w:r w:rsidRPr="00F13697">
        <w:t>for all out-of-pocket expenditures through the date of termination.</w:t>
      </w:r>
    </w:p>
    <w:p w14:paraId="3B8130EC" w14:textId="351F9A7E" w:rsidR="00E817D0" w:rsidRDefault="00E817D0" w:rsidP="004232B8">
      <w:pPr>
        <w:pStyle w:val="CLALTRNormal"/>
        <w:jc w:val="both"/>
      </w:pPr>
      <w:r>
        <w:t xml:space="preserve">If the Client disputes or questions any charges on </w:t>
      </w:r>
      <w:r w:rsidR="006B3C5F">
        <w:t xml:space="preserve">any invoice, then the Client must notify </w:t>
      </w:r>
      <w:proofErr w:type="gramStart"/>
      <w:r w:rsidR="006B3C5F">
        <w:t>ONYX,</w:t>
      </w:r>
      <w:proofErr w:type="gramEnd"/>
      <w:r w:rsidR="006B3C5F">
        <w:t xml:space="preserve"> IN WRITING, listing the specific time entries or costs on the invoices the Client is disputing within thirty (30) days of the date shown on the invoice. If ONYX does not receive written notice of any such dispute or question within thirty (30) days of the date shown on the invoice, then ONYX will understand the Client’s silence to mean that the Client </w:t>
      </w:r>
      <w:r w:rsidR="00872C9F">
        <w:t xml:space="preserve">finds the billing statement, and </w:t>
      </w:r>
      <w:proofErr w:type="gramStart"/>
      <w:r w:rsidR="00872C9F">
        <w:t>all of</w:t>
      </w:r>
      <w:proofErr w:type="gramEnd"/>
      <w:r w:rsidR="00872C9F">
        <w:t xml:space="preserve"> its itemized charges and costs, acceptable and reasonable.</w:t>
      </w:r>
    </w:p>
    <w:p w14:paraId="66971ED3" w14:textId="77777777" w:rsidR="007C1374" w:rsidRPr="00A94F63" w:rsidRDefault="007C1374" w:rsidP="004232B8">
      <w:pPr>
        <w:pStyle w:val="CLALTRHeading2"/>
        <w:jc w:val="both"/>
      </w:pPr>
      <w:r w:rsidRPr="006370E4">
        <w:rPr>
          <w:highlight w:val="yellow"/>
        </w:rPr>
        <w:t>Retainer</w:t>
      </w:r>
    </w:p>
    <w:p w14:paraId="4E866157" w14:textId="1978B377" w:rsidR="007C1374" w:rsidRDefault="007C1374" w:rsidP="004232B8">
      <w:pPr>
        <w:pStyle w:val="CLALTRNormal"/>
        <w:jc w:val="both"/>
      </w:pPr>
      <w:r w:rsidRPr="000D38AB">
        <w:rPr>
          <w:highlight w:val="yellow"/>
        </w:rPr>
        <w:t xml:space="preserve">In connection with this engagement, </w:t>
      </w:r>
      <w:r w:rsidR="002F6675">
        <w:rPr>
          <w:highlight w:val="yellow"/>
        </w:rPr>
        <w:t>ONYX</w:t>
      </w:r>
      <w:r w:rsidR="002F6675" w:rsidRPr="000D38AB">
        <w:rPr>
          <w:highlight w:val="yellow"/>
        </w:rPr>
        <w:t xml:space="preserve"> </w:t>
      </w:r>
      <w:r w:rsidRPr="000D38AB">
        <w:rPr>
          <w:highlight w:val="yellow"/>
        </w:rPr>
        <w:t>must receive a retainer in the initial amount of</w:t>
      </w:r>
      <w:r>
        <w:rPr>
          <w:highlight w:val="yellow"/>
        </w:rPr>
        <w:t xml:space="preserve"> </w:t>
      </w:r>
      <w:r w:rsidRPr="000D38AB">
        <w:rPr>
          <w:highlight w:val="yellow"/>
        </w:rPr>
        <w:t>$</w:t>
      </w:r>
      <w:r w:rsidRPr="004F3EA8">
        <w:rPr>
          <w:b/>
          <w:i/>
        </w:rPr>
        <w:fldChar w:fldCharType="begin">
          <w:ffData>
            <w:name w:val=""/>
            <w:enabled/>
            <w:calcOnExit w:val="0"/>
            <w:textInput>
              <w:default w:val="[insert amount]"/>
            </w:textInput>
          </w:ffData>
        </w:fldChar>
      </w:r>
      <w:r w:rsidRPr="004F3EA8">
        <w:instrText xml:space="preserve"> FORMTEXT </w:instrText>
      </w:r>
      <w:r w:rsidRPr="004F3EA8">
        <w:rPr>
          <w:b/>
          <w:i/>
        </w:rPr>
      </w:r>
      <w:r w:rsidRPr="004F3EA8">
        <w:rPr>
          <w:b/>
          <w:i/>
        </w:rPr>
        <w:fldChar w:fldCharType="separate"/>
      </w:r>
      <w:r w:rsidRPr="004F3EA8">
        <w:rPr>
          <w:noProof/>
        </w:rPr>
        <w:t>[insert amount]</w:t>
      </w:r>
      <w:r w:rsidRPr="004F3EA8">
        <w:rPr>
          <w:b/>
          <w:i/>
        </w:rPr>
        <w:fldChar w:fldCharType="end"/>
      </w:r>
      <w:r w:rsidR="00B139CD">
        <w:rPr>
          <w:bCs/>
          <w:iCs/>
        </w:rPr>
        <w:t xml:space="preserve"> (the “Retainer”)</w:t>
      </w:r>
      <w:r w:rsidRPr="000D38AB">
        <w:rPr>
          <w:highlight w:val="yellow"/>
        </w:rPr>
        <w:t>, payable prior to the commencement of any services.</w:t>
      </w:r>
      <w:r w:rsidRPr="004E19D8">
        <w:rPr>
          <w:highlight w:val="yellow"/>
        </w:rPr>
        <w:t xml:space="preserve"> </w:t>
      </w:r>
      <w:r w:rsidR="00474FC8">
        <w:rPr>
          <w:highlight w:val="yellow"/>
        </w:rPr>
        <w:t xml:space="preserve">The Client expressly grants ONYX a possessory security interest </w:t>
      </w:r>
      <w:r w:rsidR="00DE5CA9">
        <w:rPr>
          <w:highlight w:val="yellow"/>
        </w:rPr>
        <w:t>in the</w:t>
      </w:r>
      <w:r w:rsidR="00B139CD">
        <w:rPr>
          <w:highlight w:val="yellow"/>
        </w:rPr>
        <w:t xml:space="preserve"> Retainer</w:t>
      </w:r>
      <w:r w:rsidR="007738D8">
        <w:rPr>
          <w:highlight w:val="yellow"/>
        </w:rPr>
        <w:t xml:space="preserve"> to secure the payment of ONYX’s fees and costs. The Client also authorizes ONYX to withdraw from the Retainer any sums necessary to </w:t>
      </w:r>
      <w:r w:rsidR="00E57650">
        <w:rPr>
          <w:highlight w:val="yellow"/>
        </w:rPr>
        <w:t>pay fees charged, and costs incurred, from ONYX’s engagement.</w:t>
      </w:r>
      <w:r w:rsidR="00DE5CA9">
        <w:rPr>
          <w:highlight w:val="yellow"/>
        </w:rPr>
        <w:t xml:space="preserve"> </w:t>
      </w:r>
      <w:r w:rsidRPr="002D016D">
        <w:rPr>
          <w:highlight w:val="yellow"/>
        </w:rPr>
        <w:t>T</w:t>
      </w:r>
      <w:r w:rsidRPr="00901E7F">
        <w:rPr>
          <w:highlight w:val="yellow"/>
        </w:rPr>
        <w:t xml:space="preserve">he </w:t>
      </w:r>
      <w:r w:rsidR="00582DBB">
        <w:rPr>
          <w:highlight w:val="yellow"/>
        </w:rPr>
        <w:t>R</w:t>
      </w:r>
      <w:r w:rsidRPr="00901E7F">
        <w:rPr>
          <w:highlight w:val="yellow"/>
        </w:rPr>
        <w:t xml:space="preserve">etainer will be applied to </w:t>
      </w:r>
      <w:r w:rsidR="002F6675">
        <w:rPr>
          <w:highlight w:val="yellow"/>
        </w:rPr>
        <w:t>ONYX’s</w:t>
      </w:r>
      <w:r w:rsidR="002F6675" w:rsidRPr="00901E7F">
        <w:rPr>
          <w:highlight w:val="yellow"/>
        </w:rPr>
        <w:t xml:space="preserve"> </w:t>
      </w:r>
      <w:r w:rsidRPr="00901E7F">
        <w:rPr>
          <w:highlight w:val="yellow"/>
        </w:rPr>
        <w:t>final invoice</w:t>
      </w:r>
      <w:r w:rsidR="00582DBB">
        <w:rPr>
          <w:highlight w:val="yellow"/>
        </w:rPr>
        <w:t>. The Client must also still pay any remaining balance due to ONYX</w:t>
      </w:r>
      <w:r w:rsidR="00A66919">
        <w:rPr>
          <w:highlight w:val="yellow"/>
        </w:rPr>
        <w:t xml:space="preserve"> after the Retainer is applied to the final invoice. We will refund to the Client any unearned balance remaining from the Retainer when we conclude our engagement</w:t>
      </w:r>
      <w:r w:rsidRPr="00D85D47">
        <w:rPr>
          <w:highlight w:val="yellow"/>
        </w:rPr>
        <w:t>.</w:t>
      </w:r>
    </w:p>
    <w:p w14:paraId="14511489" w14:textId="77777777" w:rsidR="007C1374" w:rsidRDefault="007C1374" w:rsidP="004232B8">
      <w:pPr>
        <w:pStyle w:val="CLALTRHeading2"/>
        <w:jc w:val="both"/>
      </w:pPr>
      <w:r>
        <w:lastRenderedPageBreak/>
        <w:t>Other fees</w:t>
      </w:r>
    </w:p>
    <w:p w14:paraId="058D7BA7" w14:textId="56D8A4A3" w:rsidR="007C1374" w:rsidRDefault="002F6675" w:rsidP="004232B8">
      <w:pPr>
        <w:pStyle w:val="CLALTRNormal"/>
        <w:jc w:val="both"/>
      </w:pPr>
      <w:r>
        <w:t xml:space="preserve">The Client </w:t>
      </w:r>
      <w:r w:rsidR="007C1374">
        <w:t>also agree</w:t>
      </w:r>
      <w:r>
        <w:t>s</w:t>
      </w:r>
      <w:r w:rsidR="007C1374">
        <w:t xml:space="preserve"> to compensate </w:t>
      </w:r>
      <w:r>
        <w:t>ONYX</w:t>
      </w:r>
      <w:r w:rsidR="007C1374">
        <w:t xml:space="preserve"> for any time and expenses, including time and expenses of legal counsel, </w:t>
      </w:r>
      <w:r>
        <w:t xml:space="preserve">ONYX </w:t>
      </w:r>
      <w:r w:rsidR="007C1374">
        <w:t xml:space="preserve">may incur in responding to discovery requests or participating as a witness or otherwise in any legal, regulatory, or other proceedings that </w:t>
      </w:r>
      <w:r>
        <w:t xml:space="preserve">ONYX is </w:t>
      </w:r>
      <w:r w:rsidR="007C1374">
        <w:t xml:space="preserve">asked to respond to on </w:t>
      </w:r>
      <w:r>
        <w:t xml:space="preserve">the Client’s </w:t>
      </w:r>
      <w:r w:rsidR="007C1374">
        <w:t>behalf.</w:t>
      </w:r>
    </w:p>
    <w:p w14:paraId="1FCD6BC5" w14:textId="77777777" w:rsidR="007C1374" w:rsidRPr="00501D66" w:rsidRDefault="007C1374" w:rsidP="004232B8">
      <w:pPr>
        <w:pStyle w:val="CLALTRHeading2"/>
        <w:jc w:val="both"/>
      </w:pPr>
      <w:r w:rsidRPr="00501D66">
        <w:t>Finance charges and collection expenses</w:t>
      </w:r>
    </w:p>
    <w:p w14:paraId="26AC1D97" w14:textId="7FEE3B9F" w:rsidR="007C1374" w:rsidRDefault="002F6675" w:rsidP="004232B8">
      <w:pPr>
        <w:pStyle w:val="CLALTRNormal"/>
        <w:jc w:val="both"/>
      </w:pPr>
      <w:r>
        <w:t>The Client</w:t>
      </w:r>
      <w:r w:rsidRPr="00501D66">
        <w:t xml:space="preserve"> </w:t>
      </w:r>
      <w:r w:rsidR="007C1374" w:rsidRPr="00501D66">
        <w:t>agree</w:t>
      </w:r>
      <w:r>
        <w:t>s</w:t>
      </w:r>
      <w:r w:rsidR="007C1374" w:rsidRPr="00501D66">
        <w:t xml:space="preserve"> that if any statement is not paid within </w:t>
      </w:r>
      <w:r w:rsidR="00616098">
        <w:t>thirty (</w:t>
      </w:r>
      <w:r w:rsidR="007C1374" w:rsidRPr="00501D66">
        <w:t>30</w:t>
      </w:r>
      <w:r w:rsidR="00616098">
        <w:t>)</w:t>
      </w:r>
      <w:r w:rsidR="007C1374" w:rsidRPr="00501D66">
        <w:t xml:space="preserve"> days from its </w:t>
      </w:r>
      <w:r w:rsidR="007C1374">
        <w:t xml:space="preserve">billing </w:t>
      </w:r>
      <w:r w:rsidR="007C1374" w:rsidRPr="00501D66">
        <w:t xml:space="preserve">date, the unpaid balance shall accrue interest at the monthly rate of one and one-quarter percent (1.25%), which is an annual percentage rate of 15%. </w:t>
      </w:r>
      <w:proofErr w:type="gramStart"/>
      <w:r w:rsidR="007C1374" w:rsidRPr="00501D66">
        <w:t>In the event that</w:t>
      </w:r>
      <w:proofErr w:type="gramEnd"/>
      <w:r w:rsidR="007C1374" w:rsidRPr="00501D66">
        <w:t xml:space="preserve"> any collection action is required to collect unpaid balances </w:t>
      </w:r>
      <w:proofErr w:type="gramStart"/>
      <w:r w:rsidR="007C1374" w:rsidRPr="00501D66">
        <w:t>due</w:t>
      </w:r>
      <w:proofErr w:type="gramEnd"/>
      <w:r w:rsidR="007C1374" w:rsidRPr="00501D66">
        <w:t xml:space="preserve"> us, </w:t>
      </w:r>
      <w:r w:rsidR="00AD6268">
        <w:t xml:space="preserve">then the Client agrees that ONYX (or any attorney that ONYX may hire for this purpose) may also recover from the Client the </w:t>
      </w:r>
      <w:r w:rsidR="00584E17">
        <w:t xml:space="preserve">attorneys’ fees and costs to collect such sums, </w:t>
      </w:r>
      <w:proofErr w:type="gramStart"/>
      <w:r w:rsidR="00584E17">
        <w:t>whether or not</w:t>
      </w:r>
      <w:proofErr w:type="gramEnd"/>
      <w:r w:rsidR="00584E17">
        <w:t xml:space="preserve"> the Client contests the matter.</w:t>
      </w:r>
    </w:p>
    <w:p w14:paraId="1FAEB53B" w14:textId="77777777" w:rsidR="007C1374" w:rsidRDefault="007C1374" w:rsidP="004232B8">
      <w:pPr>
        <w:pStyle w:val="CLALTRHeading1"/>
        <w:jc w:val="both"/>
      </w:pPr>
      <w:r>
        <w:t xml:space="preserve">Our service commitment</w:t>
      </w:r>
    </w:p>
    <w:p w14:paraId="0C6B52CE" w14:textId="18ECCCBD" w:rsidR="007C1374" w:rsidRDefault="007C1374" w:rsidP="004232B8">
      <w:pPr>
        <w:pStyle w:val="CLALTRNormal"/>
        <w:jc w:val="both"/>
      </w:pPr>
      <w:r>
        <w:t xml:space="preserve">We stand behind our work. Upon full payment of our invoice, we will consider you satisfied with our services and our service commitment fulfilled.</w:t>
      </w:r>
    </w:p>
    <w:p w14:paraId="0C546F6C" w14:textId="29EA98E9" w:rsidR="007C1374" w:rsidRDefault="007C1374" w:rsidP="004232B8">
      <w:pPr>
        <w:pStyle w:val="CLALTRNormal"/>
        <w:jc w:val="both"/>
      </w:pPr>
      <w:r>
        <w:t xml:space="preserve">To ensure that ONYX’s services remain responsive to the Client’s needs, and fair to both parties, ONYX will meet with the Client throughout the term of this agreement and, as needs change, revise or adjust the scope of services and the related fees — without the need to re-execute this agreement. Such revisions or adjustments take effect once confirmed in writing, including by email, by both ONYX and the Client; no signature, formal addendum, or re-execution of this agreement is required.</w:t>
      </w:r>
    </w:p>
    <w:p w14:paraId="1E4339C2" w14:textId="08597DD5" w:rsidR="007C1374" w:rsidRDefault="007C1374" w:rsidP="004232B8">
      <w:pPr>
        <w:pStyle w:val="CLALTRNormal"/>
        <w:jc w:val="both"/>
      </w:pPr>
      <w:r>
        <w:t>Furthermore, it is understood that either party may terminate this agreement at any time, for any reason, by giving</w:t>
      </w:r>
      <w:r w:rsidR="00CD4E06">
        <w:t xml:space="preserve"> thirty</w:t>
      </w:r>
      <w:r>
        <w:t xml:space="preserve"> </w:t>
      </w:r>
      <w:r w:rsidR="00CD4E06">
        <w:t>(</w:t>
      </w:r>
      <w:r w:rsidRPr="00C770AF">
        <w:t>30</w:t>
      </w:r>
      <w:r w:rsidR="00CD4E06">
        <w:t>)</w:t>
      </w:r>
      <w:r w:rsidRPr="00C770AF">
        <w:t xml:space="preserve"> </w:t>
      </w:r>
      <w:proofErr w:type="gramStart"/>
      <w:r w:rsidRPr="00C770AF">
        <w:t>days</w:t>
      </w:r>
      <w:proofErr w:type="gramEnd"/>
      <w:r>
        <w:t xml:space="preserve"> written notice to the other party. In that event, the provisions of this agreement shall continue to apply to all services rendered prior to termination. It is understood that any unpaid fees that are owed or invoices that are outstanding at the date of termination are to be paid in accordance with the terms of this agreement.</w:t>
      </w:r>
    </w:p>
    <w:p>
      <w:pPr>
        <w:pStyle w:val="CLALTRHeading1"/>
        <w:pageBreakBefore/>
        <w:pBdr>
          <w:top w:val="single" w:sz="8" w:space="10" w:color="auto"/>
          <w:bottom w:val="single" w:sz="8" w:space="10" w:color="auto"/>
        </w:pBdr>
        <w:spacing w:before="240" w:after="200"/>
        <w:jc w:val="both"/>
      </w:pPr>
      <w:r>
        <w:rPr>
          <w:caps/>
          <w:color w:val="7F7F7F"/>
          <w:sz w:val="18"/>
          <w:szCs w:val="18"/>
          <w:spacing w:val="60"/>
        </w:rPr>
        <w:t xml:space="preserve">Section 2</w:t>
      </w:r>
      <w:r>
        <w:br/>
      </w:r>
      <w:r>
        <w:rPr>
          <w:sz w:val="48"/>
          <w:szCs w:val="48"/>
        </w:rPr>
        <w:t xml:space="preserve">Terms and Conditions</w:t>
      </w:r>
    </w:p>
    <w:p>
      <w:pPr>
        <w:pStyle w:val="CLALTRNormal"/>
        <w:jc w:val="both"/>
      </w:pPr>
      <w:r>
        <w:t xml:space="preserve">The following terms govern our engagement. They define each party’s responsibilities, allocate risk between us, and explain how any questions or disputes will be handled.</w:t>
      </w:r>
    </w:p>
    <w:p w14:paraId="58E69126" w14:textId="77777777" w:rsidR="007C1374" w:rsidRDefault="007C1374" w:rsidP="004232B8">
      <w:pPr>
        <w:pStyle w:val="CLALTRHeading1"/>
        <w:jc w:val="both"/>
      </w:pPr>
      <w:r>
        <w:t>Engagement objectives, limitations, and responsibilities</w:t>
      </w:r>
    </w:p>
    <w:p>
      <w:pPr>
        <w:pStyle w:val="CLALTRNormal"/>
        <w:jc w:val="both"/>
      </w:pPr>
      <w:r>
        <w:t xml:space="preserve">The objective of ONYX’s engagement is to assist the Client in the preparation of financial statements by providing the services identified above. ONYX has not been engaged to prepare financial statements, and financial statements will not be presented to the Client. Financial statements that may be generated from the Client’s accounting system have not been prepared, compiled, reviewed, or audited by ONYX and, accordingly, will not include an opinion or any other form of assurance. The financial statements will not be accompanied by a report, and ONYX should not be discussed or associated with them. Any analysis or presentation of financial information that ONYX provides to management is based on financial statements generated from the Client’s accounting system and does not constitute the preparation, compilation, review, or audit of financial statements by ONYX.</w:t>
      </w:r>
    </w:p>
    <w:p w14:paraId="67E374BD" w14:textId="2C45F098" w:rsidR="007C1374" w:rsidRDefault="007C1374" w:rsidP="004232B8">
      <w:pPr>
        <w:pStyle w:val="CLALTRNormal"/>
        <w:jc w:val="both"/>
        <w:rPr>
          <w:rStyle w:val="CLALTRNormalChar"/>
        </w:rPr>
      </w:pPr>
      <w:r w:rsidRPr="006B232D">
        <w:rPr>
          <w:rStyle w:val="CLALTRNormalChar"/>
        </w:rPr>
        <w:t>Material departures from accounting principles generally accepted in the United States of America (</w:t>
      </w:r>
      <w:r>
        <w:rPr>
          <w:rStyle w:val="CLALTRNormalChar"/>
        </w:rPr>
        <w:t xml:space="preserve">U.S. </w:t>
      </w:r>
      <w:r w:rsidRPr="006B232D">
        <w:rPr>
          <w:rStyle w:val="CLALTRNormalChar"/>
        </w:rPr>
        <w:t>GAAP) or a special purpose framework may exist</w:t>
      </w:r>
      <w:r w:rsidR="000E46C2">
        <w:rPr>
          <w:rStyle w:val="CLALTRNormalChar"/>
        </w:rPr>
        <w:t>,</w:t>
      </w:r>
      <w:r w:rsidRPr="006B232D">
        <w:rPr>
          <w:rStyle w:val="CLALTRNormalChar"/>
        </w:rPr>
        <w:t xml:space="preserve"> and the effects of those departures, if any, on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may not be disclosed. Because of the extent of material departures that may exist in, or required disclosures that may be omitted from,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w:t>
      </w:r>
      <w:r w:rsidR="000E46C2">
        <w:rPr>
          <w:rStyle w:val="CLALTRNormalChar"/>
        </w:rPr>
        <w:t>ONYX</w:t>
      </w:r>
      <w:r w:rsidR="000E46C2" w:rsidRPr="006B232D">
        <w:rPr>
          <w:rStyle w:val="CLALTRNormalChar"/>
        </w:rPr>
        <w:t xml:space="preserve"> </w:t>
      </w:r>
      <w:r w:rsidRPr="006B232D">
        <w:rPr>
          <w:rStyle w:val="CLALTRNormalChar"/>
        </w:rPr>
        <w:t>make</w:t>
      </w:r>
      <w:r w:rsidR="000E46C2">
        <w:rPr>
          <w:rStyle w:val="CLALTRNormalChar"/>
        </w:rPr>
        <w:t>s</w:t>
      </w:r>
      <w:r w:rsidRPr="006B232D">
        <w:rPr>
          <w:rStyle w:val="CLALTRNormalChar"/>
        </w:rPr>
        <w:t xml:space="preserve"> no representations regarding the appropriateness of such statements for </w:t>
      </w:r>
      <w:r w:rsidR="000E46C2">
        <w:rPr>
          <w:rStyle w:val="CLALTRNormalChar"/>
        </w:rPr>
        <w:t>the Client’s</w:t>
      </w:r>
      <w:r w:rsidR="000E46C2" w:rsidRPr="006B232D">
        <w:rPr>
          <w:rStyle w:val="CLALTRNormalChar"/>
        </w:rPr>
        <w:t xml:space="preserve"> </w:t>
      </w:r>
      <w:r w:rsidRPr="006B232D">
        <w:rPr>
          <w:rStyle w:val="CLALTRNormalChar"/>
        </w:rPr>
        <w:t xml:space="preserve">intended use or for any other purpose. Moreover, because of the nature of </w:t>
      </w:r>
      <w:r w:rsidR="000E46C2">
        <w:rPr>
          <w:rStyle w:val="CLALTRNormalChar"/>
        </w:rPr>
        <w:t>ONYX’s</w:t>
      </w:r>
      <w:r w:rsidR="000E46C2" w:rsidRPr="006B232D">
        <w:rPr>
          <w:rStyle w:val="CLALTRNormalChar"/>
        </w:rPr>
        <w:t xml:space="preserve"> </w:t>
      </w:r>
      <w:r w:rsidRPr="006B232D">
        <w:rPr>
          <w:rStyle w:val="CLALTRNormalChar"/>
        </w:rPr>
        <w:t xml:space="preserve">engagement, </w:t>
      </w:r>
      <w:r w:rsidR="000E46C2">
        <w:rPr>
          <w:rStyle w:val="CLALTRNormalChar"/>
        </w:rPr>
        <w:t>ONYX</w:t>
      </w:r>
      <w:r w:rsidR="000E46C2" w:rsidRPr="006B232D">
        <w:rPr>
          <w:rStyle w:val="CLALTRNormalChar"/>
        </w:rPr>
        <w:t xml:space="preserve"> </w:t>
      </w:r>
      <w:r w:rsidR="000E46C2">
        <w:rPr>
          <w:rStyle w:val="CLALTRNormalChar"/>
        </w:rPr>
        <w:t>is</w:t>
      </w:r>
      <w:r w:rsidRPr="006B232D">
        <w:rPr>
          <w:rStyle w:val="CLALTRNormalChar"/>
        </w:rPr>
        <w:t xml:space="preserve"> not responsible for communicating any such departures or omissions to </w:t>
      </w:r>
      <w:r w:rsidR="000E46C2">
        <w:rPr>
          <w:rStyle w:val="CLALTRNormalChar"/>
        </w:rPr>
        <w:t>the Client</w:t>
      </w:r>
      <w:r w:rsidRPr="006B232D">
        <w:rPr>
          <w:rStyle w:val="CLALTRNormalChar"/>
        </w:rPr>
        <w:t>.</w:t>
      </w:r>
    </w:p>
    <w:p w14:paraId="237D4625" w14:textId="2D9F240D" w:rsidR="007C1374" w:rsidRDefault="000E46C2" w:rsidP="004232B8">
      <w:pPr>
        <w:pStyle w:val="CLALTRNormal"/>
        <w:jc w:val="both"/>
      </w:pPr>
      <w:r>
        <w:t xml:space="preserve">ONYX’s </w:t>
      </w:r>
      <w:r w:rsidR="007C1374">
        <w:t xml:space="preserve">engagement cannot be relied upon to identify or disclose any financial statement misstatements, including those caused by fraud or error, or to identify or disclose any wrongdoing within </w:t>
      </w:r>
      <w:r>
        <w:t>the Client</w:t>
      </w:r>
      <w:r w:rsidR="007C1374">
        <w:t xml:space="preserve"> or noncompliance with laws and regulations. </w:t>
      </w:r>
      <w:r>
        <w:t>ONYX has</w:t>
      </w:r>
      <w:r w:rsidR="007C1374">
        <w:t xml:space="preserve"> no responsibility to identify and communicate deficiencies in </w:t>
      </w:r>
      <w:r>
        <w:t xml:space="preserve">the Client’s </w:t>
      </w:r>
      <w:r w:rsidR="007C1374">
        <w:t xml:space="preserve">internal control as part of </w:t>
      </w:r>
      <w:r>
        <w:t xml:space="preserve">ONYX’s </w:t>
      </w:r>
      <w:r w:rsidR="007C1374">
        <w:t xml:space="preserve">engagement. </w:t>
      </w:r>
      <w:r>
        <w:t>The Client</w:t>
      </w:r>
      <w:r w:rsidRPr="00AB3E66">
        <w:t xml:space="preserve"> </w:t>
      </w:r>
      <w:r w:rsidR="007C1374" w:rsidRPr="00AB3E66">
        <w:t>agree</w:t>
      </w:r>
      <w:r>
        <w:t>s</w:t>
      </w:r>
      <w:r w:rsidR="007C1374" w:rsidRPr="00AB3E66">
        <w:t xml:space="preserve"> that </w:t>
      </w:r>
      <w:r>
        <w:t>ONYX</w:t>
      </w:r>
      <w:r w:rsidRPr="00AB3E66">
        <w:t xml:space="preserve"> </w:t>
      </w:r>
      <w:r w:rsidR="007C1374" w:rsidRPr="00AB3E66">
        <w:t xml:space="preserve">shall not be responsible for any </w:t>
      </w:r>
      <w:proofErr w:type="gramStart"/>
      <w:r w:rsidR="007C1374" w:rsidRPr="00AB3E66">
        <w:t>misstatements</w:t>
      </w:r>
      <w:proofErr w:type="gramEnd"/>
      <w:r w:rsidR="007C1374" w:rsidRPr="00AB3E66">
        <w:t xml:space="preserve"> in the </w:t>
      </w:r>
      <w:r>
        <w:t>Client’s</w:t>
      </w:r>
      <w:r w:rsidRPr="00AB3E66">
        <w:t xml:space="preserve"> </w:t>
      </w:r>
      <w:r w:rsidR="007C1374" w:rsidRPr="00AB3E66">
        <w:t xml:space="preserve">financial statements that may </w:t>
      </w:r>
      <w:r w:rsidR="007C1374">
        <w:t>not be identified</w:t>
      </w:r>
      <w:r w:rsidR="007C1374" w:rsidRPr="00AB3E66">
        <w:t xml:space="preserve"> </w:t>
      </w:r>
      <w:proofErr w:type="gramStart"/>
      <w:r w:rsidR="007C1374" w:rsidRPr="00AB3E66">
        <w:t>as a result of</w:t>
      </w:r>
      <w:proofErr w:type="gramEnd"/>
      <w:r w:rsidR="007C1374" w:rsidRPr="00AB3E66">
        <w:t xml:space="preserve"> misrepresentations made to </w:t>
      </w:r>
      <w:r>
        <w:t>ONYX</w:t>
      </w:r>
      <w:r w:rsidRPr="00AB3E66">
        <w:t xml:space="preserve"> </w:t>
      </w:r>
      <w:r w:rsidR="007C1374" w:rsidRPr="00AB3E66">
        <w:t xml:space="preserve">by </w:t>
      </w:r>
      <w:r>
        <w:t>the Client</w:t>
      </w:r>
      <w:r w:rsidR="007C1374">
        <w:t>.</w:t>
      </w:r>
    </w:p>
    <w:p w14:paraId="17F8AFD8" w14:textId="4FAEBBF5" w:rsidR="007C1374" w:rsidRDefault="007C1374" w:rsidP="004232B8">
      <w:pPr>
        <w:pStyle w:val="CLALTRNormalIndent"/>
        <w:ind w:left="0"/>
        <w:jc w:val="both"/>
      </w:pPr>
      <w:r>
        <w:t xml:space="preserve">For all accounting services </w:t>
      </w:r>
      <w:r w:rsidR="000E46C2">
        <w:t xml:space="preserve">ONYX </w:t>
      </w:r>
      <w:r>
        <w:t xml:space="preserve">may provide to </w:t>
      </w:r>
      <w:r w:rsidR="000E46C2">
        <w:t>the Client</w:t>
      </w:r>
      <w:r>
        <w:t xml:space="preserve">, including assistance with the preparation of </w:t>
      </w:r>
      <w:r w:rsidR="000E46C2">
        <w:t xml:space="preserve">the Client’s </w:t>
      </w:r>
      <w:r>
        <w:t>financial statements, management agrees to assume all management responsibilities; oversee the services; evaluate the adequacy and results of the services; and accept responsibility for the results of the services.</w:t>
      </w:r>
    </w:p>
    <w:p w14:paraId="48154494" w14:textId="3C2647EB" w:rsidR="00592EB7" w:rsidRDefault="00592EB7" w:rsidP="00592EB7">
      <w:pPr>
        <w:pStyle w:val="CLALTRNormal"/>
        <w:jc w:val="both"/>
      </w:pPr>
      <w:r>
        <w:t xml:space="preserve">The Client understands that ONYX is only engaged by the Client. If the Client is a </w:t>
      </w:r>
      <w:r w:rsidR="00FC3660">
        <w:t>business entity</w:t>
      </w:r>
      <w:r>
        <w:t xml:space="preserve">, then ONYX does NOT also represent any of the Client’s individual partners, members, officers, directors or employees (as the case may be) or any other entities whose interests are represented by those </w:t>
      </w:r>
      <w:proofErr w:type="gramStart"/>
      <w:r>
        <w:t>persons</w:t>
      </w:r>
      <w:proofErr w:type="gramEnd"/>
      <w:r>
        <w:t>, unless ONYX agrees to do so in writing.</w:t>
      </w:r>
    </w:p>
    <w:p w14:paraId="423BE096" w14:textId="33AB8515" w:rsidR="00FC3660" w:rsidRPr="00592EB7" w:rsidRDefault="00FC3660" w:rsidP="008270E1">
      <w:pPr>
        <w:pStyle w:val="CLALTRNormal"/>
        <w:jc w:val="both"/>
      </w:pPr>
      <w:r>
        <w:t xml:space="preserve">If the Client is a business entity, </w:t>
      </w:r>
      <w:r w:rsidR="00C70BA9">
        <w:t>then, for the convenience of all involved, you have authorized the persons designated in this letter to act for you in a representative capacity in communicating your instructions to us.</w:t>
      </w:r>
    </w:p>
    <w:p>
      <w:pPr>
        <w:pStyle w:val="CLALTRHeading2"/>
        <w:jc w:val="both"/>
      </w:pPr>
      <w:r>
        <w:t xml:space="preserve">Client indemnification</w:t>
      </w:r>
    </w:p>
    <w:p>
      <w:pPr>
        <w:pStyle w:val="CLALTRNormal"/>
        <w:jc w:val="both"/>
      </w:pPr>
      <w:r>
        <w:t xml:space="preserve">Client shall indemnify, defend, and hold harmless ONYX, its partners, principals, directors, officers, employees, agents, subcontractors, and affiliates (collectively, the “ONYX Parties” and each an “ONYX Party”) from and against any and all third-party claims, demands, actions, damages, losses, liabilities, penalties, fines, judgments, costs, and expenses, including reasonable attorneys’ fees and defense costs, arising out of or relating to: (a) information, records, or data provided by Client that is inaccurate, incomplete, misleading, or untimely; (b) instructions, approvals, authorizations, or decisions made by Client or its representatives; (c) Client’s failure to maintain adequate internal controls, oversight, or segregation of duties; (d) payments, wire transfers, payroll transactions, vendor setups, customer setups, or other financial transactions approved by Client; (e) acts or omissions of Client’s employees, officers, owners, agents, contractors, or other service providers; or (f) Client’s violation of any applicable law, regulation, contract, or legal obligation. This indemnification obligation shall not apply to the extent a claim is finally determined by a court or arbitrator of competent jurisdiction to have resulted from the gross negligence or willful misconduct of an ONYX Party.</w:t>
      </w:r>
    </w:p>
    <w:p w14:paraId="33F7E619" w14:textId="77777777" w:rsidR="007C1374" w:rsidRDefault="007C1374" w:rsidP="004232B8">
      <w:pPr>
        <w:pStyle w:val="CLALTRHeading1"/>
        <w:jc w:val="both"/>
      </w:pPr>
      <w:r>
        <w:t>Limitation of remedies</w:t>
      </w:r>
    </w:p>
    <w:p>
      <w:pPr>
        <w:pStyle w:val="CLALTRNormal"/>
        <w:jc w:val="both"/>
      </w:pPr>
      <w:r>
        <w:t xml:space="preserve">ONYX’s role is strictly limited to the engagement described in this letter, and ONYX offers no assurance as to the results or ultimate outcomes of this engagement or of any decisions that the Client may make based on ONYX’s communications with the Client. The Client agrees that it is appropriate to limit the liability of the ONYX Parties.</w:t>
      </w:r>
    </w:p>
    <w:p w14:paraId="05D04A73" w14:textId="6A38FA52" w:rsidR="00416721" w:rsidRDefault="00416721" w:rsidP="004232B8">
      <w:pPr>
        <w:pStyle w:val="CLALTRNormal"/>
        <w:jc w:val="both"/>
      </w:pPr>
      <w:r>
        <w:t>If a dispute arises from or relates to this agreement or the breach thereof, and if the dispute cannot be settled through direct discussions, the parties agree to endeavor first to settle the dispute by mediation administered by the American Arbitration Association</w:t>
      </w:r>
      <w:r w:rsidR="00715BF2">
        <w:t xml:space="preserve"> in Maricopa County, Arizona</w:t>
      </w:r>
      <w:r>
        <w:t xml:space="preserve"> under its Commercial Mediation Procedures before resorting to arbitration. The parties further agree that any unresolved controversy or claim arising out of or relating to this agreement, or breach thereof, shall be settled by arbitration administered by the American Arbitration Association</w:t>
      </w:r>
      <w:r w:rsidR="00715BF2">
        <w:t xml:space="preserve"> in Maricopa County, Arizona</w:t>
      </w:r>
      <w:r>
        <w:t xml:space="preserve"> in accordance with its Commercial Arbitration Rules and judgment on the award rendered by the arbitrator(s) may be entered in any court having jurisdiction thereof.</w:t>
      </w:r>
    </w:p>
    <w:p w14:paraId="4843286B" w14:textId="5B30B26C" w:rsidR="007C1374" w:rsidRDefault="00CF3BBF" w:rsidP="004232B8">
      <w:pPr>
        <w:pStyle w:val="CLALTRNormal"/>
        <w:jc w:val="both"/>
      </w:pPr>
      <w:r>
        <w:t>Each person signing this letter agrees (1) that this agreement is entered into in the State of Arizona, (2) that Arizona law governs this agreement, and (</w:t>
      </w:r>
      <w:r w:rsidR="00CA1898">
        <w:t>3</w:t>
      </w:r>
      <w:r>
        <w:t>) each such person consents to the personal jurisdiction of the courts of Maricopa County, Arizona.</w:t>
      </w:r>
      <w:r w:rsidR="007C1374" w:rsidRPr="0080002E">
        <w:rPr>
          <w:rStyle w:val="CLALTRHiddenTextChar"/>
        </w:rPr>
        <w:t xml:space="preserve"> </w:t>
      </w:r>
      <w:r w:rsidR="007C1374">
        <w:rPr>
          <w:rStyle w:val="CLALTRHiddenTextChar"/>
        </w:rPr>
        <w:t xml:space="preserve">  </w:t>
      </w:r>
    </w:p>
    <w:p>
      <w:pPr>
        <w:pStyle w:val="CLALTRNormal"/>
        <w:jc w:val="both"/>
      </w:pPr>
      <w:r>
        <w:t xml:space="preserve">The Client further agrees that it will not hold ONYX or any other ONYX Party liable for any claim, cost, or damage, whether based on warranty, tort, contract, or other law, arising from or related to this agreement, the services provided under this agreement, the work product, or for any plans, actions, or results of this engagement, except to the extent authorized by this agreement.</w:t>
      </w:r>
    </w:p>
    <w:p>
      <w:pPr>
        <w:pStyle w:val="CLALTRNormal"/>
        <w:jc w:val="both"/>
      </w:pPr>
      <w:r>
        <w:t xml:space="preserve">To the fullest extent permitted by law, the aggregate liability of all ONYX Parties arising out of or relating to this agreement, the services provided under this agreement, or any work product delivered pursuant to this agreement, regardless of the form of action and whether based in contract, tort, negligence, strict liability, statute, fiduciary theory, or otherwise, shall not exceed the total fees actually paid by Client to ONYX under this agreement during the twelve (12) months immediately preceding the event giving rise to the claim.</w:t>
      </w:r>
    </w:p>
    <w:p>
      <w:pPr>
        <w:pStyle w:val="CLALTRNormal"/>
        <w:jc w:val="both"/>
      </w:pPr>
      <w:r>
        <w:t xml:space="preserve">In no event shall any ONYX Party be liable for any indirect, consequential, special, incidental, exemplary, enhanced, or punitive damages, including without limitation loss of profits, loss of revenue, loss of business opportunity, loss of anticipated savings, loss of data, loss of goodwill, business interruption losses, or attorneys’ fees and costs, regardless of the legal theory asserted and even if advised of the possibility of such damages.</w:t>
      </w:r>
    </w:p>
    <w:p w14:paraId="39328149" w14:textId="77777777" w:rsidR="00E45A6A" w:rsidRDefault="00E45A6A" w:rsidP="004232B8">
      <w:pPr>
        <w:pStyle w:val="CLALTRNormal"/>
        <w:jc w:val="both"/>
      </w:pPr>
    </w:p>
    <w:p w14:paraId="286BF09C" w14:textId="77777777" w:rsidR="00E45A6A" w:rsidRDefault="00E45A6A" w:rsidP="004232B8">
      <w:pPr>
        <w:pStyle w:val="CLALTRNormal"/>
        <w:jc w:val="both"/>
      </w:pPr>
    </w:p>
    <w:p w14:paraId="1BE0DCC1" w14:textId="77777777" w:rsidR="007C1374" w:rsidRDefault="007C1374" w:rsidP="004232B8">
      <w:pPr>
        <w:pStyle w:val="CLALTRHeading1"/>
        <w:jc w:val="both"/>
      </w:pPr>
      <w:r>
        <w:lastRenderedPageBreak/>
        <w:t>Time limitation</w:t>
      </w:r>
    </w:p>
    <w:p w14:paraId="1C81879F" w14:textId="4EA91225" w:rsidR="007C1374" w:rsidRDefault="007C1374" w:rsidP="004232B8">
      <w:pPr>
        <w:pStyle w:val="CLALTRNormal"/>
        <w:jc w:val="both"/>
      </w:pPr>
      <w:r>
        <w:t xml:space="preserve">The nature of our services makes it difficult, with the passage of time, to gather and present evidence that fully and fairly establishes the facts underlying any dispute that may arise between </w:t>
      </w:r>
      <w:r w:rsidR="002F6675">
        <w:t xml:space="preserve">the Client </w:t>
      </w:r>
      <w:r>
        <w:t xml:space="preserve">and any </w:t>
      </w:r>
      <w:r w:rsidR="003A2EF5">
        <w:t>ONYX</w:t>
      </w:r>
      <w:r>
        <w:t xml:space="preserve"> </w:t>
      </w:r>
      <w:r w:rsidR="002F6675">
        <w:t>P</w:t>
      </w:r>
      <w:r>
        <w:t xml:space="preserve">arty. The </w:t>
      </w:r>
      <w:r w:rsidR="002F6675">
        <w:t>Client and ONYX</w:t>
      </w:r>
      <w:r>
        <w:t xml:space="preserve"> agree that, notwithstanding any statute or law of limitations that might otherwise apply to a dispute, including one arising out of this agreement or the services performed under this agreement, for breach of contract or fiduciary duty, tort, fraud, misrepresentation or any other cause of action or remedy, any action or legal proceeding by </w:t>
      </w:r>
      <w:r w:rsidR="002F6675">
        <w:t xml:space="preserve">the Client </w:t>
      </w:r>
      <w:r>
        <w:t xml:space="preserve">against any </w:t>
      </w:r>
      <w:r w:rsidR="003A2EF5">
        <w:t>ONYX</w:t>
      </w:r>
      <w:r>
        <w:t xml:space="preserve"> </w:t>
      </w:r>
      <w:r w:rsidR="002F6675">
        <w:t>P</w:t>
      </w:r>
      <w:r>
        <w:t xml:space="preserve">arty must be commenced separately </w:t>
      </w:r>
      <w:r w:rsidRPr="0098092D">
        <w:t xml:space="preserve">within twenty-four (24) </w:t>
      </w:r>
      <w:r>
        <w:t xml:space="preserve">months after the date when </w:t>
      </w:r>
      <w:r w:rsidR="002F6675">
        <w:t xml:space="preserve">ONYX </w:t>
      </w:r>
      <w:r>
        <w:t>deliver</w:t>
      </w:r>
      <w:r w:rsidR="002F6675">
        <w:t>s</w:t>
      </w:r>
      <w:r>
        <w:t xml:space="preserve"> such services under this agreement to </w:t>
      </w:r>
      <w:r w:rsidR="002F6675">
        <w:t xml:space="preserve">the Client </w:t>
      </w:r>
      <w:r>
        <w:t>on which the dispute is based</w:t>
      </w:r>
      <w:r w:rsidR="00095922">
        <w:t xml:space="preserve"> (the “Limitation Period”)</w:t>
      </w:r>
      <w:r>
        <w:t xml:space="preserve">, regardless of whether any </w:t>
      </w:r>
      <w:r w:rsidR="003A2EF5">
        <w:t>ONYX</w:t>
      </w:r>
      <w:r>
        <w:t xml:space="preserve"> </w:t>
      </w:r>
      <w:r w:rsidR="002F6675">
        <w:t>P</w:t>
      </w:r>
      <w:r>
        <w:t xml:space="preserve">arty provides other services for </w:t>
      </w:r>
      <w:r w:rsidR="002F6675">
        <w:t xml:space="preserve">the Client </w:t>
      </w:r>
      <w:r>
        <w:t xml:space="preserve">under this agreement, or </w:t>
      </w:r>
      <w:r w:rsidR="002F6675">
        <w:t xml:space="preserve">the Client </w:t>
      </w:r>
      <w:r>
        <w:t>shall be forever barred from commencing a lawsuit or obtaining any legal or equitable relief or recovery</w:t>
      </w:r>
      <w:r w:rsidR="00095922">
        <w:t xml:space="preserve"> against any ONYX Party</w:t>
      </w:r>
      <w:r>
        <w:t>.</w:t>
      </w:r>
      <w:r w:rsidRPr="005A07F3">
        <w:t xml:space="preserve"> </w:t>
      </w:r>
    </w:p>
    <w:p w14:paraId="303C9862" w14:textId="4A812A7F" w:rsidR="007C1374" w:rsidRDefault="007C1374" w:rsidP="004232B8">
      <w:pPr>
        <w:pStyle w:val="CLALTRNormal"/>
        <w:jc w:val="both"/>
      </w:pPr>
      <w:r>
        <w:t xml:space="preserve">The Limitation Period applies and begins to run even if </w:t>
      </w:r>
      <w:r w:rsidR="002F6675">
        <w:t xml:space="preserve">the Client </w:t>
      </w:r>
      <w:r>
        <w:t>ha</w:t>
      </w:r>
      <w:r w:rsidR="002F6675">
        <w:t>s</w:t>
      </w:r>
      <w:r>
        <w:t xml:space="preserve"> not suffered any damage or loss or ha</w:t>
      </w:r>
      <w:r w:rsidR="00095922">
        <w:t>s</w:t>
      </w:r>
      <w:r>
        <w:t xml:space="preserve"> not become aware of the existence or possible existence of a dispute.</w:t>
      </w:r>
    </w:p>
    <w:p w14:paraId="140B91CF" w14:textId="77777777" w:rsidR="007C1374" w:rsidRDefault="007C1374" w:rsidP="004232B8">
      <w:pPr>
        <w:pStyle w:val="CLALTRHeading1"/>
        <w:jc w:val="both"/>
      </w:pPr>
      <w:r>
        <w:t>Other provisions</w:t>
      </w:r>
    </w:p>
    <w:p w14:paraId="1AE56CDF" w14:textId="3108C66B" w:rsidR="007C1374" w:rsidRDefault="007C1374" w:rsidP="004232B8">
      <w:pPr>
        <w:pStyle w:val="CLALTRNormal"/>
        <w:jc w:val="both"/>
      </w:pPr>
      <w:r w:rsidRPr="007466C6">
        <w:t>Except as permitted by the “Consent” section of this agreement,</w:t>
      </w:r>
      <w:r w:rsidRPr="00DD3393">
        <w:t xml:space="preserve"> </w:t>
      </w:r>
      <w:r w:rsidR="003A2EF5">
        <w:t>ONYX</w:t>
      </w:r>
      <w:r>
        <w:t xml:space="preserve"> will not disclose any confidential, proprietary, or privileged information of the entity to any persons without the </w:t>
      </w:r>
      <w:r w:rsidR="009E14AB">
        <w:t xml:space="preserve">Client’s </w:t>
      </w:r>
      <w:r>
        <w:t>authorization or unless required by law.</w:t>
      </w:r>
      <w:r w:rsidRPr="005067D8">
        <w:t xml:space="preserve"> </w:t>
      </w:r>
      <w:r>
        <w:t xml:space="preserve">This confidentiality provision does not prohibit </w:t>
      </w:r>
      <w:r w:rsidR="009E14AB">
        <w:t xml:space="preserve">ONYX </w:t>
      </w:r>
      <w:r>
        <w:t xml:space="preserve">from disclosing </w:t>
      </w:r>
      <w:r w:rsidR="009E14AB">
        <w:t xml:space="preserve">the Client’s </w:t>
      </w:r>
      <w:r>
        <w:t xml:space="preserve">information to one or more of our affiliated companies </w:t>
      </w:r>
      <w:proofErr w:type="gramStart"/>
      <w:r>
        <w:t>in order to</w:t>
      </w:r>
      <w:proofErr w:type="gramEnd"/>
      <w:r>
        <w:t xml:space="preserve"> provide services that </w:t>
      </w:r>
      <w:r w:rsidR="009E14AB">
        <w:t xml:space="preserve">the Client </w:t>
      </w:r>
      <w:r>
        <w:t>ha</w:t>
      </w:r>
      <w:r w:rsidR="009E14AB">
        <w:t>s</w:t>
      </w:r>
      <w:r>
        <w:t xml:space="preserve"> requested from </w:t>
      </w:r>
      <w:r w:rsidR="009E14AB">
        <w:t xml:space="preserve">ONYX </w:t>
      </w:r>
      <w:r>
        <w:t xml:space="preserve">or from any such affiliated company. Any such affiliated company shall be subject to the same restrictions on the use and disclosure of </w:t>
      </w:r>
      <w:r w:rsidR="009E14AB">
        <w:t xml:space="preserve">the Client’s </w:t>
      </w:r>
      <w:r>
        <w:t xml:space="preserve">information as apply to </w:t>
      </w:r>
      <w:r w:rsidR="009E14AB">
        <w:t>ONYX</w:t>
      </w:r>
      <w:r>
        <w:t>.</w:t>
      </w:r>
    </w:p>
    <w:p w14:paraId="3A4C7385" w14:textId="792FD0BD" w:rsidR="007C1374" w:rsidRDefault="009E14AB" w:rsidP="004232B8">
      <w:pPr>
        <w:pStyle w:val="CLALTRNormal"/>
        <w:jc w:val="both"/>
      </w:pPr>
      <w:r>
        <w:t xml:space="preserve">ONYX </w:t>
      </w:r>
      <w:r w:rsidR="007C1374">
        <w:t xml:space="preserve">will be responsible for </w:t>
      </w:r>
      <w:r>
        <w:t xml:space="preserve">its </w:t>
      </w:r>
      <w:r w:rsidR="007C1374">
        <w:t xml:space="preserve">property and casualty, general liability, and workers compensation insurance, taxes, professional training, and other personnel costs related to the operation of </w:t>
      </w:r>
      <w:r>
        <w:t xml:space="preserve">its </w:t>
      </w:r>
      <w:r w:rsidR="007C1374">
        <w:t xml:space="preserve">business. </w:t>
      </w:r>
    </w:p>
    <w:p w14:paraId="21F88F3C" w14:textId="62E9577F" w:rsidR="007C1374" w:rsidRDefault="007C1374" w:rsidP="004232B8">
      <w:pPr>
        <w:pStyle w:val="CLALTRNormal"/>
        <w:jc w:val="both"/>
      </w:pPr>
      <w:r>
        <w:t xml:space="preserve">When performing the services above, </w:t>
      </w:r>
      <w:r w:rsidR="009E14AB">
        <w:t xml:space="preserve">ONYX </w:t>
      </w:r>
      <w:r>
        <w:t xml:space="preserve">will utilize the resources available </w:t>
      </w:r>
      <w:r w:rsidR="009E14AB">
        <w:t xml:space="preserve">from </w:t>
      </w:r>
      <w:r>
        <w:t xml:space="preserve">the </w:t>
      </w:r>
      <w:r w:rsidR="009E14AB">
        <w:t xml:space="preserve">Client </w:t>
      </w:r>
      <w:r>
        <w:t xml:space="preserve">to the extent practical to continue development of </w:t>
      </w:r>
      <w:r w:rsidR="009E14AB">
        <w:t xml:space="preserve">the Client’s </w:t>
      </w:r>
      <w:r>
        <w:t xml:space="preserve">personnel. During a portion of </w:t>
      </w:r>
      <w:r w:rsidR="009E14AB">
        <w:t xml:space="preserve">ONYX’s </w:t>
      </w:r>
      <w:r>
        <w:t xml:space="preserve">work, </w:t>
      </w:r>
      <w:r w:rsidR="009E14AB">
        <w:t xml:space="preserve">ONYX </w:t>
      </w:r>
      <w:r>
        <w:t xml:space="preserve">may require the use of </w:t>
      </w:r>
      <w:r w:rsidR="009E14AB">
        <w:t xml:space="preserve">the Client’s </w:t>
      </w:r>
      <w:r>
        <w:t xml:space="preserve">computers. </w:t>
      </w:r>
      <w:r w:rsidR="009E14AB">
        <w:t xml:space="preserve">ONYX </w:t>
      </w:r>
      <w:r>
        <w:t>will try</w:t>
      </w:r>
      <w:r w:rsidR="00330014">
        <w:t>, but does not guarantee,</w:t>
      </w:r>
      <w:r>
        <w:t xml:space="preserve"> to give </w:t>
      </w:r>
      <w:r w:rsidR="009E14AB">
        <w:t xml:space="preserve">the Client </w:t>
      </w:r>
      <w:r>
        <w:t xml:space="preserve">advance notice and coordinate </w:t>
      </w:r>
      <w:r w:rsidR="00330014">
        <w:t xml:space="preserve">its </w:t>
      </w:r>
      <w:r>
        <w:t xml:space="preserve">use so it does not interfere with </w:t>
      </w:r>
      <w:r w:rsidR="00330014">
        <w:t xml:space="preserve">the Client’s </w:t>
      </w:r>
      <w:r>
        <w:t>employees.</w:t>
      </w:r>
    </w:p>
    <w:p w14:paraId="579BA313" w14:textId="2CCE9148" w:rsidR="007C1374" w:rsidRDefault="007C1374" w:rsidP="004232B8">
      <w:pPr>
        <w:pStyle w:val="CLALTRNormal"/>
        <w:jc w:val="both"/>
      </w:pPr>
      <w:r>
        <w:lastRenderedPageBreak/>
        <w:t xml:space="preserve">The relationship of </w:t>
      </w:r>
      <w:r w:rsidR="003A2EF5">
        <w:t>ONYX</w:t>
      </w:r>
      <w:r>
        <w:t xml:space="preserve"> </w:t>
      </w:r>
      <w:r w:rsidR="00330014">
        <w:t>with the Client</w:t>
      </w:r>
      <w:r>
        <w:t xml:space="preserve"> shall be solely that of an independent contractor</w:t>
      </w:r>
      <w:r w:rsidR="00330014">
        <w:t>,</w:t>
      </w:r>
      <w:r>
        <w:t xml:space="preserve"> and nothing in this agreement shall be construed to create or imply any relationship of employment, agency, partnership, or any relationship other than</w:t>
      </w:r>
      <w:r w:rsidR="00330014">
        <w:t xml:space="preserve"> that of</w:t>
      </w:r>
      <w:r>
        <w:t xml:space="preserve"> an independent contractor.</w:t>
      </w:r>
    </w:p>
    <w:p>
      <w:pPr>
        <w:pStyle w:val="CLALTRNormal"/>
        <w:jc w:val="both"/>
      </w:pPr>
      <w:r>
        <w:t xml:space="preserve">Accounting standards and procedures will be suggested that are consistent with those normally utilized in an entity of the Client’s size and nature. ONYX will require the Client to approve any changes in the application of accounting standards and procedures for the Client. Internal controls may be recommended relating to the safeguarding of the Client’s assets. If fraud is initiated by the Client’s employees or other service providers, any resulting losses shall be the Client’s responsibility, and the Client shall look first to its own insurance coverage.</w:t>
      </w:r>
    </w:p>
    <w:p w14:paraId="1D7B1DBA" w14:textId="27C1140B" w:rsidR="007C1374" w:rsidRDefault="007C1374" w:rsidP="004232B8">
      <w:pPr>
        <w:pStyle w:val="CLALTRNormal"/>
        <w:jc w:val="both"/>
      </w:pPr>
      <w:r>
        <w:t xml:space="preserve">The </w:t>
      </w:r>
      <w:r w:rsidR="009919E2">
        <w:t xml:space="preserve">Client </w:t>
      </w:r>
      <w:r>
        <w:t xml:space="preserve">agrees that </w:t>
      </w:r>
      <w:r w:rsidR="003A2EF5">
        <w:t>ONYX</w:t>
      </w:r>
      <w:r>
        <w:t xml:space="preserve"> will not be assuming any fiduciary responsibility on </w:t>
      </w:r>
      <w:r w:rsidR="009919E2">
        <w:t xml:space="preserve">the Client’s </w:t>
      </w:r>
      <w:r>
        <w:t xml:space="preserve">behalf </w:t>
      </w:r>
      <w:proofErr w:type="gramStart"/>
      <w:r>
        <w:t>during the course of</w:t>
      </w:r>
      <w:proofErr w:type="gramEnd"/>
      <w:r>
        <w:t xml:space="preserve"> this engagement.</w:t>
      </w:r>
    </w:p>
    <w:p w14:paraId="76E66D93" w14:textId="5B47C7C1" w:rsidR="0086240B" w:rsidRDefault="00977852" w:rsidP="004232B8">
      <w:pPr>
        <w:pStyle w:val="CLALTRNormal"/>
        <w:jc w:val="both"/>
      </w:pPr>
      <w:r>
        <w:t xml:space="preserve">The Client agrees that ONYX may communicate with the Client and its representatives (if the Client is a business entity) via electronic mail (“E-mail”) and text. The Client understands that ONYX will not encrypt or otherwise protect from interception and/or review by others E-mail </w:t>
      </w:r>
      <w:r w:rsidR="00555D21">
        <w:t>and text communications to and from the Client and ONYX unless the Client makes special arrangements with ONYX to do so. The Client consents to such communications.</w:t>
      </w:r>
    </w:p>
    <w:p w14:paraId="009E959E" w14:textId="4F6D3CC2" w:rsidR="004B1FDD" w:rsidRDefault="004B1FDD" w:rsidP="004232B8">
      <w:pPr>
        <w:pStyle w:val="CLALTRNormal"/>
        <w:jc w:val="both"/>
      </w:pPr>
      <w:r>
        <w:t>Each natural person who signs this letter in his or her individual capacity as a natural person or as a guarantor agrees to be jointly and severally liable with each other person signing this letter for the payment of ONYX’s fees and costs and personally guarantees the same. This provision does NOT apply to any natural person that signs this letter on behalf of any business entity other than a general partnership, unless the manner of signing shows that natural person’s intent to be bound individually or as a guarantor.</w:t>
      </w:r>
    </w:p>
    <w:p w14:paraId="51951EDB" w14:textId="7FA774A6" w:rsidR="000E00CC" w:rsidRDefault="000E00CC" w:rsidP="004232B8">
      <w:pPr>
        <w:pStyle w:val="CLALTRNormal"/>
        <w:jc w:val="both"/>
      </w:pPr>
      <w:r>
        <w:t xml:space="preserve">Each person that signs this letter on behalf of any Client that is a business entity, by doing so, personally represents and warrants </w:t>
      </w:r>
      <w:r w:rsidR="004D1C99">
        <w:t>to ONYX that he, she, or it has all requisite power and authority to engage ONYX and bind the business entity Client to the terms of this letter and that the Client on whose behalf the letter is signed has/have duly taken all necessary and proper corporate or other actions to engage ONYX pursuant to the terms of this letter.</w:t>
      </w:r>
    </w:p>
    <w:p>
      <w:pPr>
        <w:pStyle w:val="CLALTRNormal"/>
        <w:jc w:val="both"/>
      </w:pPr>
      <w:r>
        <w:rPr>
          <w:b/>
        </w:rPr>
        <w:t xml:space="preserve">Record retention.  </w:t>
      </w:r>
      <w:r>
        <w:t xml:space="preserve">ONYX will retain its working papers, supporting schedules, and other documentation prepared in connection with this engagement for a period of seven (7) years from the completion of the applicable services, after which ONYX may destroy or otherwise dispose of such records without further notice to the Client. Working papers and other documents prepared by ONYX in the course of the engagement remain the property of ONYX. Original records, source documents, and other materials furnished by the Client remain the property of the Client and will be returned upon written request. The Client is responsible for maintaining its own copies of its records and for meeting its own record-retention obligations. ONYX has no obligation to retain any records or data beyond the seven (7) year period and may maintain such records in electronic form.</w:t>
      </w:r>
    </w:p>
    <w:p w14:paraId="17301FF2" w14:textId="77777777" w:rsidR="007C1374" w:rsidRDefault="007C1374" w:rsidP="004232B8">
      <w:pPr>
        <w:pStyle w:val="CLALTRHeading1"/>
        <w:jc w:val="both"/>
      </w:pPr>
      <w:r>
        <w:t>Employment provision</w:t>
      </w:r>
    </w:p>
    <w:p w14:paraId="2C46434F" w14:textId="15D528C3" w:rsidR="007C1374" w:rsidRDefault="007C1374" w:rsidP="004232B8">
      <w:pPr>
        <w:pStyle w:val="CLALTRNormal"/>
        <w:jc w:val="both"/>
      </w:pPr>
      <w:proofErr w:type="gramStart"/>
      <w:r>
        <w:t>In the event that</w:t>
      </w:r>
      <w:proofErr w:type="gramEnd"/>
      <w:r>
        <w:t xml:space="preserve"> a</w:t>
      </w:r>
      <w:r w:rsidR="009919E2">
        <w:t>n</w:t>
      </w:r>
      <w:r>
        <w:t xml:space="preserve"> </w:t>
      </w:r>
      <w:r w:rsidR="003A2EF5">
        <w:t>ONYX</w:t>
      </w:r>
      <w:r>
        <w:t xml:space="preserve"> employee is solicited to work in a position as an employee of the </w:t>
      </w:r>
      <w:r w:rsidR="009919E2">
        <w:t>Client</w:t>
      </w:r>
      <w:r>
        <w:t xml:space="preserve">, and </w:t>
      </w:r>
      <w:proofErr w:type="gramStart"/>
      <w:r>
        <w:t>in the event that</w:t>
      </w:r>
      <w:proofErr w:type="gramEnd"/>
      <w:r>
        <w:t xml:space="preserve"> the </w:t>
      </w:r>
      <w:r w:rsidR="003A2EF5">
        <w:t>ONYX</w:t>
      </w:r>
      <w:r>
        <w:t xml:space="preserve"> employee accepts the position of employment with the entity, the following conditions will apply:</w:t>
      </w:r>
    </w:p>
    <w:p w14:paraId="1E90F09D" w14:textId="63FB1AA2" w:rsidR="007C1374" w:rsidRDefault="003A2EF5" w:rsidP="004232B8">
      <w:pPr>
        <w:pStyle w:val="CLALTRNormal"/>
        <w:numPr>
          <w:ilvl w:val="0"/>
          <w:numId w:val="16"/>
        </w:numPr>
        <w:jc w:val="both"/>
      </w:pPr>
      <w:r>
        <w:t>ONYX</w:t>
      </w:r>
      <w:r w:rsidR="007C1374">
        <w:t xml:space="preserve"> will require a four-week notice period </w:t>
      </w:r>
      <w:proofErr w:type="gramStart"/>
      <w:r w:rsidR="007C1374">
        <w:t>subsequent to</w:t>
      </w:r>
      <w:proofErr w:type="gramEnd"/>
      <w:r w:rsidR="007C1374">
        <w:t xml:space="preserve"> the employee’s written notice to </w:t>
      </w:r>
      <w:r>
        <w:t>ONYX</w:t>
      </w:r>
      <w:r w:rsidR="007C1374">
        <w:t>, and</w:t>
      </w:r>
    </w:p>
    <w:p w14:paraId="396B7261" w14:textId="2D896F4C" w:rsidR="007C1374" w:rsidRDefault="007C1374" w:rsidP="004232B8">
      <w:pPr>
        <w:pStyle w:val="CLALTRNormal"/>
        <w:numPr>
          <w:ilvl w:val="0"/>
          <w:numId w:val="16"/>
        </w:numPr>
        <w:jc w:val="both"/>
      </w:pPr>
      <w:r>
        <w:t xml:space="preserve">The </w:t>
      </w:r>
      <w:r w:rsidR="009919E2">
        <w:t xml:space="preserve">Client </w:t>
      </w:r>
      <w:r>
        <w:t xml:space="preserve">will be required to pay an employment fee of </w:t>
      </w:r>
      <w:r w:rsidRPr="00271CD6">
        <w:rPr>
          <w:highlight w:val="yellow"/>
        </w:rPr>
        <w:t>$200,000 for the CFO, $150,000 for the controller, and $100,000 for the staff</w:t>
      </w:r>
      <w:r>
        <w:t xml:space="preserve"> to </w:t>
      </w:r>
      <w:r w:rsidR="003A2EF5">
        <w:t>ONYX</w:t>
      </w:r>
      <w:r>
        <w:t xml:space="preserve"> immediately upon receipt of this notice.</w:t>
      </w:r>
    </w:p>
    <w:p w14:paraId="6A0FC7AE" w14:textId="0C7F81C4" w:rsidR="007C1374" w:rsidRDefault="007C1374" w:rsidP="004232B8">
      <w:pPr>
        <w:pStyle w:val="CLALTRNormal"/>
        <w:jc w:val="both"/>
      </w:pPr>
      <w:r>
        <w:t xml:space="preserve">If any former </w:t>
      </w:r>
      <w:r w:rsidR="003A2EF5">
        <w:t>ONYX</w:t>
      </w:r>
      <w:r>
        <w:t xml:space="preserve"> employee shall be hired as an employee</w:t>
      </w:r>
      <w:r w:rsidR="00A93B5D">
        <w:t xml:space="preserve"> of the </w:t>
      </w:r>
      <w:proofErr w:type="spellStart"/>
      <w:r w:rsidR="00A93B5D">
        <w:t>Client</w:t>
      </w:r>
      <w:proofErr w:type="spellEnd"/>
      <w:r>
        <w:t xml:space="preserve"> within</w:t>
      </w:r>
      <w:r w:rsidR="00065F5C">
        <w:t xml:space="preserve"> ninety</w:t>
      </w:r>
      <w:r>
        <w:t xml:space="preserve"> </w:t>
      </w:r>
      <w:r w:rsidR="00065F5C">
        <w:t>(</w:t>
      </w:r>
      <w:r>
        <w:t>90</w:t>
      </w:r>
      <w:r w:rsidR="00065F5C">
        <w:t>)</w:t>
      </w:r>
      <w:r>
        <w:t xml:space="preserve"> days of leaving </w:t>
      </w:r>
      <w:r w:rsidR="003A2EF5">
        <w:t>ONYX</w:t>
      </w:r>
      <w:r>
        <w:t xml:space="preserve">, there shall be a rebuttable presumption that the </w:t>
      </w:r>
      <w:r w:rsidR="003A2EF5">
        <w:t>ONYX</w:t>
      </w:r>
      <w:r>
        <w:t xml:space="preserve"> employee was solicited to work as an employee of the </w:t>
      </w:r>
      <w:r w:rsidR="00827BEB">
        <w:t xml:space="preserve">Client, </w:t>
      </w:r>
      <w:r>
        <w:t xml:space="preserve">and the above fee shall be payable to </w:t>
      </w:r>
      <w:r w:rsidR="003A2EF5">
        <w:t>ONYX</w:t>
      </w:r>
      <w:r w:rsidR="005D4884">
        <w:t xml:space="preserve"> from the Client</w:t>
      </w:r>
      <w:r>
        <w:t>.</w:t>
      </w:r>
    </w:p>
    <w:p w14:paraId="7A6C533F" w14:textId="77777777" w:rsidR="007C1374" w:rsidRPr="007466C6" w:rsidRDefault="007C1374" w:rsidP="004232B8">
      <w:pPr>
        <w:pStyle w:val="CLALTRHeading1"/>
        <w:jc w:val="both"/>
      </w:pPr>
      <w:r w:rsidRPr="007466C6">
        <w:lastRenderedPageBreak/>
        <w:t>Consent</w:t>
      </w:r>
    </w:p>
    <w:p w14:paraId="28C28D73" w14:textId="77777777" w:rsidR="007C1374" w:rsidRPr="007C62AB" w:rsidRDefault="007C1374" w:rsidP="004232B8">
      <w:pPr>
        <w:pStyle w:val="CLALTRHeading2"/>
        <w:jc w:val="both"/>
        <w:rPr>
          <w:highlight w:val="yellow"/>
        </w:rPr>
      </w:pPr>
      <w:r w:rsidRPr="007C62AB">
        <w:rPr>
          <w:highlight w:val="yellow"/>
        </w:rPr>
        <w:t>Subcontractors</w:t>
      </w:r>
      <w:r w:rsidRPr="005067D8">
        <w:rPr>
          <w:rStyle w:val="CLALTRHiddenTextChar"/>
        </w:rPr>
        <w:t xml:space="preserve">    </w:t>
      </w:r>
    </w:p>
    <w:p w14:paraId="42041554" w14:textId="6A85CB98" w:rsidR="007C1374" w:rsidRDefault="003A2EF5" w:rsidP="004232B8">
      <w:pPr>
        <w:pStyle w:val="CLALTRNormal"/>
        <w:jc w:val="both"/>
      </w:pPr>
      <w:r>
        <w:rPr>
          <w:highlight w:val="yellow"/>
        </w:rPr>
        <w:t>ONYX</w:t>
      </w:r>
      <w:r w:rsidR="007C1374" w:rsidRPr="007C62AB">
        <w:rPr>
          <w:highlight w:val="yellow"/>
        </w:rPr>
        <w:t xml:space="preserve"> may, at times, use subcontractors to perform services under this agreement, and </w:t>
      </w:r>
      <w:r w:rsidR="00174820">
        <w:rPr>
          <w:highlight w:val="yellow"/>
        </w:rPr>
        <w:t>said subcontractors</w:t>
      </w:r>
      <w:r w:rsidR="00174820" w:rsidRPr="007C62AB">
        <w:rPr>
          <w:highlight w:val="yellow"/>
        </w:rPr>
        <w:t xml:space="preserve"> </w:t>
      </w:r>
      <w:r w:rsidR="007C1374" w:rsidRPr="007C62AB">
        <w:rPr>
          <w:highlight w:val="yellow"/>
        </w:rPr>
        <w:t xml:space="preserve">may have access to </w:t>
      </w:r>
      <w:r w:rsidR="00174820">
        <w:rPr>
          <w:highlight w:val="yellow"/>
        </w:rPr>
        <w:t>the Client’s</w:t>
      </w:r>
      <w:r w:rsidR="00174820" w:rsidRPr="007C62AB">
        <w:rPr>
          <w:highlight w:val="yellow"/>
        </w:rPr>
        <w:t xml:space="preserve"> </w:t>
      </w:r>
      <w:r w:rsidR="007C1374" w:rsidRPr="007C62AB">
        <w:rPr>
          <w:highlight w:val="yellow"/>
        </w:rPr>
        <w:t xml:space="preserve">information and records. Any such subcontractors will be subject to the same restrictions on the use of such information and records as apply to </w:t>
      </w:r>
      <w:r>
        <w:rPr>
          <w:highlight w:val="yellow"/>
        </w:rPr>
        <w:t>ONYX</w:t>
      </w:r>
      <w:r w:rsidR="007C1374" w:rsidRPr="007C62AB">
        <w:rPr>
          <w:highlight w:val="yellow"/>
        </w:rPr>
        <w:t xml:space="preserve"> under this agreement.</w:t>
      </w:r>
    </w:p>
    <w:p w14:paraId="31B31926" w14:textId="77777777" w:rsidR="007C1374" w:rsidRDefault="007C1374" w:rsidP="004232B8">
      <w:pPr>
        <w:pStyle w:val="CLALTRHeading2"/>
        <w:jc w:val="both"/>
      </w:pPr>
      <w:r>
        <w:t>Technology</w:t>
      </w:r>
    </w:p>
    <w:p>
      <w:pPr>
        <w:pStyle w:val="CLALTRNormal"/>
        <w:jc w:val="both"/>
      </w:pPr>
      <w:r>
        <w:t xml:space="preserve">ONYX may use third-party software, cloud-based platforms, and advanced technologies, including automated data processing and artificial intelligence tools, to assist in delivering services under this agreement. The Client acknowledges and authorizes ONYX to share and process the Client’s data with such providers as necessary to perform the services. These providers may have access to the Client’s data solely for the purpose of supporting ONYX’s service delivery. ONYX uses commercially reasonable efforts to select and maintain service providers with appropriate data security and confidentiality standards.</w:t>
      </w:r>
    </w:p>
    <w:p>
      <w:pPr>
        <w:pStyle w:val="CLALTRNormal"/>
        <w:jc w:val="both"/>
      </w:pPr>
      <w:r>
        <w:t xml:space="preserve">The Client authorizes ONYX to sign on the Client’s behalf any vendor agreements applicable to such software applications, and ONYX shall provide a copy of the application agreement at the Client’s request.</w:t>
      </w:r>
    </w:p>
    <w:p>
      <w:pPr>
        <w:pStyle w:val="CLALTRNormal"/>
        <w:jc w:val="both"/>
      </w:pPr>
      <w:r>
        <w:t xml:space="preserve">Client acknowledges that ONYX may access Client’s accounting systems, banking platforms, payroll systems, software applications, cloud-based services, and other technology systems as reasonably necessary to perform the services described in this agreement. Client shall remain solely responsible for maintaining the security of its systems, credentials, access permissions, authentication controls, network infrastructure, and data.</w:t>
      </w:r>
    </w:p>
    <w:p>
      <w:pPr>
        <w:pStyle w:val="CLALTRNormal"/>
        <w:jc w:val="both"/>
      </w:pPr>
      <w:r>
        <w:t xml:space="preserve">Client acknowledges that cyber incidents, phishing attacks, social engineering events, credential compromise, malware, ransomware, unauthorized access, and failures of third-party technology providers may occur despite reasonable safeguards. Except to the extent resulting from ONYX’s gross negligence or willful misconduct, ONYX shall not be responsible for any loss, theft, alteration, corruption, disclosure, or unauthorized access to Client data, funds, systems, or information arising from such events.</w:t>
      </w:r>
    </w:p>
    <w:p>
      <w:pPr>
        <w:pStyle w:val="CLALTRNormal"/>
        <w:jc w:val="both"/>
      </w:pPr>
      <w:r>
        <w:t xml:space="preserve">Client further acknowledges that ONYX may rely upon electronic communications, system credentials, approvals, instructions, and authorizations reasonably believed by ONYX to have originated from authorized Client representatives, and ONYX shall have no liability for actions taken in reasonable reliance upon such communications or instructions.</w:t>
      </w:r>
    </w:p>
    <w:p w14:paraId="054F9563" w14:textId="65890C87" w:rsidR="007C1374" w:rsidRDefault="007C1374" w:rsidP="004232B8">
      <w:pPr>
        <w:pStyle w:val="CLALTRHeading1"/>
        <w:jc w:val="both"/>
      </w:pPr>
      <w:r>
        <w:t>Agreement</w:t>
      </w:r>
    </w:p>
    <w:p w14:paraId="5922A1AC" w14:textId="25F57959" w:rsidR="007C1374" w:rsidRDefault="007C1374" w:rsidP="004232B8">
      <w:pPr>
        <w:pStyle w:val="CLALTRNormal"/>
        <w:jc w:val="both"/>
      </w:pPr>
      <w:r>
        <w:t xml:space="preserve">We appreciate the opportunity to be of service to </w:t>
      </w:r>
      <w:r w:rsidR="00185868">
        <w:t xml:space="preserve">the Client </w:t>
      </w:r>
      <w:r>
        <w:t xml:space="preserve">and believe this letter accurately summarizes the significant terms of </w:t>
      </w:r>
      <w:r w:rsidR="00185868">
        <w:t xml:space="preserve">ONYX’s </w:t>
      </w:r>
      <w:r>
        <w:t xml:space="preserve">engagement. This letter constitutes the entire agreement regarding these services and supersedes all prior agreements (whether oral or written), understandings, negotiations, and discussions between </w:t>
      </w:r>
      <w:r w:rsidR="00185868">
        <w:t xml:space="preserve">the Client </w:t>
      </w:r>
      <w:r>
        <w:t xml:space="preserve">and </w:t>
      </w:r>
      <w:r w:rsidR="003A2EF5">
        <w:t>ONYX</w:t>
      </w:r>
      <w:r>
        <w:t xml:space="preserve">. If you have any questions, please let us know. If you agree with the terms of </w:t>
      </w:r>
      <w:r w:rsidR="00185868">
        <w:t xml:space="preserve">ONYX’s </w:t>
      </w:r>
      <w:r>
        <w:t xml:space="preserve">engagement as described in this letter, please sign, date, and return </w:t>
      </w:r>
      <w:r w:rsidR="001216A9">
        <w:t xml:space="preserve">a </w:t>
      </w:r>
      <w:r>
        <w:t>signed copy</w:t>
      </w:r>
      <w:r w:rsidR="00F662F4">
        <w:t xml:space="preserve"> of this letter</w:t>
      </w:r>
      <w:r>
        <w:t xml:space="preserve"> to </w:t>
      </w:r>
      <w:r w:rsidR="00661DB5">
        <w:t>our office</w:t>
      </w:r>
      <w:r>
        <w:t>.</w:t>
      </w:r>
    </w:p>
    <w:p w14:paraId="20A131DB" w14:textId="77777777" w:rsidR="007C1374" w:rsidRDefault="007C1374" w:rsidP="007C1374">
      <w:pPr>
        <w:pStyle w:val="CLALTRNormal"/>
      </w:pPr>
      <w:r>
        <w:t>Sincerely,</w:t>
      </w:r>
    </w:p>
    <w:p w14:paraId="63026763" w14:textId="77777777" w:rsidR="007C1374" w:rsidRDefault="004C42A1" w:rsidP="007C1374">
      <w:pPr>
        <w:pStyle w:val="CLALTRSignLine"/>
      </w:pPr>
      <w:r>
        <w:t>Onyx Accounting Group</w:t>
      </w:r>
    </w:p>
    <w:p w14:paraId="6E453015" w14:textId="77777777" w:rsidR="007C1374" w:rsidRDefault="007C1374" w:rsidP="007C1374">
      <w:pPr>
        <w:pStyle w:val="CLALTRAddressorSignature"/>
      </w:pPr>
    </w:p>
    <w:p w14:paraId="6F527DC7" w14:textId="77777777" w:rsidR="007C1374" w:rsidRDefault="007C1374" w:rsidP="007C1374">
      <w:pPr>
        <w:pStyle w:val="CLALTRAddressorSignature"/>
      </w:pPr>
    </w:p>
    <w:p w14:paraId="4AB027B7" w14:textId="77777777" w:rsidR="007C1374" w:rsidRDefault="007C1374" w:rsidP="007C1374">
      <w:pPr>
        <w:pStyle w:val="CLALTRAddressorSignature"/>
      </w:pPr>
    </w:p>
    <w:p w14:paraId="62F06B06" w14:textId="77777777" w:rsidR="007C1374" w:rsidRDefault="004C42A1" w:rsidP="007C1374">
      <w:pPr>
        <w:pStyle w:val="CLALTRAddressorSignature"/>
      </w:pPr>
      <w:r>
        <w:t>Steven Nikolov</w:t>
      </w:r>
    </w:p>
    <w:p w14:paraId="3C46B353" w14:textId="77777777" w:rsidR="007C1374" w:rsidRDefault="004C42A1" w:rsidP="007C1374">
      <w:pPr>
        <w:pStyle w:val="CLALTRAddressorSignature"/>
      </w:pPr>
      <w:r>
        <w:t>Principal</w:t>
      </w:r>
    </w:p>
    <w:p w14:paraId="7F5A5170" w14:textId="77777777" w:rsidR="007C1374" w:rsidRDefault="004C42A1" w:rsidP="007C1374">
      <w:pPr>
        <w:pStyle w:val="CLALTRAddressorSignature"/>
      </w:pPr>
      <w:r>
        <w:t>480-999-5509</w:t>
      </w:r>
    </w:p>
    <w:p w14:paraId="46F3312B" w14:textId="77777777" w:rsidR="007C1374" w:rsidRPr="004C42A1" w:rsidRDefault="004C42A1" w:rsidP="007C1374">
      <w:pPr>
        <w:pStyle w:val="CLALTRAddressorSignature"/>
      </w:pPr>
      <w:hyperlink r:id="rId12" w:history="1">
        <w:r w:rsidRPr="004C42A1">
          <w:rPr>
            <w:rStyle w:val="Hyperlink"/>
            <w:color w:val="auto"/>
          </w:rPr>
          <w:t>Steven@onyxCFO.com</w:t>
        </w:r>
      </w:hyperlink>
    </w:p>
    <w:p w14:paraId="7AB225A5" w14:textId="77777777" w:rsidR="007C1374" w:rsidRPr="00EE6E5B" w:rsidRDefault="007C1374" w:rsidP="007C1374">
      <w:pPr>
        <w:pStyle w:val="CLALTRAddressorSignature"/>
      </w:pPr>
    </w:p>
    <w:p w14:paraId="6F413F19" w14:textId="77777777" w:rsidR="00E45A6A" w:rsidRDefault="00E45A6A" w:rsidP="007C1374">
      <w:pPr>
        <w:pStyle w:val="CLALTRHeading1"/>
      </w:pPr>
    </w:p>
    <w:p w14:paraId="0D154C96" w14:textId="77777777" w:rsidR="00E45A6A" w:rsidRDefault="00E45A6A" w:rsidP="007C1374">
      <w:pPr>
        <w:pStyle w:val="CLALTRHeading1"/>
      </w:pPr>
    </w:p>
    <w:p w14:paraId="3B2B3C63" w14:textId="77777777" w:rsidR="00E45A6A" w:rsidRDefault="00E45A6A" w:rsidP="007C1374">
      <w:pPr>
        <w:pStyle w:val="CLALTRHeading1"/>
      </w:pPr>
    </w:p>
    <w:p w14:paraId="255E4654" w14:textId="77777777" w:rsidR="00E45A6A" w:rsidRDefault="00E45A6A" w:rsidP="007C1374">
      <w:pPr>
        <w:pStyle w:val="CLALTRHeading1"/>
      </w:pPr>
    </w:p>
    <w:p w14:paraId="680BA1B2" w14:textId="77777777" w:rsidR="00E45A6A" w:rsidRDefault="00E45A6A" w:rsidP="007C1374">
      <w:pPr>
        <w:pStyle w:val="CLALTRHeading1"/>
      </w:pPr>
    </w:p>
    <w:p w14:paraId="59101374" w14:textId="77777777" w:rsidR="00E45A6A" w:rsidRDefault="00E45A6A" w:rsidP="007C1374">
      <w:pPr>
        <w:pStyle w:val="CLALTRHeading1"/>
      </w:pPr>
    </w:p>
    <w:p w14:paraId="5A59A2FA" w14:textId="77777777" w:rsidR="00E45A6A" w:rsidRDefault="00E45A6A" w:rsidP="007C1374">
      <w:pPr>
        <w:pStyle w:val="CLALTRHeading1"/>
      </w:pPr>
    </w:p>
    <w:p w14:paraId="108CC59B" w14:textId="77777777" w:rsidR="00E45A6A" w:rsidRDefault="00E45A6A" w:rsidP="007C1374">
      <w:pPr>
        <w:pStyle w:val="CLALTRHeading1"/>
      </w:pPr>
    </w:p>
    <w:p w14:paraId="00C9F634" w14:textId="77777777" w:rsidR="00E45A6A" w:rsidRDefault="00E45A6A" w:rsidP="007C1374">
      <w:pPr>
        <w:pStyle w:val="CLALTRHeading1"/>
      </w:pPr>
    </w:p>
    <w:p w14:paraId="1D2A25A5" w14:textId="77777777" w:rsidR="00E45A6A" w:rsidRDefault="00E45A6A" w:rsidP="007C1374">
      <w:pPr>
        <w:pStyle w:val="CLALTRHeading1"/>
      </w:pPr>
    </w:p>
    <w:p w14:paraId="15051C1D" w14:textId="77777777" w:rsidR="00E45A6A" w:rsidRDefault="00E45A6A" w:rsidP="007C1374">
      <w:pPr>
        <w:pStyle w:val="CLALTRHeading1"/>
      </w:pPr>
    </w:p>
    <w:p w14:paraId="1F5B21C8" w14:textId="331DB067" w:rsidR="007C1374" w:rsidRDefault="007C1374" w:rsidP="007C1374">
      <w:pPr>
        <w:pStyle w:val="CLALTRHeading1"/>
      </w:pPr>
      <w:r>
        <w:lastRenderedPageBreak/>
        <w:t>Response:</w:t>
      </w:r>
    </w:p>
    <w:p w14:paraId="062BAC6F" w14:textId="77777777" w:rsidR="007C1374" w:rsidRDefault="007C1374" w:rsidP="007C1374">
      <w:pPr>
        <w:pStyle w:val="CLALTRNormal"/>
      </w:pPr>
      <w:r>
        <w:t xml:space="preserve">This letter correctly sets forth the understanding of </w:t>
      </w:r>
      <w:r>
        <w:fldChar w:fldCharType="begin">
          <w:ffData>
            <w:name w:val="Text46"/>
            <w:enabled/>
            <w:calcOnExit w:val="0"/>
            <w:textInput>
              <w:default w:val="[Client Name]"/>
            </w:textInput>
          </w:ffData>
        </w:fldChar>
      </w:r>
      <w:r>
        <w:instrText xml:space="preserve"> FORMTEXT </w:instrText>
      </w:r>
      <w:r>
        <w:fldChar w:fldCharType="separate"/>
      </w:r>
      <w:r>
        <w:rPr>
          <w:noProof/>
        </w:rPr>
        <w:t>Arizona Center for Hand to Shoulder Surgery, [entity type]</w:t>
      </w:r>
      <w:r>
        <w:fldChar w:fldCharType="end"/>
      </w:r>
      <w:r>
        <w:t>.</w:t>
      </w:r>
    </w:p>
    <w:p w14:paraId="5DBD335C" w14:textId="77777777" w:rsidR="007C1374" w:rsidRDefault="007C1374" w:rsidP="007C1374">
      <w:pPr>
        <w:pStyle w:val="CLALTRNormal"/>
      </w:pPr>
    </w:p>
    <w:p w14:paraId="3E6843D0" w14:textId="553D1369" w:rsidR="007C1374" w:rsidRDefault="007C1374" w:rsidP="007C1374">
      <w:pPr>
        <w:pStyle w:val="CLALTRNormal"/>
      </w:pPr>
      <w:r>
        <w:t xml:space="preserve">Authorized </w:t>
      </w:r>
      <w:r w:rsidR="00E44855">
        <w:t xml:space="preserve">Client </w:t>
      </w:r>
      <w:r>
        <w:t xml:space="preserve">signature: </w:t>
      </w:r>
      <w:r w:rsidRPr="00EE6E5B">
        <w:rPr>
          <w:u w:val="single"/>
        </w:rPr>
        <w:tab/>
      </w:r>
      <w:r w:rsidRPr="00EE6E5B">
        <w:rPr>
          <w:u w:val="single"/>
        </w:rPr>
        <w:tab/>
      </w:r>
      <w:r w:rsidRPr="00EE6E5B">
        <w:rPr>
          <w:u w:val="single"/>
        </w:rPr>
        <w:tab/>
      </w:r>
      <w:r>
        <w:rPr>
          <w:u w:val="single"/>
        </w:rPr>
        <w:tab/>
      </w:r>
      <w:r w:rsidRPr="00EE6E5B">
        <w:rPr>
          <w:u w:val="single"/>
        </w:rPr>
        <w:tab/>
      </w:r>
      <w:r w:rsidRPr="00EE6E5B">
        <w:rPr>
          <w:u w:val="single"/>
        </w:rPr>
        <w:tab/>
      </w:r>
      <w:r w:rsidR="00214BB0">
        <w:rPr>
          <w:u w:val="single"/>
        </w:rPr>
        <w:tab/>
      </w:r>
      <w:r w:rsidRPr="00EE6E5B">
        <w:rPr>
          <w:u w:val="single"/>
        </w:rPr>
        <w:tab/>
      </w:r>
    </w:p>
    <w:p w14:paraId="77993F31" w14:textId="77777777" w:rsidR="007C1374" w:rsidRDefault="007C1374" w:rsidP="007C1374">
      <w:pPr>
        <w:pStyle w:val="CLALTRNormal"/>
      </w:pPr>
      <w:r>
        <w:t xml:space="preserve">Title: </w:t>
      </w:r>
      <w:r>
        <w:rPr/>
        <w:t>CFO</w:t>
      </w:r>
    </w:p>
    <w:p w14:paraId="4D1A3C0D" w14:textId="77777777" w:rsidR="007C1374" w:rsidRDefault="007C1374" w:rsidP="007C1374">
      <w:pPr>
        <w:pStyle w:val="CLALTRNormal"/>
        <w:rPr>
          <w:u w:val="single"/>
        </w:rPr>
      </w:pPr>
      <w:r>
        <w:t xml:space="preserve">Date: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027EA54E" w14:textId="77777777" w:rsidR="007C1374" w:rsidRPr="00E35680" w:rsidRDefault="007C1374" w:rsidP="00A05844">
      <w:pPr>
        <w:pStyle w:val="CLALTRHiddenText"/>
      </w:pPr>
    </w:p>
    <w:p w14:paraId="048F6B1A" w14:textId="77777777" w:rsidR="00E35680" w:rsidRDefault="00E35680" w:rsidP="00A05844">
      <w:pPr>
        <w:pStyle w:val="CLALTRHiddenText"/>
        <w:sectPr w:rsidR="00E35680" w:rsidSect="00E35680">
          <w:headerReference w:type="default" r:id="rId13"/>
          <w:footerReference w:type="default" r:id="rId14"/>
          <w:footerReference w:type="first" r:id="rId15"/>
          <w:endnotePr>
            <w:numFmt w:val="decimal"/>
          </w:endnotePr>
          <w:pgSz w:w="12240" w:h="15840" w:code="1"/>
          <w:pgMar w:top="2304" w:right="1080" w:bottom="1440" w:left="1080" w:header="720" w:footer="576" w:gutter="0"/>
          <w:cols w:space="720"/>
          <w:titlePg/>
          <w:docGrid w:linePitch="299"/>
        </w:sectPr>
      </w:pPr>
    </w:p>
    <w:p w14:paraId="0D0C723B" w14:textId="77777777" w:rsidR="00E35680" w:rsidRDefault="00E35680" w:rsidP="00E35680">
      <w:pPr>
        <w:pStyle w:val="CLALTRHiddenText"/>
      </w:pPr>
    </w:p>
    <w:sectPr w:rsidR="00E35680" w:rsidRPr="00EE6E5B" w:rsidSect="00E35680">
      <w:headerReference w:type="default" r:id="rId16"/>
      <w:endnotePr>
        <w:numFmt w:val="decimal"/>
      </w:endnotePr>
      <w:pgSz w:w="12240" w:h="15840" w:code="1"/>
      <w:pgMar w:top="1440" w:right="1440" w:bottom="1440" w:left="1440" w:header="720" w:footer="57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1480" w14:textId="77777777" w:rsidR="006A0726" w:rsidRPr="00B33CEA" w:rsidRDefault="006A0726" w:rsidP="00B33CEA">
      <w:pPr>
        <w:pStyle w:val="CLALTRHiddenText"/>
      </w:pPr>
    </w:p>
  </w:endnote>
  <w:endnote w:type="continuationSeparator" w:id="0">
    <w:p w14:paraId="7F3D584F" w14:textId="77777777" w:rsidR="006A0726" w:rsidRDefault="006A0726" w:rsidP="005F17E8">
      <w:pPr>
        <w:pStyle w:val="CLALTRHiddenText"/>
      </w:pPr>
    </w:p>
  </w:endnote>
  <w:endnote w:type="continuationNotice" w:id="1">
    <w:p w14:paraId="7E5A2BCC" w14:textId="77777777" w:rsidR="006A0726" w:rsidRPr="00B33CEA" w:rsidRDefault="006A0726" w:rsidP="005F17E8">
      <w:pPr>
        <w:pStyle w:val="CLALTRHidden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B1C6" w14:textId="77777777" w:rsidR="0075719D" w:rsidRDefault="0075719D" w:rsidP="00093643">
    <w:pPr>
      <w:pStyle w:val="CLAProFooter"/>
    </w:pPr>
    <w:r w:rsidRPr="0088412E">
      <w:rPr>
        <w:rFonts w:ascii="Arial" w:hAnsi="Arial" w:cs="Arial"/>
        <w:sz w:val="15"/>
        <w:szCs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B6D0" w14:textId="77777777" w:rsidR="00F35FA7" w:rsidRPr="0061743D" w:rsidRDefault="00F35FA7" w:rsidP="006174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0CF8" w14:textId="77777777" w:rsidR="00F35FA7" w:rsidRPr="007C1374" w:rsidRDefault="00F35FA7" w:rsidP="007C13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7FA21" w14:textId="77777777" w:rsidR="006A0726" w:rsidRDefault="006A0726" w:rsidP="0088412E">
      <w:r>
        <w:separator/>
      </w:r>
    </w:p>
  </w:footnote>
  <w:footnote w:type="continuationSeparator" w:id="0">
    <w:p w14:paraId="6350E00F" w14:textId="77777777" w:rsidR="006A0726" w:rsidRDefault="006A0726" w:rsidP="00884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6B00"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30CEA7D5"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03095F23" w14:textId="77777777" w:rsidR="007B4260" w:rsidRDefault="00B75DEC" w:rsidP="00B75DEC">
    <w:pPr>
      <w:pStyle w:val="CLALTRHeaderorFooter"/>
    </w:pPr>
    <w:r w:rsidRPr="00D31720">
      <w:t xml:space="preserve">Page </w:t>
    </w:r>
    <w:r>
      <w:fldChar w:fldCharType="begin"/>
    </w:r>
    <w:r>
      <w:instrText xml:space="preserve"> PAGE </w:instrText>
    </w:r>
    <w:r>
      <w:fldChar w:fldCharType="separate"/>
    </w:r>
    <w:r w:rsidR="00C53667">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1C95" w14:textId="77777777" w:rsidR="00B92DB9" w:rsidRDefault="00B92DB9" w:rsidP="00B92DB9">
    <w:pPr>
      <w:pStyle w:val="Header"/>
      <w:jc w:val="center"/>
    </w:pPr>
    <w:r>
      <w:rPr>
        <w:noProof/>
      </w:rPr>
      <w:drawing>
        <wp:inline distT="0" distB="0" distL="0" distR="0" wp14:anchorId="7A3DE566" wp14:editId="339671B7">
          <wp:extent cx="1848734" cy="8763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848734" cy="8763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F75B"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79340FE2"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5D524949" w14:textId="77777777" w:rsidR="00F35FA7" w:rsidRPr="0088631F" w:rsidRDefault="007C1374" w:rsidP="007C1374">
    <w:pPr>
      <w:pStyle w:val="CLALTRHeaderorFooter"/>
    </w:pPr>
    <w:r w:rsidRPr="00D31720">
      <w:t xml:space="preserve">Page </w:t>
    </w:r>
    <w:r>
      <w:fldChar w:fldCharType="begin"/>
    </w:r>
    <w:r>
      <w:instrText xml:space="preserve"> PAGE </w:instrText>
    </w:r>
    <w:r>
      <w:fldChar w:fldCharType="separate"/>
    </w:r>
    <w:r w:rsidR="004C42A1">
      <w:rPr>
        <w:noProof/>
      </w:rPr>
      <w:t>10</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23CD" w14:textId="77777777" w:rsidR="00E35680" w:rsidRPr="00E35680" w:rsidRDefault="00E35680" w:rsidP="00E35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91"/>
    <w:multiLevelType w:val="hybridMultilevel"/>
    <w:tmpl w:val="6944F4C2"/>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574087"/>
    <w:multiLevelType w:val="hybridMultilevel"/>
    <w:tmpl w:val="8FE25778"/>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F72F40"/>
    <w:multiLevelType w:val="hybridMultilevel"/>
    <w:tmpl w:val="FE56BA12"/>
    <w:lvl w:ilvl="0" w:tplc="079A11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F4D87"/>
    <w:multiLevelType w:val="hybridMultilevel"/>
    <w:tmpl w:val="E6D4F0EE"/>
    <w:lvl w:ilvl="0" w:tplc="C3CAAB3E">
      <w:numFmt w:val="bullet"/>
      <w:lvlText w:val="•"/>
      <w:lvlJc w:val="left"/>
      <w:pPr>
        <w:ind w:left="1080" w:hanging="72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B1F6B"/>
    <w:multiLevelType w:val="hybridMultilevel"/>
    <w:tmpl w:val="E6D633C8"/>
    <w:lvl w:ilvl="0" w:tplc="04090019">
      <w:start w:val="1"/>
      <w:numFmt w:val="lowerLetter"/>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5" w15:restartNumberingAfterBreak="0">
    <w:nsid w:val="18F34D48"/>
    <w:multiLevelType w:val="hybridMultilevel"/>
    <w:tmpl w:val="078C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D33D5"/>
    <w:multiLevelType w:val="hybridMultilevel"/>
    <w:tmpl w:val="7B4C7BF4"/>
    <w:lvl w:ilvl="0" w:tplc="DE14445E">
      <w:start w:val="1"/>
      <w:numFmt w:val="bullet"/>
      <w:pStyle w:val="CLAProposalBulletedTextBodyLeft05"/>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2761F9"/>
    <w:multiLevelType w:val="hybridMultilevel"/>
    <w:tmpl w:val="01D6E028"/>
    <w:lvl w:ilvl="0" w:tplc="FEC0C436">
      <w:numFmt w:val="bullet"/>
      <w:lvlText w:val="•"/>
      <w:lvlJc w:val="left"/>
      <w:pPr>
        <w:ind w:left="1440" w:hanging="720"/>
      </w:pPr>
      <w:rPr>
        <w:rFonts w:ascii="Calibri" w:eastAsia="Times"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5F2B3B"/>
    <w:multiLevelType w:val="hybridMultilevel"/>
    <w:tmpl w:val="C9C8B750"/>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80717"/>
    <w:multiLevelType w:val="hybridMultilevel"/>
    <w:tmpl w:val="F7FE6EBA"/>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C5547C"/>
    <w:multiLevelType w:val="hybridMultilevel"/>
    <w:tmpl w:val="A316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94786"/>
    <w:multiLevelType w:val="hybridMultilevel"/>
    <w:tmpl w:val="031E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B009DE"/>
    <w:multiLevelType w:val="hybridMultilevel"/>
    <w:tmpl w:val="64A0DDC0"/>
    <w:lvl w:ilvl="0" w:tplc="F4A4F6B6">
      <w:numFmt w:val="bullet"/>
      <w:lvlText w:val="•"/>
      <w:lvlJc w:val="left"/>
      <w:pPr>
        <w:ind w:left="720" w:hanging="36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5180F"/>
    <w:multiLevelType w:val="hybridMultilevel"/>
    <w:tmpl w:val="33CC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011E56"/>
    <w:multiLevelType w:val="hybridMultilevel"/>
    <w:tmpl w:val="12A0F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A77D50"/>
    <w:multiLevelType w:val="hybridMultilevel"/>
    <w:tmpl w:val="A4E46D7C"/>
    <w:lvl w:ilvl="0" w:tplc="A89CFB5E">
      <w:start w:val="2"/>
      <w:numFmt w:val="bullet"/>
      <w:lvlText w:val="•"/>
      <w:lvlJc w:val="left"/>
      <w:pPr>
        <w:ind w:left="720" w:hanging="360"/>
      </w:pPr>
      <w:rPr>
        <w:rFonts w:ascii="Calibri" w:eastAsia="Times"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50050"/>
    <w:multiLevelType w:val="hybridMultilevel"/>
    <w:tmpl w:val="2E2CC2B6"/>
    <w:lvl w:ilvl="0" w:tplc="75C81FAA">
      <w:start w:val="1"/>
      <w:numFmt w:val="bullet"/>
      <w:lvlText w:val=""/>
      <w:lvlJc w:val="left"/>
      <w:pPr>
        <w:tabs>
          <w:tab w:val="num" w:pos="720"/>
        </w:tabs>
        <w:ind w:left="720" w:hanging="360"/>
      </w:pPr>
      <w:rPr>
        <w:rFonts w:ascii="Symbol" w:hAnsi="Symbol" w:hint="default"/>
      </w:rPr>
    </w:lvl>
    <w:lvl w:ilvl="1" w:tplc="3EEAF54E">
      <w:start w:val="1"/>
      <w:numFmt w:val="bullet"/>
      <w:pStyle w:val="ProposalBulletStyle-Indent1"/>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B087F7E"/>
    <w:multiLevelType w:val="hybridMultilevel"/>
    <w:tmpl w:val="B830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9F0E9A"/>
    <w:multiLevelType w:val="hybridMultilevel"/>
    <w:tmpl w:val="D062DB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DE6972"/>
    <w:multiLevelType w:val="hybridMultilevel"/>
    <w:tmpl w:val="9C46D0D0"/>
    <w:lvl w:ilvl="0" w:tplc="75C81FAA">
      <w:start w:val="1"/>
      <w:numFmt w:val="bullet"/>
      <w:pStyle w:val="ProposalBulletStyle"/>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AF1103"/>
    <w:multiLevelType w:val="hybridMultilevel"/>
    <w:tmpl w:val="815C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324888">
    <w:abstractNumId w:val="19"/>
  </w:num>
  <w:num w:numId="2" w16cid:durableId="866144293">
    <w:abstractNumId w:val="16"/>
  </w:num>
  <w:num w:numId="3" w16cid:durableId="1547796069">
    <w:abstractNumId w:val="6"/>
  </w:num>
  <w:num w:numId="4" w16cid:durableId="1631546858">
    <w:abstractNumId w:val="14"/>
  </w:num>
  <w:num w:numId="5" w16cid:durableId="902377835">
    <w:abstractNumId w:val="18"/>
  </w:num>
  <w:num w:numId="6" w16cid:durableId="1215317090">
    <w:abstractNumId w:val="11"/>
  </w:num>
  <w:num w:numId="7" w16cid:durableId="1977561710">
    <w:abstractNumId w:val="3"/>
  </w:num>
  <w:num w:numId="8" w16cid:durableId="886649546">
    <w:abstractNumId w:val="12"/>
  </w:num>
  <w:num w:numId="9" w16cid:durableId="883176083">
    <w:abstractNumId w:val="8"/>
  </w:num>
  <w:num w:numId="10" w16cid:durableId="1961064041">
    <w:abstractNumId w:val="9"/>
  </w:num>
  <w:num w:numId="11" w16cid:durableId="35664820">
    <w:abstractNumId w:val="1"/>
  </w:num>
  <w:num w:numId="12" w16cid:durableId="1169060358">
    <w:abstractNumId w:val="7"/>
  </w:num>
  <w:num w:numId="13" w16cid:durableId="534120819">
    <w:abstractNumId w:val="5"/>
  </w:num>
  <w:num w:numId="14" w16cid:durableId="1774285268">
    <w:abstractNumId w:val="13"/>
  </w:num>
  <w:num w:numId="15" w16cid:durableId="398600758">
    <w:abstractNumId w:val="10"/>
  </w:num>
  <w:num w:numId="16" w16cid:durableId="1562596715">
    <w:abstractNumId w:val="2"/>
  </w:num>
  <w:num w:numId="17" w16cid:durableId="1928035845">
    <w:abstractNumId w:val="15"/>
  </w:num>
  <w:num w:numId="18" w16cid:durableId="1925723154">
    <w:abstractNumId w:val="4"/>
  </w:num>
  <w:num w:numId="19" w16cid:durableId="568273914">
    <w:abstractNumId w:val="20"/>
  </w:num>
  <w:num w:numId="20" w16cid:durableId="403334221">
    <w:abstractNumId w:val="0"/>
  </w:num>
  <w:num w:numId="21" w16cid:durableId="1749186467">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04"/>
    <w:rsid w:val="0000381A"/>
    <w:rsid w:val="00006262"/>
    <w:rsid w:val="00015BAB"/>
    <w:rsid w:val="00015EFB"/>
    <w:rsid w:val="000168D1"/>
    <w:rsid w:val="000217CC"/>
    <w:rsid w:val="000220AA"/>
    <w:rsid w:val="00022C6A"/>
    <w:rsid w:val="000423BF"/>
    <w:rsid w:val="000435E3"/>
    <w:rsid w:val="00044D1D"/>
    <w:rsid w:val="000476AD"/>
    <w:rsid w:val="00053289"/>
    <w:rsid w:val="000548D1"/>
    <w:rsid w:val="00057067"/>
    <w:rsid w:val="00064D82"/>
    <w:rsid w:val="000654B4"/>
    <w:rsid w:val="00065F5C"/>
    <w:rsid w:val="000679EF"/>
    <w:rsid w:val="00073CE9"/>
    <w:rsid w:val="00084A8D"/>
    <w:rsid w:val="00093643"/>
    <w:rsid w:val="00094EF9"/>
    <w:rsid w:val="00095922"/>
    <w:rsid w:val="000A0BF3"/>
    <w:rsid w:val="000A1BFA"/>
    <w:rsid w:val="000A626A"/>
    <w:rsid w:val="000B6116"/>
    <w:rsid w:val="000C011F"/>
    <w:rsid w:val="000C65E6"/>
    <w:rsid w:val="000E00CC"/>
    <w:rsid w:val="000E46C2"/>
    <w:rsid w:val="000F2BBA"/>
    <w:rsid w:val="000F3C5E"/>
    <w:rsid w:val="000F4527"/>
    <w:rsid w:val="000F4DA9"/>
    <w:rsid w:val="00100B08"/>
    <w:rsid w:val="001026D4"/>
    <w:rsid w:val="001060B6"/>
    <w:rsid w:val="00110923"/>
    <w:rsid w:val="00117F66"/>
    <w:rsid w:val="001216A9"/>
    <w:rsid w:val="0012397E"/>
    <w:rsid w:val="0012532A"/>
    <w:rsid w:val="001361A6"/>
    <w:rsid w:val="00136A87"/>
    <w:rsid w:val="001511AA"/>
    <w:rsid w:val="00153BBA"/>
    <w:rsid w:val="00155433"/>
    <w:rsid w:val="00174820"/>
    <w:rsid w:val="0017490C"/>
    <w:rsid w:val="00182523"/>
    <w:rsid w:val="00182875"/>
    <w:rsid w:val="00185868"/>
    <w:rsid w:val="0019521D"/>
    <w:rsid w:val="001A04A3"/>
    <w:rsid w:val="001A48D8"/>
    <w:rsid w:val="001B02CE"/>
    <w:rsid w:val="001B2681"/>
    <w:rsid w:val="001B3FF8"/>
    <w:rsid w:val="001C377E"/>
    <w:rsid w:val="001D541D"/>
    <w:rsid w:val="001E220F"/>
    <w:rsid w:val="001E73B8"/>
    <w:rsid w:val="001E73FD"/>
    <w:rsid w:val="001F5103"/>
    <w:rsid w:val="0020163C"/>
    <w:rsid w:val="002133A7"/>
    <w:rsid w:val="00214BB0"/>
    <w:rsid w:val="00214D43"/>
    <w:rsid w:val="00215209"/>
    <w:rsid w:val="002175BC"/>
    <w:rsid w:val="00226308"/>
    <w:rsid w:val="00240614"/>
    <w:rsid w:val="002460A9"/>
    <w:rsid w:val="00252076"/>
    <w:rsid w:val="00257579"/>
    <w:rsid w:val="00275CEB"/>
    <w:rsid w:val="00275DD0"/>
    <w:rsid w:val="002930BA"/>
    <w:rsid w:val="00293D9C"/>
    <w:rsid w:val="00294B58"/>
    <w:rsid w:val="002A0C5A"/>
    <w:rsid w:val="002A3E9A"/>
    <w:rsid w:val="002A7309"/>
    <w:rsid w:val="002B2F07"/>
    <w:rsid w:val="002B7008"/>
    <w:rsid w:val="002C15E9"/>
    <w:rsid w:val="002C197D"/>
    <w:rsid w:val="002C4AF8"/>
    <w:rsid w:val="002C5D46"/>
    <w:rsid w:val="002D5F17"/>
    <w:rsid w:val="002E1300"/>
    <w:rsid w:val="002F6675"/>
    <w:rsid w:val="0030310B"/>
    <w:rsid w:val="003108F3"/>
    <w:rsid w:val="003113CE"/>
    <w:rsid w:val="00326F0F"/>
    <w:rsid w:val="00330014"/>
    <w:rsid w:val="00334492"/>
    <w:rsid w:val="00336305"/>
    <w:rsid w:val="00337017"/>
    <w:rsid w:val="00343A94"/>
    <w:rsid w:val="00357951"/>
    <w:rsid w:val="003627F1"/>
    <w:rsid w:val="003637F4"/>
    <w:rsid w:val="0036461A"/>
    <w:rsid w:val="00366873"/>
    <w:rsid w:val="00366A33"/>
    <w:rsid w:val="00367226"/>
    <w:rsid w:val="00367273"/>
    <w:rsid w:val="003861D8"/>
    <w:rsid w:val="00387B3E"/>
    <w:rsid w:val="00390615"/>
    <w:rsid w:val="00394A6E"/>
    <w:rsid w:val="003A1095"/>
    <w:rsid w:val="003A21D3"/>
    <w:rsid w:val="003A2EF5"/>
    <w:rsid w:val="003C7DAB"/>
    <w:rsid w:val="003D46E8"/>
    <w:rsid w:val="003E2394"/>
    <w:rsid w:val="00413E30"/>
    <w:rsid w:val="0041621D"/>
    <w:rsid w:val="00416721"/>
    <w:rsid w:val="004232B8"/>
    <w:rsid w:val="004263B8"/>
    <w:rsid w:val="00436877"/>
    <w:rsid w:val="004407DE"/>
    <w:rsid w:val="004407FC"/>
    <w:rsid w:val="00440E21"/>
    <w:rsid w:val="0045742E"/>
    <w:rsid w:val="004579B4"/>
    <w:rsid w:val="0046090C"/>
    <w:rsid w:val="00465958"/>
    <w:rsid w:val="00473C08"/>
    <w:rsid w:val="00474FC8"/>
    <w:rsid w:val="00476913"/>
    <w:rsid w:val="00487ED3"/>
    <w:rsid w:val="00491004"/>
    <w:rsid w:val="004A31CE"/>
    <w:rsid w:val="004B0A32"/>
    <w:rsid w:val="004B1FDD"/>
    <w:rsid w:val="004C2A93"/>
    <w:rsid w:val="004C42A1"/>
    <w:rsid w:val="004C4F18"/>
    <w:rsid w:val="004D017F"/>
    <w:rsid w:val="004D1C99"/>
    <w:rsid w:val="004D54F9"/>
    <w:rsid w:val="004D61BB"/>
    <w:rsid w:val="004D6ECB"/>
    <w:rsid w:val="004E0F3F"/>
    <w:rsid w:val="004E1DDC"/>
    <w:rsid w:val="004E64B7"/>
    <w:rsid w:val="004F4D80"/>
    <w:rsid w:val="005002B8"/>
    <w:rsid w:val="005023F0"/>
    <w:rsid w:val="005051B1"/>
    <w:rsid w:val="00513CA5"/>
    <w:rsid w:val="005147FF"/>
    <w:rsid w:val="005173C0"/>
    <w:rsid w:val="00524D8F"/>
    <w:rsid w:val="00535B1A"/>
    <w:rsid w:val="00555D21"/>
    <w:rsid w:val="0055608E"/>
    <w:rsid w:val="0056231A"/>
    <w:rsid w:val="005660B0"/>
    <w:rsid w:val="00570080"/>
    <w:rsid w:val="00574ED3"/>
    <w:rsid w:val="00582DBB"/>
    <w:rsid w:val="00584E17"/>
    <w:rsid w:val="0058521A"/>
    <w:rsid w:val="00592EB7"/>
    <w:rsid w:val="00594B8E"/>
    <w:rsid w:val="005A0921"/>
    <w:rsid w:val="005A153F"/>
    <w:rsid w:val="005B01C5"/>
    <w:rsid w:val="005B0D7C"/>
    <w:rsid w:val="005B1D7D"/>
    <w:rsid w:val="005B49DB"/>
    <w:rsid w:val="005B4B9B"/>
    <w:rsid w:val="005B6A6E"/>
    <w:rsid w:val="005C041A"/>
    <w:rsid w:val="005C5AE8"/>
    <w:rsid w:val="005C6B2B"/>
    <w:rsid w:val="005D4884"/>
    <w:rsid w:val="005D5920"/>
    <w:rsid w:val="005F17E8"/>
    <w:rsid w:val="005F35D1"/>
    <w:rsid w:val="00600EAB"/>
    <w:rsid w:val="00601502"/>
    <w:rsid w:val="006022AF"/>
    <w:rsid w:val="006077A7"/>
    <w:rsid w:val="006154DD"/>
    <w:rsid w:val="00616098"/>
    <w:rsid w:val="00616B5A"/>
    <w:rsid w:val="00616CB4"/>
    <w:rsid w:val="00624EFB"/>
    <w:rsid w:val="00624F48"/>
    <w:rsid w:val="00626420"/>
    <w:rsid w:val="006268C5"/>
    <w:rsid w:val="00630862"/>
    <w:rsid w:val="00630A78"/>
    <w:rsid w:val="00635C99"/>
    <w:rsid w:val="006369E2"/>
    <w:rsid w:val="00645D78"/>
    <w:rsid w:val="006478B7"/>
    <w:rsid w:val="00653ED1"/>
    <w:rsid w:val="00661DB5"/>
    <w:rsid w:val="00664D93"/>
    <w:rsid w:val="006671EF"/>
    <w:rsid w:val="00674743"/>
    <w:rsid w:val="00675125"/>
    <w:rsid w:val="006944C2"/>
    <w:rsid w:val="006A0726"/>
    <w:rsid w:val="006A19DB"/>
    <w:rsid w:val="006A2B2E"/>
    <w:rsid w:val="006A5297"/>
    <w:rsid w:val="006B3C5F"/>
    <w:rsid w:val="006B5681"/>
    <w:rsid w:val="006C0004"/>
    <w:rsid w:val="006D64D2"/>
    <w:rsid w:val="006E1F28"/>
    <w:rsid w:val="006E40A4"/>
    <w:rsid w:val="006E5DD4"/>
    <w:rsid w:val="006F0D28"/>
    <w:rsid w:val="00715BF2"/>
    <w:rsid w:val="00715F6F"/>
    <w:rsid w:val="00722DD6"/>
    <w:rsid w:val="00723646"/>
    <w:rsid w:val="00725439"/>
    <w:rsid w:val="00730F7E"/>
    <w:rsid w:val="007350AB"/>
    <w:rsid w:val="007352A0"/>
    <w:rsid w:val="0073634A"/>
    <w:rsid w:val="0074250F"/>
    <w:rsid w:val="007441DE"/>
    <w:rsid w:val="00753230"/>
    <w:rsid w:val="00753F0C"/>
    <w:rsid w:val="007560CA"/>
    <w:rsid w:val="0075719D"/>
    <w:rsid w:val="007572AB"/>
    <w:rsid w:val="007608CA"/>
    <w:rsid w:val="00761283"/>
    <w:rsid w:val="0076171C"/>
    <w:rsid w:val="00762531"/>
    <w:rsid w:val="007738D8"/>
    <w:rsid w:val="00776857"/>
    <w:rsid w:val="007771AC"/>
    <w:rsid w:val="00777A73"/>
    <w:rsid w:val="00780EB4"/>
    <w:rsid w:val="0078662A"/>
    <w:rsid w:val="00786782"/>
    <w:rsid w:val="00792B1E"/>
    <w:rsid w:val="007A00EA"/>
    <w:rsid w:val="007B0CDB"/>
    <w:rsid w:val="007B277C"/>
    <w:rsid w:val="007B4260"/>
    <w:rsid w:val="007B552C"/>
    <w:rsid w:val="007C1374"/>
    <w:rsid w:val="007C2445"/>
    <w:rsid w:val="007D0C29"/>
    <w:rsid w:val="007D1792"/>
    <w:rsid w:val="007E3F5E"/>
    <w:rsid w:val="007E5093"/>
    <w:rsid w:val="007F0F75"/>
    <w:rsid w:val="007F18F3"/>
    <w:rsid w:val="007F39FB"/>
    <w:rsid w:val="007F686B"/>
    <w:rsid w:val="007F7DC1"/>
    <w:rsid w:val="00800568"/>
    <w:rsid w:val="008009C9"/>
    <w:rsid w:val="00801237"/>
    <w:rsid w:val="00802948"/>
    <w:rsid w:val="008044FB"/>
    <w:rsid w:val="0081619A"/>
    <w:rsid w:val="0081738A"/>
    <w:rsid w:val="00821B85"/>
    <w:rsid w:val="00823814"/>
    <w:rsid w:val="008239C5"/>
    <w:rsid w:val="008270E1"/>
    <w:rsid w:val="00827BEB"/>
    <w:rsid w:val="00827D4A"/>
    <w:rsid w:val="00830F46"/>
    <w:rsid w:val="00832214"/>
    <w:rsid w:val="008348FE"/>
    <w:rsid w:val="00837D36"/>
    <w:rsid w:val="00842997"/>
    <w:rsid w:val="00846494"/>
    <w:rsid w:val="0085010A"/>
    <w:rsid w:val="0086240B"/>
    <w:rsid w:val="00864E9B"/>
    <w:rsid w:val="00872C9F"/>
    <w:rsid w:val="0087380E"/>
    <w:rsid w:val="0088412E"/>
    <w:rsid w:val="00884AAC"/>
    <w:rsid w:val="00885BBC"/>
    <w:rsid w:val="008C7A1E"/>
    <w:rsid w:val="008D340C"/>
    <w:rsid w:val="008D40F3"/>
    <w:rsid w:val="008E1793"/>
    <w:rsid w:val="008E3EF9"/>
    <w:rsid w:val="008E476E"/>
    <w:rsid w:val="008E4B14"/>
    <w:rsid w:val="008E5AEC"/>
    <w:rsid w:val="008F4D61"/>
    <w:rsid w:val="009063E8"/>
    <w:rsid w:val="00910C6E"/>
    <w:rsid w:val="00911CD6"/>
    <w:rsid w:val="00917FA4"/>
    <w:rsid w:val="009321DA"/>
    <w:rsid w:val="00936D57"/>
    <w:rsid w:val="00942609"/>
    <w:rsid w:val="0094619F"/>
    <w:rsid w:val="00952254"/>
    <w:rsid w:val="00961388"/>
    <w:rsid w:val="00961A83"/>
    <w:rsid w:val="00962B68"/>
    <w:rsid w:val="00965849"/>
    <w:rsid w:val="009660BB"/>
    <w:rsid w:val="0096727B"/>
    <w:rsid w:val="00977852"/>
    <w:rsid w:val="009919E2"/>
    <w:rsid w:val="00997AFC"/>
    <w:rsid w:val="009B1615"/>
    <w:rsid w:val="009C0042"/>
    <w:rsid w:val="009C1F8C"/>
    <w:rsid w:val="009C2BD6"/>
    <w:rsid w:val="009C713F"/>
    <w:rsid w:val="009D46AC"/>
    <w:rsid w:val="009E14AB"/>
    <w:rsid w:val="009F0519"/>
    <w:rsid w:val="009F1C59"/>
    <w:rsid w:val="00A05844"/>
    <w:rsid w:val="00A173A1"/>
    <w:rsid w:val="00A21783"/>
    <w:rsid w:val="00A256B1"/>
    <w:rsid w:val="00A268EB"/>
    <w:rsid w:val="00A26FCE"/>
    <w:rsid w:val="00A31EEA"/>
    <w:rsid w:val="00A324F9"/>
    <w:rsid w:val="00A34359"/>
    <w:rsid w:val="00A410E2"/>
    <w:rsid w:val="00A548BC"/>
    <w:rsid w:val="00A5555C"/>
    <w:rsid w:val="00A57BC4"/>
    <w:rsid w:val="00A61E86"/>
    <w:rsid w:val="00A62DCE"/>
    <w:rsid w:val="00A659F7"/>
    <w:rsid w:val="00A66919"/>
    <w:rsid w:val="00A7177E"/>
    <w:rsid w:val="00A71D2A"/>
    <w:rsid w:val="00A7272E"/>
    <w:rsid w:val="00A7451D"/>
    <w:rsid w:val="00A749EC"/>
    <w:rsid w:val="00A81F71"/>
    <w:rsid w:val="00A8440C"/>
    <w:rsid w:val="00A93B5D"/>
    <w:rsid w:val="00AA182F"/>
    <w:rsid w:val="00AA33CD"/>
    <w:rsid w:val="00AB0ED8"/>
    <w:rsid w:val="00AB4733"/>
    <w:rsid w:val="00AB6094"/>
    <w:rsid w:val="00AC5565"/>
    <w:rsid w:val="00AC5806"/>
    <w:rsid w:val="00AD1FB2"/>
    <w:rsid w:val="00AD6268"/>
    <w:rsid w:val="00AD6E1C"/>
    <w:rsid w:val="00AE4781"/>
    <w:rsid w:val="00AF0BEE"/>
    <w:rsid w:val="00B0361E"/>
    <w:rsid w:val="00B05469"/>
    <w:rsid w:val="00B10467"/>
    <w:rsid w:val="00B139CD"/>
    <w:rsid w:val="00B14AC3"/>
    <w:rsid w:val="00B16BD8"/>
    <w:rsid w:val="00B25E74"/>
    <w:rsid w:val="00B33543"/>
    <w:rsid w:val="00B33CEA"/>
    <w:rsid w:val="00B3501B"/>
    <w:rsid w:val="00B35286"/>
    <w:rsid w:val="00B36DF9"/>
    <w:rsid w:val="00B37848"/>
    <w:rsid w:val="00B37F68"/>
    <w:rsid w:val="00B44A02"/>
    <w:rsid w:val="00B4731A"/>
    <w:rsid w:val="00B4770A"/>
    <w:rsid w:val="00B5019A"/>
    <w:rsid w:val="00B56AAF"/>
    <w:rsid w:val="00B60CC0"/>
    <w:rsid w:val="00B705D5"/>
    <w:rsid w:val="00B71B5E"/>
    <w:rsid w:val="00B72B8F"/>
    <w:rsid w:val="00B75DEC"/>
    <w:rsid w:val="00B767A8"/>
    <w:rsid w:val="00B8175B"/>
    <w:rsid w:val="00B853C2"/>
    <w:rsid w:val="00B92DB9"/>
    <w:rsid w:val="00B939C4"/>
    <w:rsid w:val="00B94063"/>
    <w:rsid w:val="00B95879"/>
    <w:rsid w:val="00BA6AFD"/>
    <w:rsid w:val="00BB0180"/>
    <w:rsid w:val="00BB1946"/>
    <w:rsid w:val="00BB4A98"/>
    <w:rsid w:val="00BB6473"/>
    <w:rsid w:val="00BC5093"/>
    <w:rsid w:val="00BC5654"/>
    <w:rsid w:val="00BE0881"/>
    <w:rsid w:val="00BE40F0"/>
    <w:rsid w:val="00BE4270"/>
    <w:rsid w:val="00BE5C07"/>
    <w:rsid w:val="00BF20BE"/>
    <w:rsid w:val="00BF581A"/>
    <w:rsid w:val="00C0450E"/>
    <w:rsid w:val="00C14289"/>
    <w:rsid w:val="00C1752D"/>
    <w:rsid w:val="00C26520"/>
    <w:rsid w:val="00C32830"/>
    <w:rsid w:val="00C403BD"/>
    <w:rsid w:val="00C44983"/>
    <w:rsid w:val="00C46193"/>
    <w:rsid w:val="00C4620D"/>
    <w:rsid w:val="00C464D9"/>
    <w:rsid w:val="00C46A5A"/>
    <w:rsid w:val="00C52E92"/>
    <w:rsid w:val="00C53667"/>
    <w:rsid w:val="00C538D9"/>
    <w:rsid w:val="00C55784"/>
    <w:rsid w:val="00C57DC3"/>
    <w:rsid w:val="00C6009E"/>
    <w:rsid w:val="00C652A3"/>
    <w:rsid w:val="00C6530F"/>
    <w:rsid w:val="00C65E22"/>
    <w:rsid w:val="00C70BA9"/>
    <w:rsid w:val="00C71F50"/>
    <w:rsid w:val="00C74ADF"/>
    <w:rsid w:val="00C9122D"/>
    <w:rsid w:val="00C94B88"/>
    <w:rsid w:val="00C94FA8"/>
    <w:rsid w:val="00CA1898"/>
    <w:rsid w:val="00CA57C1"/>
    <w:rsid w:val="00CB04D4"/>
    <w:rsid w:val="00CB5DCB"/>
    <w:rsid w:val="00CC2AD6"/>
    <w:rsid w:val="00CC4022"/>
    <w:rsid w:val="00CD0C72"/>
    <w:rsid w:val="00CD0CCA"/>
    <w:rsid w:val="00CD34E7"/>
    <w:rsid w:val="00CD4E06"/>
    <w:rsid w:val="00CE0421"/>
    <w:rsid w:val="00CE0822"/>
    <w:rsid w:val="00CE176B"/>
    <w:rsid w:val="00CF17EC"/>
    <w:rsid w:val="00CF2370"/>
    <w:rsid w:val="00CF2ACD"/>
    <w:rsid w:val="00CF3BBF"/>
    <w:rsid w:val="00CF42A2"/>
    <w:rsid w:val="00CF502C"/>
    <w:rsid w:val="00D03956"/>
    <w:rsid w:val="00D03D77"/>
    <w:rsid w:val="00D07A1A"/>
    <w:rsid w:val="00D104D3"/>
    <w:rsid w:val="00D12FCF"/>
    <w:rsid w:val="00D17097"/>
    <w:rsid w:val="00D2024E"/>
    <w:rsid w:val="00D24D91"/>
    <w:rsid w:val="00D274C6"/>
    <w:rsid w:val="00D4012B"/>
    <w:rsid w:val="00D47270"/>
    <w:rsid w:val="00D53CB1"/>
    <w:rsid w:val="00D56892"/>
    <w:rsid w:val="00D61CCB"/>
    <w:rsid w:val="00D64459"/>
    <w:rsid w:val="00D86572"/>
    <w:rsid w:val="00D90264"/>
    <w:rsid w:val="00D90CF9"/>
    <w:rsid w:val="00D9566F"/>
    <w:rsid w:val="00DA0318"/>
    <w:rsid w:val="00DA1C84"/>
    <w:rsid w:val="00DA1DA4"/>
    <w:rsid w:val="00DA3A0C"/>
    <w:rsid w:val="00DA7D63"/>
    <w:rsid w:val="00DB06A9"/>
    <w:rsid w:val="00DB392A"/>
    <w:rsid w:val="00DB4909"/>
    <w:rsid w:val="00DC3E6A"/>
    <w:rsid w:val="00DC625A"/>
    <w:rsid w:val="00DD08CC"/>
    <w:rsid w:val="00DE09F0"/>
    <w:rsid w:val="00DE4F10"/>
    <w:rsid w:val="00DE5CA9"/>
    <w:rsid w:val="00DE790C"/>
    <w:rsid w:val="00E040C7"/>
    <w:rsid w:val="00E0497B"/>
    <w:rsid w:val="00E117EE"/>
    <w:rsid w:val="00E1651A"/>
    <w:rsid w:val="00E20F26"/>
    <w:rsid w:val="00E24B5E"/>
    <w:rsid w:val="00E35680"/>
    <w:rsid w:val="00E4013B"/>
    <w:rsid w:val="00E40645"/>
    <w:rsid w:val="00E4186A"/>
    <w:rsid w:val="00E44855"/>
    <w:rsid w:val="00E45A6A"/>
    <w:rsid w:val="00E57650"/>
    <w:rsid w:val="00E62D18"/>
    <w:rsid w:val="00E650DD"/>
    <w:rsid w:val="00E705EB"/>
    <w:rsid w:val="00E74171"/>
    <w:rsid w:val="00E76C4C"/>
    <w:rsid w:val="00E817D0"/>
    <w:rsid w:val="00E82C7A"/>
    <w:rsid w:val="00E921EE"/>
    <w:rsid w:val="00EA2CCE"/>
    <w:rsid w:val="00EB250B"/>
    <w:rsid w:val="00EB263E"/>
    <w:rsid w:val="00EC79FD"/>
    <w:rsid w:val="00EC7B6E"/>
    <w:rsid w:val="00ED317D"/>
    <w:rsid w:val="00EE23EE"/>
    <w:rsid w:val="00EF0A8C"/>
    <w:rsid w:val="00EF6094"/>
    <w:rsid w:val="00EF7FBD"/>
    <w:rsid w:val="00F05C4E"/>
    <w:rsid w:val="00F05FF1"/>
    <w:rsid w:val="00F07636"/>
    <w:rsid w:val="00F1143C"/>
    <w:rsid w:val="00F16DB0"/>
    <w:rsid w:val="00F17905"/>
    <w:rsid w:val="00F20E05"/>
    <w:rsid w:val="00F21FB5"/>
    <w:rsid w:val="00F27BA9"/>
    <w:rsid w:val="00F30138"/>
    <w:rsid w:val="00F3018C"/>
    <w:rsid w:val="00F35FA7"/>
    <w:rsid w:val="00F36042"/>
    <w:rsid w:val="00F40E2A"/>
    <w:rsid w:val="00F42F2B"/>
    <w:rsid w:val="00F54D8A"/>
    <w:rsid w:val="00F662F4"/>
    <w:rsid w:val="00F73F44"/>
    <w:rsid w:val="00F74EFD"/>
    <w:rsid w:val="00F84823"/>
    <w:rsid w:val="00FA2B36"/>
    <w:rsid w:val="00FA44D8"/>
    <w:rsid w:val="00FB0225"/>
    <w:rsid w:val="00FB081A"/>
    <w:rsid w:val="00FB1555"/>
    <w:rsid w:val="00FB1C25"/>
    <w:rsid w:val="00FB2986"/>
    <w:rsid w:val="00FB5FE3"/>
    <w:rsid w:val="00FB6DF5"/>
    <w:rsid w:val="00FB777B"/>
    <w:rsid w:val="00FC2BA1"/>
    <w:rsid w:val="00FC3660"/>
    <w:rsid w:val="00FC4698"/>
    <w:rsid w:val="00FC77DE"/>
    <w:rsid w:val="00FD2EEB"/>
    <w:rsid w:val="00FD3327"/>
    <w:rsid w:val="00FD64A8"/>
    <w:rsid w:val="00FD677B"/>
    <w:rsid w:val="00FE1CC7"/>
    <w:rsid w:val="00FE3CEF"/>
    <w:rsid w:val="00FE78F3"/>
    <w:rsid w:val="00FF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20F00"/>
  <w15:docId w15:val="{4A56A12B-9551-410D-B0C2-619131C7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ACD"/>
    <w:rPr>
      <w:rFonts w:eastAsia="Times New Roman"/>
      <w:sz w:val="24"/>
      <w:szCs w:val="24"/>
    </w:rPr>
  </w:style>
  <w:style w:type="paragraph" w:styleId="Heading1">
    <w:name w:val="heading 1"/>
    <w:basedOn w:val="CLAProNormal"/>
    <w:next w:val="Normal"/>
    <w:link w:val="Heading1Char"/>
    <w:uiPriority w:val="9"/>
    <w:rsid w:val="00FB1555"/>
    <w:pPr>
      <w:outlineLvl w:val="0"/>
    </w:pPr>
  </w:style>
  <w:style w:type="paragraph" w:styleId="Heading2">
    <w:name w:val="heading 2"/>
    <w:basedOn w:val="CLAProNormal"/>
    <w:next w:val="Normal"/>
    <w:link w:val="Heading2Char"/>
    <w:uiPriority w:val="9"/>
    <w:unhideWhenUsed/>
    <w:rsid w:val="00FB1555"/>
    <w:pPr>
      <w:outlineLvl w:val="1"/>
    </w:pPr>
  </w:style>
  <w:style w:type="paragraph" w:styleId="Heading3">
    <w:name w:val="heading 3"/>
    <w:basedOn w:val="Normal"/>
    <w:next w:val="Normal"/>
    <w:link w:val="Heading3Char"/>
    <w:uiPriority w:val="9"/>
    <w:unhideWhenUsed/>
    <w:rsid w:val="00022C6A"/>
    <w:pPr>
      <w:keepNext/>
      <w:keepLines/>
      <w:spacing w:before="200"/>
      <w:outlineLvl w:val="2"/>
    </w:pPr>
    <w:rPr>
      <w:rFonts w:ascii="Arial" w:eastAsiaTheme="majorEastAsia" w:hAnsi="Arial" w:cstheme="majorBidi"/>
      <w:b/>
      <w:bCs/>
      <w:color w:val="005595" w:themeColor="accent1"/>
    </w:rPr>
  </w:style>
  <w:style w:type="paragraph" w:styleId="Heading4">
    <w:name w:val="heading 4"/>
    <w:basedOn w:val="Normal"/>
    <w:next w:val="Normal"/>
    <w:link w:val="Heading4Char"/>
    <w:uiPriority w:val="9"/>
    <w:unhideWhenUsed/>
    <w:rsid w:val="00022C6A"/>
    <w:pPr>
      <w:keepNext/>
      <w:keepLines/>
      <w:spacing w:before="200"/>
      <w:outlineLvl w:val="3"/>
    </w:pPr>
    <w:rPr>
      <w:rFonts w:ascii="Arial" w:eastAsiaTheme="majorEastAsia" w:hAnsi="Arial" w:cstheme="majorBidi"/>
      <w:b/>
      <w:bCs/>
      <w:i/>
      <w:iCs/>
      <w:color w:val="005595" w:themeColor="accent1"/>
    </w:rPr>
  </w:style>
  <w:style w:type="paragraph" w:styleId="Heading5">
    <w:name w:val="heading 5"/>
    <w:basedOn w:val="Normal"/>
    <w:next w:val="Normal"/>
    <w:link w:val="Heading5Char"/>
    <w:uiPriority w:val="9"/>
    <w:semiHidden/>
    <w:unhideWhenUsed/>
    <w:rsid w:val="00022C6A"/>
    <w:pPr>
      <w:keepNext/>
      <w:keepLines/>
      <w:spacing w:before="200"/>
      <w:outlineLvl w:val="4"/>
    </w:pPr>
    <w:rPr>
      <w:rFonts w:asciiTheme="majorHAnsi" w:eastAsiaTheme="majorEastAsia" w:hAnsiTheme="majorHAnsi" w:cstheme="majorBidi"/>
      <w:color w:val="002A4A" w:themeColor="accent1" w:themeShade="7F"/>
    </w:rPr>
  </w:style>
  <w:style w:type="paragraph" w:styleId="Heading6">
    <w:name w:val="heading 6"/>
    <w:basedOn w:val="Normal"/>
    <w:next w:val="Normal"/>
    <w:link w:val="Heading6Char"/>
    <w:uiPriority w:val="9"/>
    <w:semiHidden/>
    <w:unhideWhenUsed/>
    <w:rsid w:val="00022C6A"/>
    <w:pPr>
      <w:keepNext/>
      <w:keepLines/>
      <w:spacing w:before="200"/>
      <w:outlineLvl w:val="5"/>
    </w:pPr>
    <w:rPr>
      <w:rFonts w:asciiTheme="majorHAnsi" w:eastAsiaTheme="majorEastAsia" w:hAnsiTheme="majorHAnsi" w:cstheme="majorBidi"/>
      <w:i/>
      <w:iCs/>
      <w:color w:val="002A4A" w:themeColor="accent1" w:themeShade="7F"/>
    </w:rPr>
  </w:style>
  <w:style w:type="paragraph" w:styleId="Heading7">
    <w:name w:val="heading 7"/>
    <w:basedOn w:val="Normal"/>
    <w:next w:val="Normal"/>
    <w:link w:val="Heading7Char"/>
    <w:uiPriority w:val="9"/>
    <w:semiHidden/>
    <w:unhideWhenUsed/>
    <w:rsid w:val="00022C6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022C6A"/>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rsid w:val="00022C6A"/>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C6A"/>
    <w:pPr>
      <w:pBdr>
        <w:bottom w:val="single" w:sz="8" w:space="4" w:color="005595" w:themeColor="accent1"/>
      </w:pBdr>
      <w:spacing w:after="300"/>
      <w:contextualSpacing/>
    </w:pPr>
    <w:rPr>
      <w:rFonts w:ascii="Arial" w:eastAsiaTheme="majorEastAsia" w:hAnsi="Arial" w:cstheme="majorBidi"/>
      <w:color w:val="352F24" w:themeColor="text2" w:themeShade="BF"/>
      <w:spacing w:val="5"/>
      <w:kern w:val="28"/>
      <w:sz w:val="52"/>
      <w:szCs w:val="52"/>
    </w:rPr>
  </w:style>
  <w:style w:type="character" w:customStyle="1" w:styleId="TitleChar">
    <w:name w:val="Title Char"/>
    <w:basedOn w:val="DefaultParagraphFont"/>
    <w:link w:val="Title"/>
    <w:uiPriority w:val="10"/>
    <w:rsid w:val="00022C6A"/>
    <w:rPr>
      <w:rFonts w:ascii="Arial" w:eastAsiaTheme="majorEastAsia" w:hAnsi="Arial" w:cstheme="majorBidi"/>
      <w:color w:val="352F24" w:themeColor="text2" w:themeShade="BF"/>
      <w:spacing w:val="5"/>
      <w:kern w:val="28"/>
      <w:sz w:val="52"/>
      <w:szCs w:val="52"/>
    </w:rPr>
  </w:style>
  <w:style w:type="character" w:customStyle="1" w:styleId="Heading2Char">
    <w:name w:val="Heading 2 Char"/>
    <w:basedOn w:val="DefaultParagraphFont"/>
    <w:link w:val="Heading2"/>
    <w:uiPriority w:val="9"/>
    <w:rsid w:val="00FB1555"/>
    <w:rPr>
      <w:rFonts w:ascii="Calibri" w:eastAsia="Times New Roman" w:hAnsi="Calibri"/>
      <w:sz w:val="22"/>
      <w:szCs w:val="52"/>
    </w:rPr>
  </w:style>
  <w:style w:type="character" w:customStyle="1" w:styleId="Heading3Char">
    <w:name w:val="Heading 3 Char"/>
    <w:basedOn w:val="DefaultParagraphFont"/>
    <w:link w:val="Heading3"/>
    <w:uiPriority w:val="9"/>
    <w:rsid w:val="00022C6A"/>
    <w:rPr>
      <w:rFonts w:ascii="Arial" w:eastAsiaTheme="majorEastAsia" w:hAnsi="Arial" w:cstheme="majorBidi"/>
      <w:b/>
      <w:bCs/>
      <w:color w:val="005595" w:themeColor="accent1"/>
    </w:rPr>
  </w:style>
  <w:style w:type="paragraph" w:styleId="Subtitle">
    <w:name w:val="Subtitle"/>
    <w:basedOn w:val="Normal"/>
    <w:next w:val="Normal"/>
    <w:link w:val="SubtitleChar"/>
    <w:uiPriority w:val="11"/>
    <w:qFormat/>
    <w:rsid w:val="00022C6A"/>
    <w:pPr>
      <w:numPr>
        <w:ilvl w:val="1"/>
      </w:numPr>
    </w:pPr>
    <w:rPr>
      <w:rFonts w:ascii="Arial" w:eastAsiaTheme="majorEastAsia" w:hAnsi="Arial" w:cstheme="majorBidi"/>
      <w:i/>
      <w:iCs/>
      <w:color w:val="005595" w:themeColor="accent1"/>
      <w:spacing w:val="15"/>
    </w:rPr>
  </w:style>
  <w:style w:type="character" w:customStyle="1" w:styleId="SubtitleChar">
    <w:name w:val="Subtitle Char"/>
    <w:basedOn w:val="DefaultParagraphFont"/>
    <w:link w:val="Subtitle"/>
    <w:uiPriority w:val="11"/>
    <w:rsid w:val="00022C6A"/>
    <w:rPr>
      <w:rFonts w:ascii="Arial" w:eastAsiaTheme="majorEastAsia" w:hAnsi="Arial" w:cstheme="majorBidi"/>
      <w:i/>
      <w:iCs/>
      <w:color w:val="005595" w:themeColor="accent1"/>
      <w:spacing w:val="15"/>
      <w:sz w:val="24"/>
      <w:szCs w:val="24"/>
    </w:rPr>
  </w:style>
  <w:style w:type="paragraph" w:styleId="Quote">
    <w:name w:val="Quote"/>
    <w:basedOn w:val="Normal"/>
    <w:next w:val="Normal"/>
    <w:link w:val="QuoteChar"/>
    <w:uiPriority w:val="29"/>
    <w:qFormat/>
    <w:rsid w:val="00022C6A"/>
    <w:rPr>
      <w:rFonts w:ascii="Arial" w:hAnsi="Arial"/>
      <w:i/>
      <w:iCs/>
      <w:color w:val="000000" w:themeColor="text1"/>
    </w:rPr>
  </w:style>
  <w:style w:type="character" w:customStyle="1" w:styleId="QuoteChar">
    <w:name w:val="Quote Char"/>
    <w:basedOn w:val="DefaultParagraphFont"/>
    <w:link w:val="Quote"/>
    <w:uiPriority w:val="29"/>
    <w:rsid w:val="00022C6A"/>
    <w:rPr>
      <w:rFonts w:ascii="Arial" w:hAnsi="Arial"/>
      <w:i/>
      <w:iCs/>
      <w:color w:val="000000" w:themeColor="text1"/>
    </w:rPr>
  </w:style>
  <w:style w:type="paragraph" w:styleId="IntenseQuote">
    <w:name w:val="Intense Quote"/>
    <w:basedOn w:val="Normal"/>
    <w:next w:val="Normal"/>
    <w:link w:val="IntenseQuoteChar"/>
    <w:uiPriority w:val="30"/>
    <w:qFormat/>
    <w:rsid w:val="00022C6A"/>
    <w:pPr>
      <w:pBdr>
        <w:bottom w:val="single" w:sz="4" w:space="4" w:color="005595" w:themeColor="accent1"/>
      </w:pBdr>
      <w:spacing w:before="200" w:after="280"/>
      <w:ind w:left="936" w:right="936"/>
    </w:pPr>
    <w:rPr>
      <w:rFonts w:ascii="Arial" w:hAnsi="Arial"/>
      <w:b/>
      <w:bCs/>
      <w:i/>
      <w:iCs/>
      <w:color w:val="005595" w:themeColor="accent1"/>
    </w:rPr>
  </w:style>
  <w:style w:type="character" w:customStyle="1" w:styleId="IntenseQuoteChar">
    <w:name w:val="Intense Quote Char"/>
    <w:basedOn w:val="DefaultParagraphFont"/>
    <w:link w:val="IntenseQuote"/>
    <w:uiPriority w:val="30"/>
    <w:rsid w:val="00022C6A"/>
    <w:rPr>
      <w:rFonts w:ascii="Arial" w:hAnsi="Arial"/>
      <w:b/>
      <w:bCs/>
      <w:i/>
      <w:iCs/>
      <w:color w:val="005595" w:themeColor="accent1"/>
    </w:rPr>
  </w:style>
  <w:style w:type="character" w:customStyle="1" w:styleId="Heading1Char">
    <w:name w:val="Heading 1 Char"/>
    <w:basedOn w:val="DefaultParagraphFont"/>
    <w:link w:val="Heading1"/>
    <w:uiPriority w:val="9"/>
    <w:rsid w:val="00FB1555"/>
    <w:rPr>
      <w:rFonts w:ascii="Calibri" w:eastAsia="Times New Roman" w:hAnsi="Calibri"/>
      <w:sz w:val="22"/>
      <w:szCs w:val="52"/>
    </w:rPr>
  </w:style>
  <w:style w:type="character" w:customStyle="1" w:styleId="Heading4Char">
    <w:name w:val="Heading 4 Char"/>
    <w:basedOn w:val="DefaultParagraphFont"/>
    <w:link w:val="Heading4"/>
    <w:uiPriority w:val="9"/>
    <w:rsid w:val="00022C6A"/>
    <w:rPr>
      <w:rFonts w:ascii="Arial" w:eastAsiaTheme="majorEastAsia" w:hAnsi="Arial" w:cstheme="majorBidi"/>
      <w:b/>
      <w:bCs/>
      <w:i/>
      <w:iCs/>
      <w:color w:val="005595" w:themeColor="accent1"/>
    </w:rPr>
  </w:style>
  <w:style w:type="character" w:customStyle="1" w:styleId="Heading5Char">
    <w:name w:val="Heading 5 Char"/>
    <w:basedOn w:val="DefaultParagraphFont"/>
    <w:link w:val="Heading5"/>
    <w:uiPriority w:val="9"/>
    <w:semiHidden/>
    <w:rsid w:val="00022C6A"/>
    <w:rPr>
      <w:rFonts w:asciiTheme="majorHAnsi" w:eastAsiaTheme="majorEastAsia" w:hAnsiTheme="majorHAnsi" w:cstheme="majorBidi"/>
      <w:color w:val="002A4A" w:themeColor="accent1" w:themeShade="7F"/>
    </w:rPr>
  </w:style>
  <w:style w:type="paragraph" w:styleId="NoSpacing">
    <w:name w:val="No Spacing"/>
    <w:uiPriority w:val="1"/>
    <w:qFormat/>
    <w:rsid w:val="00022C6A"/>
  </w:style>
  <w:style w:type="paragraph" w:styleId="BalloonText">
    <w:name w:val="Balloon Text"/>
    <w:basedOn w:val="Normal"/>
    <w:link w:val="BalloonTextChar"/>
    <w:uiPriority w:val="99"/>
    <w:semiHidden/>
    <w:unhideWhenUsed/>
    <w:rsid w:val="00CD34E7"/>
    <w:rPr>
      <w:rFonts w:ascii="Tahoma" w:hAnsi="Tahoma" w:cs="Tahoma"/>
      <w:sz w:val="16"/>
      <w:szCs w:val="16"/>
    </w:rPr>
  </w:style>
  <w:style w:type="character" w:customStyle="1" w:styleId="BalloonTextChar">
    <w:name w:val="Balloon Text Char"/>
    <w:basedOn w:val="DefaultParagraphFont"/>
    <w:link w:val="BalloonText"/>
    <w:uiPriority w:val="99"/>
    <w:semiHidden/>
    <w:rsid w:val="00CD34E7"/>
    <w:rPr>
      <w:rFonts w:ascii="Tahoma" w:hAnsi="Tahoma" w:cs="Tahoma"/>
      <w:sz w:val="16"/>
      <w:szCs w:val="16"/>
    </w:rPr>
  </w:style>
  <w:style w:type="character" w:customStyle="1" w:styleId="Heading6Char">
    <w:name w:val="Heading 6 Char"/>
    <w:basedOn w:val="DefaultParagraphFont"/>
    <w:link w:val="Heading6"/>
    <w:uiPriority w:val="9"/>
    <w:semiHidden/>
    <w:rsid w:val="00022C6A"/>
    <w:rPr>
      <w:rFonts w:asciiTheme="majorHAnsi" w:eastAsiaTheme="majorEastAsia" w:hAnsiTheme="majorHAnsi" w:cstheme="majorBidi"/>
      <w:i/>
      <w:iCs/>
      <w:color w:val="002A4A" w:themeColor="accent1" w:themeShade="7F"/>
    </w:rPr>
  </w:style>
  <w:style w:type="character" w:customStyle="1" w:styleId="Heading7Char">
    <w:name w:val="Heading 7 Char"/>
    <w:basedOn w:val="DefaultParagraphFont"/>
    <w:link w:val="Heading7"/>
    <w:uiPriority w:val="9"/>
    <w:semiHidden/>
    <w:rsid w:val="00022C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22C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22C6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22C6A"/>
    <w:rPr>
      <w:b/>
      <w:bCs/>
      <w:color w:val="005595" w:themeColor="accent1"/>
      <w:sz w:val="18"/>
      <w:szCs w:val="18"/>
    </w:rPr>
  </w:style>
  <w:style w:type="character" w:styleId="Strong">
    <w:name w:val="Strong"/>
    <w:uiPriority w:val="22"/>
    <w:qFormat/>
    <w:rsid w:val="00022C6A"/>
    <w:rPr>
      <w:b/>
      <w:bCs/>
    </w:rPr>
  </w:style>
  <w:style w:type="character" w:styleId="Emphasis">
    <w:name w:val="Emphasis"/>
    <w:uiPriority w:val="20"/>
    <w:qFormat/>
    <w:rsid w:val="00022C6A"/>
    <w:rPr>
      <w:i/>
      <w:iCs/>
    </w:rPr>
  </w:style>
  <w:style w:type="paragraph" w:styleId="ListParagraph">
    <w:name w:val="List Paragraph"/>
    <w:basedOn w:val="Normal"/>
    <w:uiPriority w:val="34"/>
    <w:qFormat/>
    <w:rsid w:val="00022C6A"/>
    <w:pPr>
      <w:ind w:left="720"/>
      <w:contextualSpacing/>
    </w:pPr>
  </w:style>
  <w:style w:type="character" w:styleId="SubtleEmphasis">
    <w:name w:val="Subtle Emphasis"/>
    <w:uiPriority w:val="19"/>
    <w:qFormat/>
    <w:rsid w:val="00022C6A"/>
    <w:rPr>
      <w:i/>
      <w:iCs/>
      <w:color w:val="808080" w:themeColor="text1" w:themeTint="7F"/>
    </w:rPr>
  </w:style>
  <w:style w:type="character" w:styleId="IntenseEmphasis">
    <w:name w:val="Intense Emphasis"/>
    <w:uiPriority w:val="21"/>
    <w:qFormat/>
    <w:rsid w:val="00022C6A"/>
    <w:rPr>
      <w:b/>
      <w:bCs/>
      <w:i/>
      <w:iCs/>
      <w:color w:val="005595" w:themeColor="accent1"/>
    </w:rPr>
  </w:style>
  <w:style w:type="character" w:styleId="SubtleReference">
    <w:name w:val="Subtle Reference"/>
    <w:uiPriority w:val="31"/>
    <w:qFormat/>
    <w:rsid w:val="00022C6A"/>
    <w:rPr>
      <w:smallCaps/>
      <w:color w:val="F7EDC2" w:themeColor="accent2"/>
      <w:u w:val="single"/>
    </w:rPr>
  </w:style>
  <w:style w:type="character" w:styleId="IntenseReference">
    <w:name w:val="Intense Reference"/>
    <w:uiPriority w:val="32"/>
    <w:qFormat/>
    <w:rsid w:val="00022C6A"/>
    <w:rPr>
      <w:b/>
      <w:bCs/>
      <w:smallCaps/>
      <w:color w:val="F7EDC2" w:themeColor="accent2"/>
      <w:spacing w:val="5"/>
      <w:u w:val="single"/>
    </w:rPr>
  </w:style>
  <w:style w:type="character" w:styleId="BookTitle">
    <w:name w:val="Book Title"/>
    <w:uiPriority w:val="33"/>
    <w:qFormat/>
    <w:rsid w:val="00022C6A"/>
    <w:rPr>
      <w:b/>
      <w:bCs/>
      <w:smallCaps/>
      <w:spacing w:val="5"/>
    </w:rPr>
  </w:style>
  <w:style w:type="paragraph" w:styleId="TOCHeading">
    <w:name w:val="TOC Heading"/>
    <w:basedOn w:val="Heading1"/>
    <w:next w:val="Normal"/>
    <w:uiPriority w:val="39"/>
    <w:unhideWhenUsed/>
    <w:qFormat/>
    <w:rsid w:val="00022C6A"/>
    <w:pPr>
      <w:outlineLvl w:val="9"/>
    </w:pPr>
    <w:rPr>
      <w:rFonts w:asciiTheme="majorHAnsi" w:hAnsiTheme="majorHAnsi"/>
    </w:rPr>
  </w:style>
  <w:style w:type="paragraph" w:customStyle="1" w:styleId="CLAphoneandweb">
    <w:name w:val="CLA phone and web"/>
    <w:qFormat/>
    <w:rsid w:val="00CF2ACD"/>
    <w:pPr>
      <w:spacing w:before="60"/>
    </w:pPr>
    <w:rPr>
      <w:rFonts w:ascii="Arial Narrow" w:eastAsia="Times New Roman" w:hAnsi="Arial Narrow" w:cs="Arial"/>
      <w:color w:val="003767"/>
      <w:sz w:val="18"/>
      <w:szCs w:val="18"/>
    </w:rPr>
  </w:style>
  <w:style w:type="paragraph" w:customStyle="1" w:styleId="CLALTRNormal">
    <w:name w:val="CLA LTR Normal"/>
    <w:link w:val="CLALTRNormalChar"/>
    <w:qFormat/>
    <w:rsid w:val="00D56892"/>
    <w:pPr>
      <w:spacing w:after="240"/>
    </w:pPr>
    <w:rPr>
      <w:rFonts w:ascii="Calibri" w:eastAsia="Times" w:hAnsi="Calibri"/>
      <w:sz w:val="22"/>
    </w:rPr>
  </w:style>
  <w:style w:type="character" w:customStyle="1" w:styleId="CLALTRNormalChar">
    <w:name w:val="CLA LTR Normal Char"/>
    <w:basedOn w:val="DefaultParagraphFont"/>
    <w:link w:val="CLALTRNormal"/>
    <w:rsid w:val="00D56892"/>
    <w:rPr>
      <w:rFonts w:ascii="Calibri" w:eastAsia="Times" w:hAnsi="Calibri"/>
      <w:sz w:val="22"/>
    </w:rPr>
  </w:style>
  <w:style w:type="paragraph" w:customStyle="1" w:styleId="CLALTRAddressorSignature">
    <w:name w:val="CLA LTR Address or Signature"/>
    <w:basedOn w:val="CLALTRNormal"/>
    <w:next w:val="CLALTRNormal"/>
    <w:rsid w:val="00D56892"/>
    <w:pPr>
      <w:spacing w:after="0"/>
    </w:pPr>
  </w:style>
  <w:style w:type="paragraph" w:customStyle="1" w:styleId="CLALTRHeaderorFooter">
    <w:name w:val="CLA LTR Header or Footer"/>
    <w:basedOn w:val="CLALTRNormal"/>
    <w:qFormat/>
    <w:rsid w:val="00D56892"/>
    <w:pPr>
      <w:spacing w:after="0"/>
    </w:pPr>
    <w:rPr>
      <w:rFonts w:cstheme="minorHAnsi"/>
      <w:color w:val="808080"/>
      <w:sz w:val="18"/>
      <w:szCs w:val="22"/>
    </w:rPr>
  </w:style>
  <w:style w:type="paragraph" w:customStyle="1" w:styleId="CLALTRHeading1">
    <w:name w:val="CLA LTR Heading 1"/>
    <w:basedOn w:val="CLALTRNormal"/>
    <w:qFormat/>
    <w:rsid w:val="00D56892"/>
    <w:pPr>
      <w:spacing w:after="60"/>
    </w:pPr>
    <w:rPr>
      <w:b/>
    </w:rPr>
  </w:style>
  <w:style w:type="paragraph" w:customStyle="1" w:styleId="CLALTRHeading2">
    <w:name w:val="CLA LTR Heading 2"/>
    <w:basedOn w:val="CLALTRHeading1"/>
    <w:next w:val="CLALTRNormal"/>
    <w:qFormat/>
    <w:rsid w:val="00D56892"/>
    <w:rPr>
      <w:i/>
    </w:rPr>
  </w:style>
  <w:style w:type="paragraph" w:customStyle="1" w:styleId="CLALTRHeading3">
    <w:name w:val="CLA LTR Heading 3"/>
    <w:basedOn w:val="CLALTRNormal"/>
    <w:next w:val="CLALTRNormal"/>
    <w:qFormat/>
    <w:rsid w:val="00D56892"/>
    <w:pPr>
      <w:spacing w:after="60"/>
      <w:ind w:left="720"/>
    </w:pPr>
    <w:rPr>
      <w:b/>
    </w:rPr>
  </w:style>
  <w:style w:type="paragraph" w:customStyle="1" w:styleId="CLALTRHeading4">
    <w:name w:val="CLA LTR Heading 4"/>
    <w:basedOn w:val="CLALTRNormal"/>
    <w:next w:val="CLALTRNormal"/>
    <w:qFormat/>
    <w:rsid w:val="00D56892"/>
    <w:pPr>
      <w:spacing w:after="60"/>
      <w:ind w:left="720"/>
    </w:pPr>
    <w:rPr>
      <w:b/>
      <w:i/>
    </w:rPr>
  </w:style>
  <w:style w:type="paragraph" w:customStyle="1" w:styleId="CLALTRNormalIndent">
    <w:name w:val="CLA LTR Normal Indent"/>
    <w:basedOn w:val="CLALTRNormal"/>
    <w:next w:val="CLALTRNormal"/>
    <w:qFormat/>
    <w:rsid w:val="00D56892"/>
    <w:pPr>
      <w:ind w:left="720"/>
    </w:pPr>
  </w:style>
  <w:style w:type="paragraph" w:customStyle="1" w:styleId="CLALTRCircular230">
    <w:name w:val="CLA LTR Circular 230"/>
    <w:basedOn w:val="CLALTRNormal"/>
    <w:next w:val="CLALTRNormal"/>
    <w:qFormat/>
    <w:rsid w:val="00D56892"/>
    <w:rPr>
      <w:color w:val="7F7F7F" w:themeColor="text1" w:themeTint="80"/>
    </w:rPr>
  </w:style>
  <w:style w:type="paragraph" w:customStyle="1" w:styleId="CLALTRDate">
    <w:name w:val="CLA LTR Date"/>
    <w:basedOn w:val="CLALTRNormal"/>
    <w:next w:val="CLALTRAddressorSignature"/>
    <w:qFormat/>
    <w:rsid w:val="00D56892"/>
    <w:pPr>
      <w:spacing w:before="480"/>
    </w:pPr>
  </w:style>
  <w:style w:type="paragraph" w:customStyle="1" w:styleId="CLALTRSignLine">
    <w:name w:val="CLA LTR Sign Line"/>
    <w:basedOn w:val="CLALTRNormal"/>
    <w:next w:val="CLALTRNormal"/>
    <w:qFormat/>
    <w:rsid w:val="00D56892"/>
    <w:rPr>
      <w:rFonts w:cstheme="minorHAnsi"/>
      <w:b/>
    </w:rPr>
  </w:style>
  <w:style w:type="paragraph" w:customStyle="1" w:styleId="CLALTRHiddenText">
    <w:name w:val="CLA LTR Hidden Text"/>
    <w:basedOn w:val="CLALTRNormal"/>
    <w:next w:val="CLALTRNormal"/>
    <w:link w:val="CLALTRHiddenTextChar"/>
    <w:qFormat/>
    <w:rsid w:val="00D56892"/>
    <w:rPr>
      <w:b/>
      <w:i/>
      <w:vanish/>
      <w:color w:val="FF0000"/>
    </w:rPr>
  </w:style>
  <w:style w:type="paragraph" w:styleId="Header">
    <w:name w:val="header"/>
    <w:basedOn w:val="Normal"/>
    <w:link w:val="HeaderChar"/>
    <w:uiPriority w:val="99"/>
    <w:unhideWhenUsed/>
    <w:rsid w:val="0088412E"/>
    <w:pPr>
      <w:tabs>
        <w:tab w:val="center" w:pos="4680"/>
        <w:tab w:val="right" w:pos="9360"/>
      </w:tabs>
    </w:pPr>
  </w:style>
  <w:style w:type="character" w:customStyle="1" w:styleId="HeaderChar">
    <w:name w:val="Header Char"/>
    <w:basedOn w:val="DefaultParagraphFont"/>
    <w:link w:val="Header"/>
    <w:uiPriority w:val="99"/>
    <w:rsid w:val="0088412E"/>
    <w:rPr>
      <w:rFonts w:eastAsia="Times New Roman"/>
      <w:sz w:val="24"/>
      <w:szCs w:val="24"/>
    </w:rPr>
  </w:style>
  <w:style w:type="paragraph" w:styleId="Footer">
    <w:name w:val="footer"/>
    <w:basedOn w:val="Normal"/>
    <w:link w:val="FooterChar"/>
    <w:uiPriority w:val="99"/>
    <w:unhideWhenUsed/>
    <w:rsid w:val="0088412E"/>
    <w:pPr>
      <w:tabs>
        <w:tab w:val="center" w:pos="4680"/>
        <w:tab w:val="right" w:pos="9360"/>
      </w:tabs>
    </w:pPr>
  </w:style>
  <w:style w:type="character" w:customStyle="1" w:styleId="FooterChar">
    <w:name w:val="Footer Char"/>
    <w:basedOn w:val="DefaultParagraphFont"/>
    <w:link w:val="Footer"/>
    <w:uiPriority w:val="99"/>
    <w:rsid w:val="0088412E"/>
    <w:rPr>
      <w:rFonts w:eastAsia="Times New Roman"/>
      <w:sz w:val="24"/>
      <w:szCs w:val="24"/>
    </w:rPr>
  </w:style>
  <w:style w:type="paragraph" w:customStyle="1" w:styleId="CLAaddress">
    <w:name w:val="CLA address"/>
    <w:qFormat/>
    <w:rsid w:val="0088412E"/>
    <w:rPr>
      <w:rFonts w:ascii="Arial Narrow" w:eastAsia="Times New Roman" w:hAnsi="Arial Narrow" w:cs="Arial"/>
      <w:color w:val="003767"/>
      <w:sz w:val="18"/>
      <w:szCs w:val="18"/>
    </w:rPr>
  </w:style>
  <w:style w:type="paragraph" w:customStyle="1" w:styleId="CLAProNormal">
    <w:name w:val="CLA Pro Normal"/>
    <w:link w:val="CLAProNormalChar"/>
    <w:qFormat/>
    <w:rsid w:val="001E73B8"/>
    <w:pPr>
      <w:spacing w:after="240"/>
    </w:pPr>
    <w:rPr>
      <w:rFonts w:ascii="Calibri" w:eastAsia="Times New Roman" w:hAnsi="Calibri"/>
      <w:sz w:val="22"/>
      <w:szCs w:val="52"/>
    </w:rPr>
  </w:style>
  <w:style w:type="paragraph" w:customStyle="1" w:styleId="CLAProTitle">
    <w:name w:val="CLA Pro Title"/>
    <w:next w:val="CLAProNormal"/>
    <w:qFormat/>
    <w:rsid w:val="008348FE"/>
    <w:pPr>
      <w:pBdr>
        <w:left w:val="single" w:sz="12" w:space="16" w:color="003767"/>
      </w:pBdr>
      <w:spacing w:after="60"/>
      <w:ind w:left="4140"/>
    </w:pPr>
    <w:rPr>
      <w:rFonts w:ascii="Calibri" w:eastAsia="Times New Roman" w:hAnsi="Calibri"/>
      <w:b/>
      <w:color w:val="003767"/>
      <w:sz w:val="52"/>
      <w:szCs w:val="52"/>
    </w:rPr>
  </w:style>
  <w:style w:type="paragraph" w:customStyle="1" w:styleId="CLAProSubtitle">
    <w:name w:val="CLA Pro Subtitle"/>
    <w:next w:val="CLAProTitle"/>
    <w:qFormat/>
    <w:rsid w:val="00473C08"/>
    <w:pPr>
      <w:pBdr>
        <w:left w:val="single" w:sz="12" w:space="16" w:color="003767"/>
      </w:pBdr>
      <w:spacing w:after="120"/>
      <w:ind w:left="4140"/>
    </w:pPr>
    <w:rPr>
      <w:rFonts w:ascii="Calibri" w:eastAsia="Times New Roman" w:hAnsi="Calibri"/>
      <w:b/>
      <w:color w:val="000000" w:themeColor="text1"/>
      <w:sz w:val="28"/>
      <w:szCs w:val="28"/>
    </w:rPr>
  </w:style>
  <w:style w:type="paragraph" w:customStyle="1" w:styleId="CLAProNormalNoSpaceAfter">
    <w:name w:val="CLA Pro Normal No Space After"/>
    <w:next w:val="CLAProNormal"/>
    <w:qFormat/>
    <w:rsid w:val="00962B68"/>
    <w:rPr>
      <w:rFonts w:ascii="Calibri" w:eastAsia="Times New Roman" w:hAnsi="Calibri"/>
      <w:sz w:val="22"/>
      <w:szCs w:val="52"/>
    </w:rPr>
  </w:style>
  <w:style w:type="paragraph" w:customStyle="1" w:styleId="CLAProSectionTitle">
    <w:name w:val="CLA Pro Section Title"/>
    <w:next w:val="CLAProNormal"/>
    <w:qFormat/>
    <w:rsid w:val="001E220F"/>
    <w:pPr>
      <w:keepNext/>
      <w:pageBreakBefore/>
      <w:spacing w:after="240"/>
      <w:outlineLvl w:val="0"/>
    </w:pPr>
    <w:rPr>
      <w:rFonts w:ascii="Calibri" w:eastAsia="Times New Roman" w:hAnsi="Calibri"/>
      <w:b/>
      <w:caps/>
      <w:color w:val="660003"/>
      <w:sz w:val="36"/>
      <w:szCs w:val="36"/>
    </w:rPr>
  </w:style>
  <w:style w:type="character" w:styleId="Hyperlink">
    <w:name w:val="Hyperlink"/>
    <w:basedOn w:val="DefaultParagraphFont"/>
    <w:uiPriority w:val="99"/>
    <w:unhideWhenUsed/>
    <w:rsid w:val="00343A94"/>
    <w:rPr>
      <w:color w:val="B55341" w:themeColor="hyperlink"/>
      <w:u w:val="single"/>
    </w:rPr>
  </w:style>
  <w:style w:type="paragraph" w:styleId="TOC1">
    <w:name w:val="toc 1"/>
    <w:basedOn w:val="Normal"/>
    <w:next w:val="Normal"/>
    <w:autoRedefine/>
    <w:uiPriority w:val="39"/>
    <w:unhideWhenUsed/>
    <w:rsid w:val="001E220F"/>
    <w:pPr>
      <w:tabs>
        <w:tab w:val="right" w:leader="underscore" w:pos="10070"/>
      </w:tabs>
      <w:spacing w:after="100"/>
    </w:pPr>
    <w:rPr>
      <w:rFonts w:ascii="Calibri" w:hAnsi="Calibri"/>
      <w:b/>
      <w:color w:val="A04D1D"/>
    </w:rPr>
  </w:style>
  <w:style w:type="paragraph" w:styleId="TOC2">
    <w:name w:val="toc 2"/>
    <w:basedOn w:val="Normal"/>
    <w:next w:val="Normal"/>
    <w:autoRedefine/>
    <w:uiPriority w:val="39"/>
    <w:unhideWhenUsed/>
    <w:rsid w:val="003A1095"/>
    <w:pPr>
      <w:tabs>
        <w:tab w:val="right" w:leader="underscore" w:pos="10070"/>
      </w:tabs>
      <w:spacing w:after="100"/>
      <w:ind w:left="240"/>
    </w:pPr>
    <w:rPr>
      <w:rFonts w:ascii="Calibri" w:hAnsi="Calibri"/>
    </w:rPr>
  </w:style>
  <w:style w:type="paragraph" w:styleId="TOC3">
    <w:name w:val="toc 3"/>
    <w:basedOn w:val="Normal"/>
    <w:next w:val="Normal"/>
    <w:autoRedefine/>
    <w:uiPriority w:val="39"/>
    <w:unhideWhenUsed/>
    <w:rsid w:val="00343A94"/>
    <w:pPr>
      <w:spacing w:after="100"/>
      <w:ind w:left="480"/>
    </w:pPr>
    <w:rPr>
      <w:rFonts w:ascii="Calibri" w:hAnsi="Calibri"/>
    </w:rPr>
  </w:style>
  <w:style w:type="paragraph" w:styleId="TOC4">
    <w:name w:val="toc 4"/>
    <w:basedOn w:val="Normal"/>
    <w:next w:val="Normal"/>
    <w:autoRedefine/>
    <w:uiPriority w:val="39"/>
    <w:semiHidden/>
    <w:unhideWhenUsed/>
    <w:rsid w:val="00343A94"/>
    <w:pPr>
      <w:spacing w:after="100"/>
      <w:ind w:left="720"/>
    </w:pPr>
    <w:rPr>
      <w:rFonts w:ascii="Calibri" w:hAnsi="Calibri"/>
    </w:rPr>
  </w:style>
  <w:style w:type="paragraph" w:styleId="TOC5">
    <w:name w:val="toc 5"/>
    <w:basedOn w:val="Normal"/>
    <w:next w:val="Normal"/>
    <w:autoRedefine/>
    <w:uiPriority w:val="39"/>
    <w:semiHidden/>
    <w:unhideWhenUsed/>
    <w:rsid w:val="00343A94"/>
    <w:pPr>
      <w:spacing w:after="100"/>
      <w:ind w:left="960"/>
    </w:pPr>
    <w:rPr>
      <w:rFonts w:ascii="Calibri" w:hAnsi="Calibri"/>
    </w:rPr>
  </w:style>
  <w:style w:type="paragraph" w:customStyle="1" w:styleId="CLAProTOC">
    <w:name w:val="CLA Pro TOC"/>
    <w:next w:val="CLAProNormal"/>
    <w:qFormat/>
    <w:rsid w:val="00CF2370"/>
    <w:pPr>
      <w:pBdr>
        <w:top w:val="single" w:sz="18" w:space="3" w:color="003767"/>
      </w:pBdr>
      <w:spacing w:after="240"/>
    </w:pPr>
    <w:rPr>
      <w:rFonts w:ascii="Calibri" w:eastAsia="Times New Roman" w:hAnsi="Calibri"/>
      <w:b/>
      <w:caps/>
      <w:color w:val="003767"/>
      <w:sz w:val="36"/>
      <w:szCs w:val="36"/>
    </w:rPr>
  </w:style>
  <w:style w:type="paragraph" w:customStyle="1" w:styleId="CLAProHeading1">
    <w:name w:val="CLA Pro Heading 1"/>
    <w:next w:val="CLAProNormal"/>
    <w:autoRedefine/>
    <w:qFormat/>
    <w:rsid w:val="001E220F"/>
    <w:pPr>
      <w:keepNext/>
      <w:spacing w:after="60"/>
      <w:outlineLvl w:val="1"/>
    </w:pPr>
    <w:rPr>
      <w:rFonts w:ascii="Calibri" w:eastAsia="Times New Roman" w:hAnsi="Calibri"/>
      <w:b/>
      <w:color w:val="A04D1D"/>
      <w:sz w:val="28"/>
      <w:szCs w:val="22"/>
    </w:rPr>
  </w:style>
  <w:style w:type="paragraph" w:customStyle="1" w:styleId="ProposalBodyStyle-2column">
    <w:name w:val="Proposal Body Style - 2 column"/>
    <w:basedOn w:val="Normal"/>
    <w:link w:val="ProposalBodyStyle-2columnChar"/>
    <w:rsid w:val="00CF2370"/>
    <w:pPr>
      <w:tabs>
        <w:tab w:val="left" w:pos="5400"/>
      </w:tabs>
      <w:spacing w:line="300" w:lineRule="exact"/>
    </w:pPr>
    <w:rPr>
      <w:rFonts w:asciiTheme="minorHAnsi" w:hAnsiTheme="minorHAnsi"/>
      <w:sz w:val="22"/>
    </w:rPr>
  </w:style>
  <w:style w:type="character" w:customStyle="1" w:styleId="ProposalBodyStyle-2columnChar">
    <w:name w:val="Proposal Body Style - 2 column Char"/>
    <w:basedOn w:val="DefaultParagraphFont"/>
    <w:link w:val="ProposalBodyStyle-2column"/>
    <w:rsid w:val="00CF2370"/>
    <w:rPr>
      <w:rFonts w:asciiTheme="minorHAnsi" w:eastAsia="Times New Roman" w:hAnsiTheme="minorHAnsi"/>
      <w:sz w:val="22"/>
      <w:szCs w:val="24"/>
    </w:rPr>
  </w:style>
  <w:style w:type="table" w:styleId="TableGrid">
    <w:name w:val="Table Grid"/>
    <w:basedOn w:val="TableNormal"/>
    <w:rsid w:val="00CF237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ProHeading2">
    <w:name w:val="CLA Pro Heading 2"/>
    <w:next w:val="CLAProNormal"/>
    <w:qFormat/>
    <w:rsid w:val="004F4D80"/>
    <w:pPr>
      <w:keepNext/>
      <w:spacing w:after="60"/>
    </w:pPr>
    <w:rPr>
      <w:rFonts w:ascii="Calibri" w:eastAsia="Times New Roman" w:hAnsi="Calibri"/>
      <w:b/>
      <w:i/>
      <w:color w:val="003767"/>
      <w:sz w:val="22"/>
      <w:szCs w:val="22"/>
    </w:rPr>
  </w:style>
  <w:style w:type="paragraph" w:customStyle="1" w:styleId="CLAProHeading3">
    <w:name w:val="CLA Pro Heading 3"/>
    <w:next w:val="CLAProNormal"/>
    <w:qFormat/>
    <w:rsid w:val="00730F7E"/>
    <w:pPr>
      <w:keepNext/>
      <w:ind w:left="720"/>
    </w:pPr>
    <w:rPr>
      <w:rFonts w:ascii="Calibri" w:eastAsia="Times New Roman" w:hAnsi="Calibri"/>
      <w:b/>
      <w:color w:val="003767"/>
      <w:sz w:val="22"/>
      <w:szCs w:val="24"/>
    </w:rPr>
  </w:style>
  <w:style w:type="paragraph" w:customStyle="1" w:styleId="CLAProNormalIndent">
    <w:name w:val="CLA Pro Normal Indent"/>
    <w:qFormat/>
    <w:rsid w:val="00BC5654"/>
    <w:pPr>
      <w:spacing w:after="240"/>
      <w:ind w:left="720"/>
    </w:pPr>
    <w:rPr>
      <w:rFonts w:ascii="Calibri" w:eastAsia="Times New Roman" w:hAnsi="Calibri"/>
      <w:sz w:val="22"/>
      <w:szCs w:val="52"/>
    </w:rPr>
  </w:style>
  <w:style w:type="paragraph" w:customStyle="1" w:styleId="CLAProHeading4">
    <w:name w:val="CLA Pro Heading 4"/>
    <w:next w:val="CLALTRNormalIndent"/>
    <w:qFormat/>
    <w:rsid w:val="00730F7E"/>
    <w:pPr>
      <w:keepNext/>
      <w:spacing w:after="60"/>
      <w:ind w:left="720"/>
    </w:pPr>
    <w:rPr>
      <w:rFonts w:ascii="Calibri" w:eastAsia="Times New Roman" w:hAnsi="Calibri"/>
      <w:b/>
      <w:i/>
      <w:color w:val="003767"/>
      <w:sz w:val="22"/>
      <w:szCs w:val="22"/>
    </w:rPr>
  </w:style>
  <w:style w:type="table" w:customStyle="1" w:styleId="CLAProTable">
    <w:name w:val="CLA Pro Table"/>
    <w:basedOn w:val="TableNormal"/>
    <w:uiPriority w:val="99"/>
    <w:qFormat/>
    <w:rsid w:val="00E76C4C"/>
    <w:rPr>
      <w:rFonts w:ascii="Calibri" w:hAnsi="Calibri"/>
    </w:rPr>
    <w:tblPr>
      <w:tblStyleRowBandSize w:val="1"/>
      <w:tblBorders>
        <w:insideH w:val="single" w:sz="2" w:space="0" w:color="FFFFFF" w:themeColor="background1"/>
        <w:insideV w:val="single" w:sz="2" w:space="0" w:color="FFFFFF" w:themeColor="background1"/>
      </w:tblBorders>
      <w:tblCellMar>
        <w:top w:w="72" w:type="dxa"/>
        <w:left w:w="173" w:type="dxa"/>
        <w:bottom w:w="72" w:type="dxa"/>
        <w:right w:w="173" w:type="dxa"/>
      </w:tblCellMar>
    </w:tblPr>
    <w:tblStylePr w:type="firstRow">
      <w:pPr>
        <w:jc w:val="left"/>
      </w:pPr>
      <w:rPr>
        <w:rFonts w:ascii="Calibri" w:hAnsi="Calibri"/>
        <w:b/>
        <w:color w:val="FFFFFF" w:themeColor="background1"/>
      </w:rPr>
      <w:tblPr/>
      <w:tcPr>
        <w:shd w:val="clear" w:color="auto" w:fill="4F3353"/>
      </w:tcPr>
    </w:tblStylePr>
    <w:tblStylePr w:type="band1Horz">
      <w:rPr>
        <w:rFonts w:ascii="Calibri" w:hAnsi="Calibri"/>
        <w:sz w:val="20"/>
      </w:rPr>
      <w:tblPr/>
      <w:tcPr>
        <w:shd w:val="clear" w:color="auto" w:fill="F1E3C5"/>
      </w:tcPr>
    </w:tblStylePr>
    <w:tblStylePr w:type="band2Horz">
      <w:pPr>
        <w:jc w:val="left"/>
      </w:pPr>
      <w:rPr>
        <w:rFonts w:ascii="Calibri" w:hAnsi="Calibri"/>
        <w:sz w:val="20"/>
      </w:rPr>
      <w:tblPr/>
      <w:tcPr>
        <w:shd w:val="clear" w:color="auto" w:fill="F9F4E8"/>
      </w:tcPr>
    </w:tblStylePr>
  </w:style>
  <w:style w:type="table" w:customStyle="1" w:styleId="LightShading-Accent11">
    <w:name w:val="Light Shading - Accent 11"/>
    <w:basedOn w:val="TableNormal"/>
    <w:uiPriority w:val="60"/>
    <w:rsid w:val="0081738A"/>
    <w:rPr>
      <w:color w:val="003F6F" w:themeColor="accent1" w:themeShade="BF"/>
    </w:rPr>
    <w:tblPr>
      <w:tblStyleRowBandSize w:val="1"/>
      <w:tblStyleColBandSize w:val="1"/>
      <w:tblBorders>
        <w:top w:val="single" w:sz="8" w:space="0" w:color="005595" w:themeColor="accent1"/>
        <w:bottom w:val="single" w:sz="8" w:space="0" w:color="005595" w:themeColor="accent1"/>
      </w:tblBorders>
    </w:tblPr>
    <w:tblStylePr w:type="fir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la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5D8FF" w:themeFill="accent1" w:themeFillTint="3F"/>
      </w:tcPr>
    </w:tblStylePr>
    <w:tblStylePr w:type="band1Horz">
      <w:tblPr/>
      <w:tcPr>
        <w:tcBorders>
          <w:left w:val="nil"/>
          <w:right w:val="nil"/>
          <w:insideH w:val="nil"/>
          <w:insideV w:val="nil"/>
        </w:tcBorders>
        <w:shd w:val="clear" w:color="auto" w:fill="A5D8FF" w:themeFill="accent1" w:themeFillTint="3F"/>
      </w:tcPr>
    </w:tblStylePr>
  </w:style>
  <w:style w:type="paragraph" w:customStyle="1" w:styleId="CLAProQuote">
    <w:name w:val="CLA Pro Quote"/>
    <w:qFormat/>
    <w:rsid w:val="00C65E22"/>
    <w:rPr>
      <w:rFonts w:ascii="Calibri" w:eastAsia="Times New Roman" w:hAnsi="Calibri"/>
      <w:color w:val="FFFFFF" w:themeColor="background1"/>
      <w:sz w:val="32"/>
      <w:szCs w:val="24"/>
    </w:rPr>
  </w:style>
  <w:style w:type="paragraph" w:customStyle="1" w:styleId="ProposalHeading">
    <w:name w:val="Proposal Heading"/>
    <w:basedOn w:val="Normal"/>
    <w:link w:val="ProposalHeadingChar"/>
    <w:rsid w:val="005B4B9B"/>
    <w:pPr>
      <w:tabs>
        <w:tab w:val="left" w:pos="5400"/>
      </w:tabs>
      <w:spacing w:line="290" w:lineRule="exact"/>
    </w:pPr>
    <w:rPr>
      <w:rFonts w:ascii="Calibri" w:hAnsi="Calibri"/>
      <w:b/>
      <w:color w:val="003567"/>
    </w:rPr>
  </w:style>
  <w:style w:type="character" w:customStyle="1" w:styleId="ProposalHeadingChar">
    <w:name w:val="Proposal Heading Char"/>
    <w:basedOn w:val="DefaultParagraphFont"/>
    <w:link w:val="ProposalHeading"/>
    <w:rsid w:val="005B4B9B"/>
    <w:rPr>
      <w:rFonts w:ascii="Calibri" w:eastAsia="Times New Roman" w:hAnsi="Calibri"/>
      <w:b/>
      <w:color w:val="003567"/>
      <w:sz w:val="24"/>
      <w:szCs w:val="24"/>
    </w:rPr>
  </w:style>
  <w:style w:type="paragraph" w:customStyle="1" w:styleId="ProposalBodyText">
    <w:name w:val="Proposal Body Text"/>
    <w:basedOn w:val="PlainText"/>
    <w:link w:val="ProposalBodyTextChar"/>
    <w:rsid w:val="005B4B9B"/>
    <w:pPr>
      <w:spacing w:line="300" w:lineRule="exact"/>
    </w:pPr>
    <w:rPr>
      <w:rFonts w:asciiTheme="minorHAnsi" w:hAnsiTheme="minorHAnsi" w:cs="Times New Roman"/>
      <w:sz w:val="22"/>
      <w:szCs w:val="20"/>
    </w:rPr>
  </w:style>
  <w:style w:type="character" w:customStyle="1" w:styleId="ProposalBodyTextChar">
    <w:name w:val="Proposal Body Text Char"/>
    <w:basedOn w:val="DefaultParagraphFont"/>
    <w:link w:val="ProposalBodyText"/>
    <w:rsid w:val="005B4B9B"/>
    <w:rPr>
      <w:rFonts w:asciiTheme="minorHAnsi" w:eastAsia="Times New Roman" w:hAnsiTheme="minorHAnsi"/>
      <w:sz w:val="22"/>
    </w:rPr>
  </w:style>
  <w:style w:type="paragraph" w:customStyle="1" w:styleId="ProposalSubHeading">
    <w:name w:val="Proposal Sub Heading"/>
    <w:basedOn w:val="ProposalHeading"/>
    <w:qFormat/>
    <w:rsid w:val="005B4B9B"/>
    <w:rPr>
      <w:i/>
      <w:sz w:val="22"/>
    </w:rPr>
  </w:style>
  <w:style w:type="paragraph" w:styleId="PlainText">
    <w:name w:val="Plain Text"/>
    <w:basedOn w:val="Normal"/>
    <w:link w:val="PlainTextChar"/>
    <w:uiPriority w:val="99"/>
    <w:semiHidden/>
    <w:unhideWhenUsed/>
    <w:rsid w:val="005B4B9B"/>
    <w:rPr>
      <w:rFonts w:ascii="Consolas" w:hAnsi="Consolas" w:cs="Consolas"/>
      <w:sz w:val="21"/>
      <w:szCs w:val="21"/>
    </w:rPr>
  </w:style>
  <w:style w:type="character" w:customStyle="1" w:styleId="PlainTextChar">
    <w:name w:val="Plain Text Char"/>
    <w:basedOn w:val="DefaultParagraphFont"/>
    <w:link w:val="PlainText"/>
    <w:uiPriority w:val="99"/>
    <w:semiHidden/>
    <w:rsid w:val="005B4B9B"/>
    <w:rPr>
      <w:rFonts w:ascii="Consolas" w:eastAsia="Times New Roman" w:hAnsi="Consolas" w:cs="Consolas"/>
      <w:sz w:val="21"/>
      <w:szCs w:val="21"/>
    </w:rPr>
  </w:style>
  <w:style w:type="paragraph" w:customStyle="1" w:styleId="CLABioName">
    <w:name w:val="CLA Bio Name"/>
    <w:next w:val="CLAProHeading1"/>
    <w:qFormat/>
    <w:rsid w:val="005B4B9B"/>
    <w:pPr>
      <w:spacing w:after="60"/>
    </w:pPr>
    <w:rPr>
      <w:rFonts w:ascii="Calibri" w:eastAsia="Corbel" w:hAnsi="Calibri"/>
      <w:b/>
      <w:color w:val="003767"/>
      <w:sz w:val="24"/>
      <w:szCs w:val="24"/>
    </w:rPr>
  </w:style>
  <w:style w:type="paragraph" w:customStyle="1" w:styleId="CLAProFooter">
    <w:name w:val="CLA Pro Footer"/>
    <w:qFormat/>
    <w:rsid w:val="00DA3A0C"/>
    <w:pPr>
      <w:tabs>
        <w:tab w:val="right" w:pos="10080"/>
      </w:tabs>
    </w:pPr>
    <w:rPr>
      <w:rFonts w:ascii="Calibri" w:eastAsia="Times New Roman" w:hAnsi="Calibri"/>
      <w:color w:val="7F7F7F" w:themeColor="text1" w:themeTint="80"/>
      <w:sz w:val="16"/>
    </w:rPr>
  </w:style>
  <w:style w:type="paragraph" w:customStyle="1" w:styleId="ProposalBulletStyle">
    <w:name w:val="Proposal Bullet Style"/>
    <w:basedOn w:val="Normal"/>
    <w:link w:val="ProposalBulletStyleChar"/>
    <w:rsid w:val="00BF581A"/>
    <w:pPr>
      <w:numPr>
        <w:numId w:val="1"/>
      </w:numPr>
      <w:tabs>
        <w:tab w:val="left" w:pos="5400"/>
      </w:tabs>
      <w:spacing w:line="290" w:lineRule="exact"/>
    </w:pPr>
    <w:rPr>
      <w:rFonts w:asciiTheme="minorHAnsi" w:hAnsiTheme="minorHAnsi"/>
      <w:sz w:val="22"/>
    </w:rPr>
  </w:style>
  <w:style w:type="paragraph" w:styleId="CommentText">
    <w:name w:val="annotation text"/>
    <w:basedOn w:val="Normal"/>
    <w:link w:val="CommentTextChar"/>
    <w:unhideWhenUsed/>
    <w:rsid w:val="00BF581A"/>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BF581A"/>
    <w:rPr>
      <w:rFonts w:asciiTheme="minorHAnsi" w:hAnsiTheme="minorHAnsi" w:cstheme="minorBidi"/>
    </w:rPr>
  </w:style>
  <w:style w:type="character" w:customStyle="1" w:styleId="ProposalBulletStyleChar">
    <w:name w:val="Proposal Bullet Style Char"/>
    <w:basedOn w:val="DefaultParagraphFont"/>
    <w:link w:val="ProposalBulletStyle"/>
    <w:rsid w:val="00BF581A"/>
    <w:rPr>
      <w:rFonts w:asciiTheme="minorHAnsi" w:eastAsia="Times New Roman" w:hAnsiTheme="minorHAnsi"/>
      <w:sz w:val="22"/>
      <w:szCs w:val="24"/>
    </w:rPr>
  </w:style>
  <w:style w:type="paragraph" w:customStyle="1" w:styleId="ProposalBodyStyle">
    <w:name w:val="Proposal Body Style"/>
    <w:basedOn w:val="Normal"/>
    <w:rsid w:val="00BF581A"/>
    <w:pPr>
      <w:tabs>
        <w:tab w:val="left" w:pos="5400"/>
      </w:tabs>
      <w:spacing w:line="300" w:lineRule="exact"/>
    </w:pPr>
    <w:rPr>
      <w:rFonts w:ascii="Calibri" w:hAnsi="Calibri"/>
      <w:sz w:val="22"/>
    </w:rPr>
  </w:style>
  <w:style w:type="paragraph" w:customStyle="1" w:styleId="ProposalBulletStyle-Indent1">
    <w:name w:val="Proposal Bullet Style - Indent 1"/>
    <w:basedOn w:val="ProposalBulletStyle"/>
    <w:rsid w:val="00BF581A"/>
    <w:pPr>
      <w:numPr>
        <w:ilvl w:val="1"/>
        <w:numId w:val="2"/>
      </w:numPr>
    </w:pPr>
  </w:style>
  <w:style w:type="character" w:styleId="CommentReference">
    <w:name w:val="annotation reference"/>
    <w:basedOn w:val="DefaultParagraphFont"/>
    <w:uiPriority w:val="99"/>
    <w:rsid w:val="00BF581A"/>
    <w:rPr>
      <w:sz w:val="16"/>
      <w:szCs w:val="16"/>
    </w:rPr>
  </w:style>
  <w:style w:type="paragraph" w:customStyle="1" w:styleId="ProposalBioHeading">
    <w:name w:val="Proposal Bio Heading"/>
    <w:basedOn w:val="Normal"/>
    <w:link w:val="ProposalBioHeadingChar"/>
    <w:rsid w:val="00D17097"/>
    <w:pPr>
      <w:tabs>
        <w:tab w:val="left" w:pos="5400"/>
      </w:tabs>
      <w:spacing w:line="290" w:lineRule="exact"/>
    </w:pPr>
    <w:rPr>
      <w:rFonts w:ascii="Trebuchet MS" w:hAnsi="Trebuchet MS"/>
      <w:b/>
    </w:rPr>
  </w:style>
  <w:style w:type="character" w:customStyle="1" w:styleId="ProposalBioHeadingChar">
    <w:name w:val="Proposal Bio Heading Char"/>
    <w:basedOn w:val="DefaultParagraphFont"/>
    <w:link w:val="ProposalBioHeading"/>
    <w:rsid w:val="00D17097"/>
    <w:rPr>
      <w:rFonts w:ascii="Trebuchet MS" w:eastAsia="Times New Roman" w:hAnsi="Trebuchet MS"/>
      <w:b/>
      <w:sz w:val="24"/>
      <w:szCs w:val="24"/>
    </w:rPr>
  </w:style>
  <w:style w:type="paragraph" w:customStyle="1" w:styleId="CLAProposalBody">
    <w:name w:val="CLA Proposal Body"/>
    <w:basedOn w:val="Normal"/>
    <w:qFormat/>
    <w:rsid w:val="00D17097"/>
    <w:pPr>
      <w:spacing w:line="300" w:lineRule="exact"/>
    </w:pPr>
    <w:rPr>
      <w:rFonts w:ascii="Calibri" w:hAnsi="Calibri"/>
      <w:sz w:val="22"/>
    </w:rPr>
  </w:style>
  <w:style w:type="paragraph" w:customStyle="1" w:styleId="CLAProposalBulletedTextBodyLeft05">
    <w:name w:val="CLA Proposal Bulleted Text Body + Left:  0.5&quot;"/>
    <w:basedOn w:val="CLAProposalBody"/>
    <w:rsid w:val="00D17097"/>
    <w:pPr>
      <w:numPr>
        <w:numId w:val="3"/>
      </w:numPr>
    </w:pPr>
    <w:rPr>
      <w:szCs w:val="20"/>
    </w:rPr>
  </w:style>
  <w:style w:type="paragraph" w:customStyle="1" w:styleId="CLAInTextHeadernotTOC">
    <w:name w:val="CLA In Text Header (not TOC)"/>
    <w:basedOn w:val="Normal"/>
    <w:rsid w:val="00D17097"/>
    <w:pPr>
      <w:spacing w:line="300" w:lineRule="exact"/>
    </w:pPr>
    <w:rPr>
      <w:rFonts w:asciiTheme="minorHAnsi" w:hAnsiTheme="minorHAnsi"/>
      <w:b/>
      <w:bCs/>
      <w:sz w:val="22"/>
    </w:rPr>
  </w:style>
  <w:style w:type="paragraph" w:customStyle="1" w:styleId="StyleProposalBodyTextBody">
    <w:name w:val="Style Proposal Body Text + +Body"/>
    <w:basedOn w:val="ProposalBodyText"/>
    <w:uiPriority w:val="99"/>
    <w:rsid w:val="00C4620D"/>
  </w:style>
  <w:style w:type="paragraph" w:customStyle="1" w:styleId="LAPropullquote">
    <w:name w:val="LA Pro pull quote"/>
    <w:basedOn w:val="Normal"/>
    <w:next w:val="Normal"/>
    <w:rsid w:val="00C4620D"/>
    <w:pPr>
      <w:spacing w:after="240"/>
      <w:ind w:left="720" w:right="720"/>
      <w:jc w:val="center"/>
    </w:pPr>
    <w:rPr>
      <w:rFonts w:ascii="Arial" w:hAnsi="Arial"/>
      <w:b/>
      <w:color w:val="5D87A1"/>
      <w:sz w:val="26"/>
      <w:szCs w:val="26"/>
    </w:rPr>
  </w:style>
  <w:style w:type="paragraph" w:styleId="ListBullet">
    <w:name w:val="List Bullet"/>
    <w:basedOn w:val="Normal"/>
    <w:rsid w:val="00C4620D"/>
    <w:pPr>
      <w:tabs>
        <w:tab w:val="num" w:pos="360"/>
      </w:tabs>
      <w:spacing w:line="300" w:lineRule="exact"/>
      <w:ind w:left="360" w:hanging="360"/>
      <w:contextualSpacing/>
    </w:pPr>
    <w:rPr>
      <w:rFonts w:ascii="Calibri" w:hAnsi="Calibri"/>
    </w:rPr>
  </w:style>
  <w:style w:type="paragraph" w:customStyle="1" w:styleId="ProposalBioSubheading">
    <w:name w:val="Proposal Bio Subheading"/>
    <w:basedOn w:val="Normal"/>
    <w:qFormat/>
    <w:rsid w:val="00C4620D"/>
    <w:pPr>
      <w:spacing w:line="300" w:lineRule="exact"/>
    </w:pPr>
    <w:rPr>
      <w:rFonts w:asciiTheme="minorHAnsi" w:eastAsia="Corbel" w:hAnsiTheme="minorHAnsi" w:cs="Corbel"/>
      <w:b/>
      <w:color w:val="003767"/>
      <w:sz w:val="22"/>
      <w:szCs w:val="22"/>
    </w:rPr>
  </w:style>
  <w:style w:type="paragraph" w:customStyle="1" w:styleId="LAPronormal">
    <w:name w:val="LA Pro normal"/>
    <w:link w:val="LAPronormalChar"/>
    <w:rsid w:val="00626420"/>
    <w:pPr>
      <w:spacing w:after="240"/>
      <w:jc w:val="both"/>
    </w:pPr>
    <w:rPr>
      <w:rFonts w:eastAsia="Times New Roman"/>
      <w:sz w:val="22"/>
    </w:rPr>
  </w:style>
  <w:style w:type="character" w:customStyle="1" w:styleId="LAPronormalChar">
    <w:name w:val="LA Pro normal Char"/>
    <w:basedOn w:val="DefaultParagraphFont"/>
    <w:link w:val="LAPronormal"/>
    <w:locked/>
    <w:rsid w:val="00626420"/>
    <w:rPr>
      <w:rFonts w:eastAsia="Times New Roman"/>
      <w:sz w:val="22"/>
    </w:rPr>
  </w:style>
  <w:style w:type="paragraph" w:styleId="CommentSubject">
    <w:name w:val="annotation subject"/>
    <w:basedOn w:val="CommentText"/>
    <w:next w:val="CommentText"/>
    <w:link w:val="CommentSubjectChar"/>
    <w:uiPriority w:val="99"/>
    <w:semiHidden/>
    <w:unhideWhenUsed/>
    <w:rsid w:val="002A3E9A"/>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2A3E9A"/>
    <w:rPr>
      <w:rFonts w:asciiTheme="minorHAnsi" w:eastAsia="Times New Roman" w:hAnsiTheme="minorHAnsi" w:cstheme="minorBidi"/>
      <w:b/>
      <w:bCs/>
    </w:rPr>
  </w:style>
  <w:style w:type="paragraph" w:styleId="Revision">
    <w:name w:val="Revision"/>
    <w:hidden/>
    <w:uiPriority w:val="99"/>
    <w:semiHidden/>
    <w:rsid w:val="009063E8"/>
    <w:rPr>
      <w:rFonts w:eastAsia="Times New Roman"/>
      <w:sz w:val="24"/>
      <w:szCs w:val="24"/>
    </w:rPr>
  </w:style>
  <w:style w:type="paragraph" w:customStyle="1" w:styleId="CLABioHeading">
    <w:name w:val="CLA Bio Heading"/>
    <w:qFormat/>
    <w:rsid w:val="00EE23EE"/>
    <w:pPr>
      <w:keepNext/>
      <w:spacing w:after="60"/>
    </w:pPr>
    <w:rPr>
      <w:rFonts w:ascii="Calibri" w:eastAsia="Times New Roman" w:hAnsi="Calibri"/>
      <w:b/>
      <w:color w:val="003767"/>
      <w:sz w:val="24"/>
      <w:szCs w:val="24"/>
    </w:rPr>
  </w:style>
  <w:style w:type="paragraph" w:customStyle="1" w:styleId="CLAProposalBulletedNumber">
    <w:name w:val="CLA Proposal Bulleted Number"/>
    <w:basedOn w:val="Normal"/>
    <w:rsid w:val="0017490C"/>
    <w:pPr>
      <w:spacing w:line="300" w:lineRule="exact"/>
    </w:pPr>
    <w:rPr>
      <w:rFonts w:asciiTheme="minorHAnsi" w:hAnsiTheme="minorHAnsi"/>
      <w:snapToGrid w:val="0"/>
      <w:color w:val="000000"/>
      <w:sz w:val="22"/>
      <w:szCs w:val="20"/>
    </w:rPr>
  </w:style>
  <w:style w:type="character" w:styleId="FollowedHyperlink">
    <w:name w:val="FollowedHyperlink"/>
    <w:basedOn w:val="DefaultParagraphFont"/>
    <w:uiPriority w:val="99"/>
    <w:semiHidden/>
    <w:unhideWhenUsed/>
    <w:rsid w:val="00C14289"/>
    <w:rPr>
      <w:color w:val="ED6F1E" w:themeColor="followedHyperlink"/>
      <w:u w:val="single"/>
    </w:rPr>
  </w:style>
  <w:style w:type="character" w:customStyle="1" w:styleId="CLAProNormalChar">
    <w:name w:val="CLA Pro Normal Char"/>
    <w:link w:val="CLAProNormal"/>
    <w:rsid w:val="00EF0A8C"/>
    <w:rPr>
      <w:rFonts w:ascii="Calibri" w:eastAsia="Times New Roman" w:hAnsi="Calibri"/>
      <w:sz w:val="22"/>
      <w:szCs w:val="52"/>
    </w:rPr>
  </w:style>
  <w:style w:type="paragraph" w:styleId="EndnoteText">
    <w:name w:val="endnote text"/>
    <w:basedOn w:val="Normal"/>
    <w:link w:val="EndnoteTextChar"/>
    <w:uiPriority w:val="99"/>
    <w:semiHidden/>
    <w:unhideWhenUsed/>
    <w:rsid w:val="00B36DF9"/>
    <w:pPr>
      <w:ind w:left="288"/>
    </w:pPr>
    <w:rPr>
      <w:sz w:val="20"/>
      <w:szCs w:val="20"/>
    </w:rPr>
  </w:style>
  <w:style w:type="character" w:customStyle="1" w:styleId="EndnoteTextChar">
    <w:name w:val="Endnote Text Char"/>
    <w:basedOn w:val="DefaultParagraphFont"/>
    <w:link w:val="EndnoteText"/>
    <w:uiPriority w:val="99"/>
    <w:semiHidden/>
    <w:rsid w:val="00B36DF9"/>
    <w:rPr>
      <w:rFonts w:eastAsia="Times New Roman"/>
    </w:rPr>
  </w:style>
  <w:style w:type="character" w:styleId="EndnoteReference">
    <w:name w:val="endnote reference"/>
    <w:basedOn w:val="DefaultParagraphFont"/>
    <w:semiHidden/>
    <w:unhideWhenUsed/>
    <w:rsid w:val="00C46193"/>
    <w:rPr>
      <w:vertAlign w:val="superscript"/>
    </w:rPr>
  </w:style>
  <w:style w:type="character" w:customStyle="1" w:styleId="CLALTRHiddenTextChar">
    <w:name w:val="CLA LTR Hidden Text Char"/>
    <w:basedOn w:val="CLALTRNormalChar"/>
    <w:link w:val="CLALTRHiddenText"/>
    <w:rsid w:val="00C46193"/>
    <w:rPr>
      <w:rFonts w:ascii="Calibri" w:eastAsia="Times" w:hAnsi="Calibri"/>
      <w:b/>
      <w:i/>
      <w:vanish/>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5450">
      <w:bodyDiv w:val="1"/>
      <w:marLeft w:val="0"/>
      <w:marRight w:val="0"/>
      <w:marTop w:val="0"/>
      <w:marBottom w:val="0"/>
      <w:divBdr>
        <w:top w:val="none" w:sz="0" w:space="0" w:color="auto"/>
        <w:left w:val="none" w:sz="0" w:space="0" w:color="auto"/>
        <w:bottom w:val="none" w:sz="0" w:space="0" w:color="auto"/>
        <w:right w:val="none" w:sz="0" w:space="0" w:color="auto"/>
      </w:divBdr>
    </w:div>
    <w:div w:id="559562488">
      <w:bodyDiv w:val="1"/>
      <w:marLeft w:val="0"/>
      <w:marRight w:val="0"/>
      <w:marTop w:val="0"/>
      <w:marBottom w:val="0"/>
      <w:divBdr>
        <w:top w:val="none" w:sz="0" w:space="0" w:color="auto"/>
        <w:left w:val="none" w:sz="0" w:space="0" w:color="auto"/>
        <w:bottom w:val="none" w:sz="0" w:space="0" w:color="auto"/>
        <w:right w:val="none" w:sz="0" w:space="0" w:color="auto"/>
      </w:divBdr>
    </w:div>
    <w:div w:id="586112638">
      <w:bodyDiv w:val="1"/>
      <w:marLeft w:val="0"/>
      <w:marRight w:val="0"/>
      <w:marTop w:val="0"/>
      <w:marBottom w:val="0"/>
      <w:divBdr>
        <w:top w:val="none" w:sz="0" w:space="0" w:color="auto"/>
        <w:left w:val="none" w:sz="0" w:space="0" w:color="auto"/>
        <w:bottom w:val="none" w:sz="0" w:space="0" w:color="auto"/>
        <w:right w:val="none" w:sz="0" w:space="0" w:color="auto"/>
      </w:divBdr>
      <w:divsChild>
        <w:div w:id="544342103">
          <w:marLeft w:val="0"/>
          <w:marRight w:val="0"/>
          <w:marTop w:val="0"/>
          <w:marBottom w:val="0"/>
          <w:divBdr>
            <w:top w:val="none" w:sz="0" w:space="0" w:color="auto"/>
            <w:left w:val="none" w:sz="0" w:space="0" w:color="auto"/>
            <w:bottom w:val="none" w:sz="0" w:space="0" w:color="auto"/>
            <w:right w:val="none" w:sz="0" w:space="0" w:color="auto"/>
          </w:divBdr>
          <w:divsChild>
            <w:div w:id="155072637">
              <w:marLeft w:val="0"/>
              <w:marRight w:val="0"/>
              <w:marTop w:val="0"/>
              <w:marBottom w:val="0"/>
              <w:divBdr>
                <w:top w:val="none" w:sz="0" w:space="0" w:color="auto"/>
                <w:left w:val="none" w:sz="0" w:space="0" w:color="auto"/>
                <w:bottom w:val="none" w:sz="0" w:space="0" w:color="auto"/>
                <w:right w:val="none" w:sz="0" w:space="0" w:color="auto"/>
              </w:divBdr>
              <w:divsChild>
                <w:div w:id="987518792">
                  <w:marLeft w:val="0"/>
                  <w:marRight w:val="0"/>
                  <w:marTop w:val="0"/>
                  <w:marBottom w:val="0"/>
                  <w:divBdr>
                    <w:top w:val="none" w:sz="0" w:space="0" w:color="auto"/>
                    <w:left w:val="none" w:sz="0" w:space="0" w:color="auto"/>
                    <w:bottom w:val="none" w:sz="0" w:space="0" w:color="auto"/>
                    <w:right w:val="none" w:sz="0" w:space="0" w:color="auto"/>
                  </w:divBdr>
                  <w:divsChild>
                    <w:div w:id="797337462">
                      <w:marLeft w:val="0"/>
                      <w:marRight w:val="0"/>
                      <w:marTop w:val="0"/>
                      <w:marBottom w:val="0"/>
                      <w:divBdr>
                        <w:top w:val="none" w:sz="0" w:space="0" w:color="auto"/>
                        <w:left w:val="none" w:sz="0" w:space="0" w:color="auto"/>
                        <w:bottom w:val="none" w:sz="0" w:space="0" w:color="auto"/>
                        <w:right w:val="none" w:sz="0" w:space="0" w:color="auto"/>
                      </w:divBdr>
                      <w:divsChild>
                        <w:div w:id="1178155066">
                          <w:marLeft w:val="0"/>
                          <w:marRight w:val="0"/>
                          <w:marTop w:val="187"/>
                          <w:marBottom w:val="0"/>
                          <w:divBdr>
                            <w:top w:val="none" w:sz="0" w:space="0" w:color="auto"/>
                            <w:left w:val="none" w:sz="0" w:space="0" w:color="auto"/>
                            <w:bottom w:val="none" w:sz="0" w:space="0" w:color="auto"/>
                            <w:right w:val="none" w:sz="0" w:space="0" w:color="auto"/>
                          </w:divBdr>
                          <w:divsChild>
                            <w:div w:id="388311785">
                              <w:marLeft w:val="0"/>
                              <w:marRight w:val="0"/>
                              <w:marTop w:val="0"/>
                              <w:marBottom w:val="0"/>
                              <w:divBdr>
                                <w:top w:val="none" w:sz="0" w:space="0" w:color="auto"/>
                                <w:left w:val="none" w:sz="0" w:space="0" w:color="auto"/>
                                <w:bottom w:val="none" w:sz="0" w:space="0" w:color="auto"/>
                                <w:right w:val="none" w:sz="0" w:space="0" w:color="auto"/>
                              </w:divBdr>
                              <w:divsChild>
                                <w:div w:id="10855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519117">
      <w:bodyDiv w:val="1"/>
      <w:marLeft w:val="0"/>
      <w:marRight w:val="0"/>
      <w:marTop w:val="0"/>
      <w:marBottom w:val="0"/>
      <w:divBdr>
        <w:top w:val="none" w:sz="0" w:space="0" w:color="auto"/>
        <w:left w:val="none" w:sz="0" w:space="0" w:color="auto"/>
        <w:bottom w:val="none" w:sz="0" w:space="0" w:color="auto"/>
        <w:right w:val="none" w:sz="0" w:space="0" w:color="auto"/>
      </w:divBdr>
    </w:div>
    <w:div w:id="1312713525">
      <w:bodyDiv w:val="1"/>
      <w:marLeft w:val="0"/>
      <w:marRight w:val="0"/>
      <w:marTop w:val="0"/>
      <w:marBottom w:val="0"/>
      <w:divBdr>
        <w:top w:val="none" w:sz="0" w:space="0" w:color="auto"/>
        <w:left w:val="none" w:sz="0" w:space="0" w:color="auto"/>
        <w:bottom w:val="none" w:sz="0" w:space="0" w:color="auto"/>
        <w:right w:val="none" w:sz="0" w:space="0" w:color="auto"/>
      </w:divBdr>
    </w:div>
    <w:div w:id="1685785450">
      <w:bodyDiv w:val="1"/>
      <w:marLeft w:val="0"/>
      <w:marRight w:val="0"/>
      <w:marTop w:val="0"/>
      <w:marBottom w:val="0"/>
      <w:divBdr>
        <w:top w:val="none" w:sz="0" w:space="0" w:color="auto"/>
        <w:left w:val="none" w:sz="0" w:space="0" w:color="auto"/>
        <w:bottom w:val="none" w:sz="0" w:space="0" w:color="auto"/>
        <w:right w:val="none" w:sz="0" w:space="0" w:color="auto"/>
      </w:divBdr>
    </w:div>
    <w:div w:id="211801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teven@onyxCFO.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endnotes.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 Id="rId9"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LarsonAllen colors">
      <a:dk1>
        <a:sysClr val="windowText" lastClr="000000"/>
      </a:dk1>
      <a:lt1>
        <a:sysClr val="window" lastClr="FFFFFF"/>
      </a:lt1>
      <a:dk2>
        <a:srgbClr val="473F30"/>
      </a:dk2>
      <a:lt2>
        <a:srgbClr val="ECE7DE"/>
      </a:lt2>
      <a:accent1>
        <a:srgbClr val="005595"/>
      </a:accent1>
      <a:accent2>
        <a:srgbClr val="F7EDC2"/>
      </a:accent2>
      <a:accent3>
        <a:srgbClr val="9EA374"/>
      </a:accent3>
      <a:accent4>
        <a:srgbClr val="B9B098"/>
      </a:accent4>
      <a:accent5>
        <a:srgbClr val="F2E18B"/>
      </a:accent5>
      <a:accent6>
        <a:srgbClr val="D89D8B"/>
      </a:accent6>
      <a:hlink>
        <a:srgbClr val="B55341"/>
      </a:hlink>
      <a:folHlink>
        <a:srgbClr val="ED6F1E"/>
      </a:folHlink>
    </a:clrScheme>
    <a:fontScheme name="LarsonAllen fonts">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6ABE42-59B8-47F6-8E15-E1F8CB46D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3968</Words>
  <Characters>21155</Characters>
  <Application>Microsoft Office Word</Application>
  <DocSecurity>0</DocSecurity>
  <Lines>346</Lines>
  <Paragraphs>176</Paragraphs>
  <ScaleCrop>false</ScaleCrop>
  <HeadingPairs>
    <vt:vector size="2" baseType="variant">
      <vt:variant>
        <vt:lpstr>Title</vt:lpstr>
      </vt:variant>
      <vt:variant>
        <vt:i4>1</vt:i4>
      </vt:variant>
    </vt:vector>
  </HeadingPairs>
  <TitlesOfParts>
    <vt:vector size="1" baseType="lpstr">
      <vt:lpstr/>
    </vt:vector>
  </TitlesOfParts>
  <Company>LarsonAllen</Company>
  <LinksUpToDate>false</LinksUpToDate>
  <CharactersWithSpaces>24947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dramsdel</dc:creator>
  <cp:lastModifiedBy>Josephine Mack</cp:lastModifiedBy>
  <cp:revision>7</cp:revision>
  <cp:lastPrinted>2015-12-07T15:03:00Z</cp:lastPrinted>
  <dcterms:created xsi:type="dcterms:W3CDTF">2025-07-08T23:32:00Z</dcterms:created>
  <dcterms:modified xsi:type="dcterms:W3CDTF">2026-03-18T18:19:00Z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i4>40</vt:i4>
  </property>
  <property fmtid="{D5CDD505-2E9C-101B-9397-08002B2CF9AE}" pid="3" name="tabName">
    <vt:lpwstr>BizOps - Preparation Assistance - Not Independent.</vt:lpwstr>
  </property>
  <property fmtid="{D5CDD505-2E9C-101B-9397-08002B2CF9AE}" pid="4" name="tabIndex">
    <vt:lpwstr/>
  </property>
  <property fmtid="{D5CDD505-2E9C-101B-9397-08002B2CF9AE}" pid="5" name="workpaperIndex">
    <vt:lpwstr>0330.00</vt:lpwstr>
  </property>
</Properties>
</file>

<file path=userCustomization/customUI.xml><?xml version="1.0" encoding="utf-8"?>
<mso:customUI xmlns:doc="http://schemas.microsoft.com/office/2006/01/customui/currentDocument" xmlns:mso="http://schemas.microsoft.com/office/2006/01/customui">
  <mso:ribbon>
    <mso:qat>
      <mso:documentControls>
        <mso:separator idQ="doc:sep1" visible="true"/>
        <mso:control idQ="mso:ParagraphMarks" visible="true"/>
        <mso:control idQ="mso:Lock" visible="true"/>
        <mso:control idQ="mso:PrintOptionsMenuWord" visible="true"/>
        <mso:control idQ="mso:FieldShading" visible="true"/>
        <mso:control idQ="mso:TextHighlightColorPicker" visible="true"/>
      </mso:documentControls>
    </mso:qat>
  </mso:ribbon>
</mso:customUI>
</file>