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 xml:space="preserve">Day-to-day bookkeeping   ·   Controller-level oversight   ·   Cash-flow management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typically a brief addendum to this letter rather than a new engagement letter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Pr>
          <w:highlight w:val="yellow"/>
        </w:rPr>
        <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and hours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fee estimate assumes timely cooperation and assistance from the Client’s personnel in preparing requested schedules. Unless we state otherwise in writing, the estimate is not a maximum, minimum, fixed, or guaranteed amount, and the actual cost of our services may be more or less than the estimate. Its accuracy may vary due to facts or circumstances beyond our control — for example, if requested items are not available when needed or are inaccurate.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are not binding unless made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51951EDB" w14:textId="7FA774A6" w:rsidR="000E00CC" w:rsidRDefault="000E00CC" w:rsidP="004232B8">
      <w:pPr>
        <w:pStyle w:val="CLALTRNormal"/>
        <w:jc w:val="both"/>
      </w:pPr>
      <w:r>
        <w:rPr>
          <w:b/>
        </w:rPr>
        <w:t>Record retention.</w:t>
      </w:r>
      <w:r>
        <w:rPr>
          <w:b w:val="0"/>
        </w:rPr>
        <w:t xml:space="preserve"> 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