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06/relationships/ui/userCustomization" Target="userCustomization/customUI.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1552B1" w14:textId="77777777" w:rsidR="000C011F" w:rsidRDefault="00B92DB9" w:rsidP="000C011F">
      <w:pPr>
        <w:pStyle w:val="CLAProNormal"/>
      </w:pPr>
      <w:r>
        <w:rPr>
          <w:noProof/>
        </w:rPr>
        <w:drawing>
          <wp:anchor distT="0" distB="0" distL="114300" distR="114300" simplePos="0" relativeHeight="251730944" behindDoc="0" locked="0" layoutInCell="1" allowOverlap="1" wp14:anchorId="08E38C4D" wp14:editId="2A31B630">
            <wp:simplePos x="0" y="0"/>
            <wp:positionH relativeFrom="column">
              <wp:posOffset>-922020</wp:posOffset>
            </wp:positionH>
            <wp:positionV relativeFrom="paragraph">
              <wp:posOffset>-3528060</wp:posOffset>
            </wp:positionV>
            <wp:extent cx="7778115" cy="2994660"/>
            <wp:effectExtent l="0" t="0" r="0" b="254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POSAL-COVER-Group-Reviewing-Document.jpg"/>
                    <pic:cNvPicPr/>
                  </pic:nvPicPr>
                  <pic:blipFill>
                    <a:blip r:embed="rId8">
                      <a:extLst>
                        <a:ext uri="{28A0092B-C50C-407E-A947-70E740481C1C}">
                          <a14:useLocalDpi xmlns:a14="http://schemas.microsoft.com/office/drawing/2010/main" val="0"/>
                        </a:ext>
                      </a:extLst>
                    </a:blip>
                    <a:stretch>
                      <a:fillRect/>
                    </a:stretch>
                  </pic:blipFill>
                  <pic:spPr>
                    <a:xfrm>
                      <a:off x="0" y="0"/>
                      <a:ext cx="7778115" cy="2994660"/>
                    </a:xfrm>
                    <a:prstGeom prst="rect">
                      <a:avLst/>
                    </a:prstGeom>
                  </pic:spPr>
                </pic:pic>
              </a:graphicData>
            </a:graphic>
            <wp14:sizeRelH relativeFrom="margin">
              <wp14:pctWidth>0</wp14:pctWidth>
            </wp14:sizeRelH>
            <wp14:sizeRelV relativeFrom="margin">
              <wp14:pctHeight>0</wp14:pctHeight>
            </wp14:sizeRelV>
          </wp:anchor>
        </w:drawing>
      </w:r>
      <w:r w:rsidR="000C011F">
        <w:rPr>
          <w:noProof/>
        </w:rPr>
        <mc:AlternateContent>
          <mc:Choice Requires="wps">
            <w:drawing>
              <wp:anchor distT="0" distB="0" distL="114300" distR="114300" simplePos="0" relativeHeight="251660800" behindDoc="0" locked="0" layoutInCell="1" allowOverlap="1" wp14:anchorId="2AD18564" wp14:editId="2654A389">
                <wp:simplePos x="0" y="0"/>
                <wp:positionH relativeFrom="column">
                  <wp:posOffset>-914400</wp:posOffset>
                </wp:positionH>
                <wp:positionV relativeFrom="paragraph">
                  <wp:posOffset>-530860</wp:posOffset>
                </wp:positionV>
                <wp:extent cx="7778115" cy="133350"/>
                <wp:effectExtent l="0" t="0" r="0" b="0"/>
                <wp:wrapNone/>
                <wp:docPr id="27" name="Rectangle 27"/>
                <wp:cNvGraphicFramePr/>
                <a:graphic xmlns:a="http://schemas.openxmlformats.org/drawingml/2006/main">
                  <a:graphicData uri="http://schemas.microsoft.com/office/word/2010/wordprocessingShape">
                    <wps:wsp>
                      <wps:cNvSpPr/>
                      <wps:spPr>
                        <a:xfrm>
                          <a:off x="0" y="0"/>
                          <a:ext cx="7778115" cy="13335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F8ECC87" id="Rectangle 27" o:spid="_x0000_s1026" style="position:absolute;margin-left:-1in;margin-top:-41.8pt;width:612.45pt;height:10.5pt;z-index:2516608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" fillcolor="black [3213]" stroked="f" strokeweight="2pt"/>
            </w:pict>
          </mc:Fallback>
        </mc:AlternateContent>
      </w:r>
    </w:p>
    <w:p w14:paraId="5F121502" w14:textId="77777777" w:rsidR="000C011F" w:rsidRPr="009F7B4F" w:rsidRDefault="00B36DF9" w:rsidP="000C011F">
      <w:pPr>
        <w:pStyle w:val="CLAProNormal"/>
        <w:pBdr>
          <w:left w:val="single" w:sz="12" w:space="16" w:color="003767"/>
        </w:pBdr>
        <w:ind w:left="4140"/>
        <w:rPr>
          <w:rFonts w:ascii="Corbel" w:hAnsi="Corbel"/>
          <w:b/>
          <w:sz w:val="28"/>
        </w:rPr>
      </w:pPr>
      <w:r>
        <w:rPr>
          <w:noProof/>
        </w:rPr>
        <w:t>September 15, 2026</w:t>
      </w:r>
    </w:p>
    <w:p w14:paraId="53BCDD38" w14:textId="77777777" w:rsidR="000C011F" w:rsidRPr="00473C08" w:rsidRDefault="005A153F" w:rsidP="000C011F">
      <w:pPr>
        <w:pStyle w:val="CLAProSubtitle"/>
        <w:rPr>
          <w:szCs w:val="32"/>
        </w:rPr>
      </w:pPr>
      <w:r>
        <w:t xml:space="preserve">Engagement Proposal &amp; Agreement</w:t>
      </w:r>
      <w:r>
        <w:br/>
        <w:t xml:space="preserve">Prepared exclusively for</w:t>
      </w:r>
    </w:p>
    <w:p w14:paraId="0F7F91FA" w14:textId="77777777" w:rsidR="000C011F" w:rsidRPr="001E220F" w:rsidRDefault="00B36DF9" w:rsidP="000C011F">
      <w:pPr>
        <w:pStyle w:val="CLAProTitle"/>
        <w:rPr>
          <w:color w:val="660003"/>
        </w:rPr>
      </w:pPr>
      <w:bookmarkStart w:id="0" w:name="Text1"/>
      <w:r w:rsidRPr="00C53667">
        <w:rPr>
          <w:color w:val="auto"/>
        </w:rPr>
      </w:r>
      <w:r w:rsidRPr="00C53667">
        <w:rPr>
          <w:noProof/>
          <w:color w:val="auto"/>
        </w:rPr>
        <w:t>The Joseph Thomas Lucero Living Trust dtd 01/18/2024</w:t>
      </w:r>
      <w:bookmarkEnd w:id="0"/>
    </w:p>
    <w:p w14:paraId="2C0FD520" w14:textId="77777777" w:rsidR="000C011F" w:rsidRPr="00B36DF9" w:rsidRDefault="000C011F" w:rsidP="000C011F">
      <w:pPr>
        <w:pStyle w:val="CLAProNormalNoSpaceAfter"/>
        <w:ind w:left="4140" w:hanging="4590"/>
      </w:pPr>
      <w:r>
        <w:rPr>
          <w:i/>
        </w:rPr>
        <w:t>Your rental property, set up right in QuickBooks from day one — so you can confidently run the books yourself.</w:t>
      </w:r>
    </w:p>
    <w:p>
      <w:pPr>
        <w:pStyle w:val="CLAProNormalNoSpaceAfter"/>
        <w:ind w:left="4140" w:hanging="4590"/>
      </w:pPr>
      <w:r>
        <w:rPr/>
        <w:t>·   QuickBooks Online setup</w:t>
      </w:r>
    </w:p>
    <w:p>
      <w:pPr>
        <w:pStyle w:val="CLAProNormalNoSpaceAfter"/>
        <w:ind w:left="4140" w:hanging="4590"/>
      </w:pPr>
      <w:r>
        <w:rPr/>
        <w:t>·   Rental property bookkeeping</w:t>
      </w:r>
    </w:p>
    <w:p>
      <w:pPr>
        <w:pStyle w:val="CLAProNormalNoSpaceAfter"/>
        <w:ind w:left="4140" w:hanging="4590"/>
      </w:pPr>
      <w:r>
        <w:rPr/>
        <w:t>·   Clean year-end P&amp;L for your tax preparer</w:t>
      </w:r>
    </w:p>
    <w:p>
      <w:pPr>
        <w:pStyle w:val="CLAProNormalNoSpaceAfter"/>
        <w:ind w:left="4140" w:hanging="4590"/>
      </w:pPr>
      <w:r>
        <w:rPr/>
        <w:t>·   Procedures &amp; self-service handoff</w:t>
      </w:r>
    </w:p>
    <w:p w14:paraId="3FF1B4B8" w14:textId="77777777" w:rsidR="000C011F" w:rsidRPr="00B36DF9" w:rsidRDefault="000C011F" w:rsidP="000C011F">
      <w:pPr>
        <w:pStyle w:val="CLAProNormalNoSpaceAfter"/>
        <w:ind w:left="4140"/>
      </w:pPr>
    </w:p>
    <w:p w14:paraId="36AEBA35" w14:textId="77777777" w:rsidR="000C011F" w:rsidRPr="00962B68" w:rsidRDefault="000C011F" w:rsidP="000C011F">
      <w:pPr>
        <w:pStyle w:val="CLAProNormalNoSpaceAfter"/>
        <w:ind w:left="4140"/>
        <w:rPr>
          <w:i/>
        </w:rPr>
      </w:pPr>
      <w:r w:rsidRPr="00962B68">
        <w:rPr>
          <w:i/>
        </w:rPr>
        <w:t xml:space="preserve">Prepared by: </w:t>
      </w:r>
    </w:p>
    <w:p w14:paraId="682A420B" w14:textId="77777777" w:rsidR="00B36DF9" w:rsidRPr="00962B68" w:rsidRDefault="00C53667" w:rsidP="00B36DF9">
      <w:pPr>
        <w:pStyle w:val="CLAProNormalNoSpaceAfter"/>
        <w:ind w:left="4140"/>
        <w:rPr>
          <w:b/>
        </w:rPr>
      </w:pPr>
      <w:r>
        <w:rPr>
          <w:b/>
        </w:rPr>
        <w:t>Steven Nikolov</w:t>
      </w:r>
    </w:p>
    <w:p w14:paraId="38348214" w14:textId="77777777" w:rsidR="00B36DF9" w:rsidRPr="00F900CE" w:rsidRDefault="00C53667" w:rsidP="00B36DF9">
      <w:pPr>
        <w:pStyle w:val="CLAProNormalNoSpaceAfter"/>
        <w:ind w:left="4140"/>
        <w:rPr>
          <w:b/>
        </w:rPr>
      </w:pPr>
      <w:r>
        <w:t>Steven@OnyxCFO.com</w:t>
      </w:r>
    </w:p>
    <w:p w14:paraId="516F0A30" w14:textId="77777777" w:rsidR="004E0F3F" w:rsidRDefault="00B36DF9" w:rsidP="00B36DF9">
      <w:pPr>
        <w:pStyle w:val="CLAProNormalNoSpaceAfter"/>
        <w:ind w:left="4140"/>
      </w:pPr>
      <w:r w:rsidRPr="00F900CE">
        <w:t xml:space="preserve">direct </w:t>
      </w:r>
      <w:r w:rsidR="00C53667">
        <w:t>480-442-3119</w:t>
      </w:r>
      <w:r w:rsidRPr="00F900CE">
        <w:t xml:space="preserve"> | mobile </w:t>
      </w:r>
      <w:r w:rsidR="00C53667">
        <w:t>480-772-5612</w:t>
      </w:r>
    </w:p>
    <w:p w14:paraId="2BE6B3DF" w14:textId="77777777" w:rsidR="00780EB4" w:rsidRPr="00780EB4" w:rsidRDefault="00780EB4" w:rsidP="00780EB4">
      <w:pPr>
        <w:pStyle w:val="CLAProNormal"/>
      </w:pPr>
    </w:p>
    <w:p w14:paraId="5CEF5EC3" w14:textId="77777777" w:rsidR="00B33543" w:rsidRDefault="00B33543" w:rsidP="00B36DF9">
      <w:pPr>
        <w:pStyle w:val="CLAProNormal"/>
        <w:sectPr w:rsidR="00B33543" w:rsidSect="00F05C4E">
          <w:headerReference w:type="default" r:id="rId9"/>
          <w:footerReference w:type="default" r:id="rId10"/>
          <w:headerReference w:type="first" r:id="rId11"/>
          <w:pgSz w:w="12240" w:h="15840"/>
          <w:pgMar w:top="7488" w:right="1440" w:bottom="1440" w:left="1440" w:header="720" w:footer="720" w:gutter="0"/>
          <w:cols w:space="720"/>
          <w:titlePg/>
          <w:docGrid w:linePitch="360"/>
        </w:sectPr>
      </w:pPr>
    </w:p>
    <w:p w14:paraId="6613487D" w14:textId="77777777" w:rsidR="00B33543" w:rsidRDefault="00B33543" w:rsidP="00B36DF9">
      <w:pPr>
        <w:pStyle w:val="CLAProNormal"/>
      </w:pPr>
    </w:p>
    <w:p w14:paraId="0CD0C199" w14:textId="77777777" w:rsidR="00B36DF9" w:rsidRDefault="00B36DF9" w:rsidP="00B36DF9">
      <w:pPr>
        <w:pStyle w:val="CLAProNormal"/>
      </w:pPr>
    </w:p>
    <w:p w14:paraId="3F9FCA6C" w14:textId="77777777" w:rsidR="00780EB4" w:rsidRPr="00B36DF9" w:rsidRDefault="00780EB4" w:rsidP="00B36DF9">
      <w:pPr>
        <w:pStyle w:val="CLAProNormal"/>
        <w:sectPr w:rsidR="00780EB4" w:rsidRPr="00B36DF9" w:rsidSect="00B33543">
          <w:type w:val="continuous"/>
          <w:pgSz w:w="12240" w:h="15840"/>
          <w:pgMar w:top="7488" w:right="1440" w:bottom="1440" w:left="1440" w:header="720" w:footer="720" w:gutter="0"/>
          <w:cols w:space="720"/>
          <w:titlePg/>
          <w:docGrid w:linePitch="360"/>
        </w:sectPr>
      </w:pPr>
    </w:p>
    <w:p w14:paraId="02B033DA" w14:textId="77777777" w:rsidR="007C1374" w:rsidRDefault="007C1374" w:rsidP="007C1374">
      <w:pPr>
        <w:pStyle w:val="CLALTRNormal"/>
      </w:pPr>
      <w:r>
        <w:rPr>
          <w:noProof/>
        </w:rPr>
        <w:t>September 15, 2026</w:t>
      </w:r>
    </w:p>
    <w:p w14:paraId="3490F88E" w14:textId="77777777" w:rsidR="007C1374" w:rsidRDefault="007C1374" w:rsidP="007C1374">
      <w:pPr>
        <w:pStyle w:val="CLALTRAddressorSignature"/>
      </w:pPr>
      <w:r>
        <w:rPr>
          <w:noProof/>
        </w:rPr>
        <w:t>The Joseph Thomas Lucero Living Trust dtd 01/18/2024</w:t>
      </w:r>
      <w:bookmarkEnd w:id="2"/>
    </w:p>
    <w:p w14:paraId="3490F88E" w14:textId="77777777" w:rsidR="007C1374" w:rsidRDefault="007C1374" w:rsidP="007C1374">
      <w:pPr>
        <w:pStyle w:val="CLALTRAddressorSignature"/>
      </w:pPr>
      <w:r>
        <w:t>Attn: Joseph T. Lucero, Trustee</w:t>
      </w:r>
      <w:bookmarkEnd w:id="2"/>
    </w:p>
    <w:p w14:paraId="389C2558" w14:textId="77777777" w:rsidR="007C1374" w:rsidRDefault="007C1374" w:rsidP="007C1374">
      <w:pPr>
        <w:pStyle w:val="CLALTRAddressorSignature"/>
      </w:pPr>
      <w:r>
        <w:rPr/>
        <w:t>21181 N 104th Ln</w:t>
      </w:r>
      <w:bookmarkStart w:id="3" w:name="Text11"/>
      <w:bookmarkEnd w:id="3"/>
    </w:p>
    <w:p w14:paraId="59517EED" w14:textId="77777777" w:rsidR="007C1374" w:rsidRDefault="007C1374" w:rsidP="007C1374">
      <w:pPr>
        <w:pStyle w:val="CLALTRAddressorSignature"/>
      </w:pPr>
      <w:r>
        <w:rPr/>
        <w:t>Peoria, AZ 85382</w:t>
      </w:r>
      <w:bookmarkStart w:id="4" w:name="Text12"/>
      <w:bookmarkEnd w:id="4"/>
    </w:p>
    <w:p w14:paraId="267F41C3" w14:textId="77777777" w:rsidR="007C1374" w:rsidRDefault="007C1374" w:rsidP="007C1374">
      <w:pPr>
        <w:pStyle w:val="CLALTRAddressorSignature"/>
      </w:pPr>
    </w:p>
    <w:p w14:paraId="7B0A8C62" w14:textId="77777777" w:rsidR="007C1374" w:rsidRDefault="007C1374" w:rsidP="007C1374">
      <w:pPr>
        <w:pStyle w:val="CLALTRNormal"/>
      </w:pPr>
      <w:r>
        <w:t xml:space="preserve">Dear </w:t>
      </w:r>
      <w:bookmarkStart w:id="5" w:name="Text22"/>
      <w:r>
        <w:rPr>
          <w:noProof/>
        </w:rPr>
        <w:t>Tom</w:t>
      </w:r>
      <w:bookmarkEnd w:id="5"/>
      <w:r>
        <w:t>:</w:t>
      </w:r>
    </w:p>
    <w:p w14:paraId="5EB894CB" w14:textId="4773B955" w:rsidR="007C1374" w:rsidRDefault="008E3EF9" w:rsidP="00786782">
      <w:pPr>
        <w:pStyle w:val="CLALTRNormal"/>
        <w:jc w:val="both"/>
      </w:pPr>
      <w:r>
        <w:t>We appreciate your decision to retain Onyx Accounting Group, LLC (“ONYX”</w:t>
      </w:r>
      <w:r w:rsidR="00C0450E">
        <w:t xml:space="preserve">, “we”, </w:t>
      </w:r>
      <w:r w:rsidR="002460A9">
        <w:t>and/or “us” – as the context requires</w:t>
      </w:r>
      <w:r>
        <w:t xml:space="preserve">). </w:t>
      </w:r>
      <w:r w:rsidR="00C55784">
        <w:t xml:space="preserve">This letter </w:t>
      </w:r>
      <w:r w:rsidR="001026D4">
        <w:t xml:space="preserve">states </w:t>
      </w:r>
      <w:r w:rsidR="007C1374">
        <w:t xml:space="preserve">the terms and objectives of </w:t>
      </w:r>
      <w:r w:rsidR="00C0450E">
        <w:t>ONYX’s</w:t>
      </w:r>
      <w:r w:rsidR="00476913">
        <w:t xml:space="preserve"> </w:t>
      </w:r>
      <w:r w:rsidR="007C1374">
        <w:t xml:space="preserve">engagement and the nature and limitations of the services </w:t>
      </w:r>
      <w:r w:rsidR="00476913">
        <w:t>Onyx</w:t>
      </w:r>
      <w:r w:rsidR="007C1374">
        <w:t xml:space="preserve"> will provide for </w:t>
      </w:r>
      <w:r w:rsidR="007C1374">
        <w:rPr>
          <w:noProof/>
        </w:rPr>
        <w:t>The Joseph Thomas Lucero Living Trust dtd 01/18/2024</w:t>
      </w:r>
      <w:r w:rsidR="007C1374">
        <w:t xml:space="preserve"> (“</w:t>
      </w:r>
      <w:r w:rsidR="00476913">
        <w:t>the Client</w:t>
      </w:r>
      <w:r w:rsidR="007C1374">
        <w:t>”</w:t>
      </w:r>
      <w:r w:rsidR="002460A9">
        <w:t xml:space="preserve">, “you”, and/or “your” – as </w:t>
      </w:r>
      <w:r w:rsidR="00110923">
        <w:t>the context requires</w:t>
      </w:r>
      <w:r w:rsidR="007C1374">
        <w:t xml:space="preserve">) </w:t>
      </w:r>
      <w:r w:rsidR="00E705EB">
        <w:t xml:space="preserve">starting in </w:t>
      </w:r>
      <w:r w:rsidR="00E705EB">
        <w:rPr>
          <w:noProof/>
        </w:rPr>
        <w:t>May 2026</w:t>
      </w:r>
      <w:r w:rsidR="00E705EB">
        <w:t xml:space="preserve"> </w:t>
      </w:r>
      <w:r w:rsidR="007C1374">
        <w:t>for the</w:t>
      </w:r>
      <w:r w:rsidR="00E705EB">
        <w:t xml:space="preserve"> fiscal year</w:t>
      </w:r>
      <w:r w:rsidR="007C1374">
        <w:t xml:space="preserve"> end</w:t>
      </w:r>
      <w:r w:rsidR="00786782">
        <w:t>ing</w:t>
      </w:r>
      <w:r w:rsidR="007C1374">
        <w:t xml:space="preserve"> </w:t>
      </w:r>
      <w:bookmarkStart w:id="6" w:name="Text47"/>
      <w:r w:rsidR="007C1374">
        <w:rPr>
          <w:noProof/>
        </w:rPr>
        <w:t>December 31, 2026</w:t>
      </w:r>
      <w:bookmarkEnd w:id="6"/>
      <w:r w:rsidR="00476913">
        <w:t xml:space="preserve"> (the “Initial Period”)</w:t>
      </w:r>
      <w:r w:rsidR="007C1374">
        <w:t xml:space="preserve">. The terms of our engagement </w:t>
      </w:r>
      <w:r w:rsidR="007C1374" w:rsidRPr="009A434F">
        <w:rPr>
          <w:b/>
        </w:rPr>
        <w:t xml:space="preserve">will apply to the </w:t>
      </w:r>
      <w:r w:rsidR="00762531">
        <w:rPr>
          <w:b/>
        </w:rPr>
        <w:t>I</w:t>
      </w:r>
      <w:r w:rsidR="007C1374" w:rsidRPr="009A434F">
        <w:rPr>
          <w:b/>
        </w:rPr>
        <w:t>nitial</w:t>
      </w:r>
      <w:r w:rsidR="00762531">
        <w:rPr>
          <w:b/>
        </w:rPr>
        <w:t xml:space="preserve"> Period</w:t>
      </w:r>
      <w:r w:rsidR="0056231A">
        <w:rPr>
          <w:b/>
        </w:rPr>
        <w:t>,</w:t>
      </w:r>
      <w:r w:rsidR="007C1374" w:rsidRPr="009A434F">
        <w:rPr>
          <w:b/>
        </w:rPr>
        <w:t xml:space="preserve"> and all subsequent </w:t>
      </w:r>
      <w:r w:rsidR="007C1374">
        <w:rPr>
          <w:b/>
        </w:rPr>
        <w:t>periods</w:t>
      </w:r>
      <w:r w:rsidR="007C1374" w:rsidRPr="009A434F">
        <w:rPr>
          <w:b/>
        </w:rPr>
        <w:t xml:space="preserve">, unless the </w:t>
      </w:r>
      <w:r w:rsidR="0056231A">
        <w:rPr>
          <w:b/>
        </w:rPr>
        <w:t>terms of our engagement are</w:t>
      </w:r>
      <w:r w:rsidR="007C1374" w:rsidRPr="009A434F">
        <w:rPr>
          <w:b/>
        </w:rPr>
        <w:t xml:space="preserve"> changed in a </w:t>
      </w:r>
      <w:r w:rsidR="00786782">
        <w:rPr>
          <w:b/>
        </w:rPr>
        <w:t xml:space="preserve">written </w:t>
      </w:r>
      <w:r w:rsidR="007C1374" w:rsidRPr="009A434F">
        <w:rPr>
          <w:b/>
        </w:rPr>
        <w:t xml:space="preserve">communication </w:t>
      </w:r>
      <w:r w:rsidR="00786782">
        <w:rPr>
          <w:b/>
        </w:rPr>
        <w:t>including by email, agreed to by both ONYX and the Client</w:t>
      </w:r>
      <w:r w:rsidR="007C1374" w:rsidRPr="000410BE">
        <w:t>.</w:t>
      </w:r>
    </w:p>
    <w:p>
      <w:pPr>
        <w:pStyle w:val="CLALTRHeading1"/>
        <w:pBdr>
          <w:top w:val="single" w:sz="8" w:space="10" w:color="auto"/>
          <w:bottom w:val="single" w:sz="8" w:space="10" w:color="auto"/>
        </w:pBdr>
        <w:spacing w:before="240" w:after="200"/>
        <w:jc w:val="both"/>
      </w:pPr>
      <w:r>
        <w:rPr>
          <w:caps/>
          <w:color w:val="7F7F7F"/>
          <w:sz w:val="18"/>
          <w:szCs w:val="18"/>
          <w:spacing w:val="60"/>
        </w:rPr>
        <w:t xml:space="preserve">Section 1</w:t>
      </w:r>
      <w:r>
        <w:br/>
      </w:r>
      <w:r>
        <w:rPr>
          <w:sz w:val="48"/>
          <w:szCs w:val="48"/>
        </w:rPr>
        <w:t xml:space="preserve">What we’ll do for you</w:t>
      </w:r>
    </w:p>
    <w:p w14:paraId="79A7EA5D" w14:textId="3D99C666" w:rsidR="007C1374" w:rsidRDefault="00F73F44" w:rsidP="004232B8">
      <w:pPr>
        <w:pStyle w:val="CLALTRNormal"/>
        <w:jc w:val="both"/>
      </w:pPr>
      <w:r>
        <w:rPr/>
        <w:t>ONYX will set up your rental property in QuickBooks Online and get the books clean and current from the property’s May 2026 in-service date — then hand you a documented, largely automated process you can run yourself. The work is scoped to this single furnished (30-day-plus) rental, managed by your property-management company, and can be adjusted as your needs change.</w:t>
      </w:r>
    </w:p>
    <w:p w14:paraId="39D6E8D9" w14:textId="77777777" w:rsidR="007C1374" w:rsidRDefault="007C1374" w:rsidP="004232B8">
      <w:pPr>
        <w:pStyle w:val="CLALTRHeading2"/>
        <w:jc w:val="both"/>
      </w:pPr>
      <w:proofErr w:type="gramStart"/>
      <w:r>
        <w:rPr/>
        <w:t>Scope of services:</w:t>
      </w:r>
      <w:proofErr w:type="gramEnd"/>
    </w:p>
    <w:p w14:paraId="04AF9870" w14:textId="77777777" w:rsidR="007C1374" w:rsidRDefault="007C1374" w:rsidP="004232B8">
      <w:pPr>
        <w:pStyle w:val="CLALTRNormal"/>
        <w:numPr>
          <w:ilvl w:val="0"/>
          <w:numId w:val="8"/>
        </w:numPr>
        <w:jc w:val="both"/>
      </w:pPr>
      <w:r>
        <w:rPr/>
        <w:t>Rental property setup and bookkeeping</w:t>
      </w:r>
    </w:p>
    <w:p>
      <w:pPr>
        <w:pStyle w:val="CLALTRNormal"/>
        <w:jc w:val="both"/>
      </w:pPr>
      <w:r>
        <w:rPr/>
        <w:t>For this engagement, ONYX will:</w:t>
      </w:r>
    </w:p>
    <w:p w14:paraId="5F77BEBA" w14:textId="77777777" w:rsidR="007C1374" w:rsidRPr="0004094D" w:rsidRDefault="007C1374" w:rsidP="004232B8">
      <w:pPr>
        <w:pStyle w:val="CLALTRNormal"/>
        <w:numPr>
          <w:ilvl w:val="0"/>
          <w:numId w:val="9"/>
        </w:numPr>
        <w:jc w:val="both"/>
      </w:pPr>
      <w:r>
        <w:rPr/>
        <w:t>Set up your rental property in QuickBooks Online — chart of accounts and the rental bank account — structured for a furnished, 30-day-plus rental.</w:t>
      </w:r>
    </w:p>
    <w:p w14:paraId="0FDCCEB3" w14:textId="77777777" w:rsidR="007C1374" w:rsidRDefault="007C1374" w:rsidP="004232B8">
      <w:pPr>
        <w:pStyle w:val="CLALTRNormal"/>
        <w:numPr>
          <w:ilvl w:val="0"/>
          <w:numId w:val="9"/>
        </w:numPr>
        <w:jc w:val="both"/>
      </w:pPr>
      <w:r>
        <w:rPr/>
        <w:t>Record the property as a fixed asset at its May 2026 placed-in-service value and establish the depreciation schedule for tax (recorded at least annually).</w:t>
      </w:r>
    </w:p>
    <w:p w14:paraId="24F25670" w14:textId="77777777" w:rsidR="007C1374" w:rsidRDefault="007C1374" w:rsidP="004232B8">
      <w:pPr>
        <w:pStyle w:val="CLALTRNormal"/>
        <w:numPr>
          <w:ilvl w:val="0"/>
          <w:numId w:val="9"/>
        </w:numPr>
        <w:jc w:val="both"/>
      </w:pPr>
      <w:r>
        <w:rPr/>
        <w:t>Book the monthly property-management statements by journal entry — gross rental income, the expenses the property manager pays, management fees, and the net ACH deposit.</w:t>
      </w:r>
    </w:p>
    <w:p w14:paraId="7FEABD02" w14:textId="77777777" w:rsidR="007C1374" w:rsidRDefault="007C1374" w:rsidP="004232B8">
      <w:pPr>
        <w:pStyle w:val="CLALTRNormal"/>
        <w:numPr>
          <w:ilvl w:val="0"/>
          <w:numId w:val="9"/>
        </w:numPr>
        <w:jc w:val="both"/>
      </w:pPr>
      <w:r>
        <w:rPr/>
        <w:t>Capture direct property expenses paid from the rental account (for example, utilities) and expenses you pay personally, recorded as owner contributions, so every deductible cost is credited to the property.</w:t>
      </w:r>
    </w:p>
    <w:p w14:paraId="6B61EA03" w14:textId="77777777" w:rsidR="007C1374" w:rsidRDefault="007C1374" w:rsidP="004232B8">
      <w:pPr>
        <w:pStyle w:val="CLALTRNormal"/>
        <w:numPr>
          <w:ilvl w:val="0"/>
          <w:numId w:val="9"/>
        </w:numPr>
        <w:jc w:val="both"/>
      </w:pPr>
      <w:r>
        <w:rPr/>
        <w:t>Clean up and record activity from May 2026 forward, including pre-rental setup costs and the June–August property-management statements.</w:t>
      </w:r>
    </w:p>
    <w:p w14:paraId="265B71B3" w14:textId="77777777" w:rsidR="007C1374" w:rsidRDefault="007C1374" w:rsidP="004232B8">
      <w:pPr>
        <w:pStyle w:val="CLALTRNormal"/>
        <w:numPr>
          <w:ilvl w:val="0"/>
          <w:numId w:val="9"/>
        </w:numPr>
        <w:jc w:val="both"/>
      </w:pPr>
      <w:r w:rsidRPr="00A43EB3">
        <w:rPr/>
        <w:t>Produce a single, consolidated profit-and-loss statement so you can see how the property is trending and hand clean numbers to your tax preparer at year-end.</w:t>
      </w:r>
    </w:p>
    <w:p w14:paraId="265B71B3" w14:textId="77777777" w:rsidR="007C1374" w:rsidRDefault="007C1374" w:rsidP="004232B8">
      <w:pPr>
        <w:pStyle w:val="CLALTRNormal"/>
        <w:numPr>
          <w:ilvl w:val="0"/>
          <w:numId w:val="9"/>
        </w:numPr>
        <w:jc w:val="both"/>
      </w:pPr>
      <w:r w:rsidRPr="00A43EB3">
        <w:rPr/>
        <w:t>Automate the recurring workflow where possible, document the monthly and quarterly procedures, and hand the file back to you to self-manage beginning September 2026.</w:t>
      </w:r>
    </w:p>
    <w:p w14:paraId="265B71B3" w14:textId="77777777" w:rsidR="007C1374" w:rsidRDefault="007C1374" w:rsidP="004232B8">
      <w:pPr>
        <w:pStyle w:val="CLALTRNormal"/>
        <w:numPr>
          <w:ilvl w:val="0"/>
          <w:numId w:val="9"/>
        </w:numPr>
        <w:jc w:val="both"/>
      </w:pPr>
      <w:r w:rsidRPr="00A43EB3">
        <w:rPr/>
        <w:t>Optionally, on your request, review the books quarterly or annually before they go to your tax preparer.</w:t>
      </w:r>
    </w:p>
    <w:p>
      <w:pPr>
        <w:pStyle w:val="CLALTRHeading2"/>
        <w:jc w:val="both"/>
      </w:pPr>
      <w:r>
        <w:t xml:space="preserve">Adjusting your services as your needs change</w:t>
      </w:r>
    </w:p>
    <w:p>
      <w:pPr>
        <w:pStyle w:val="CLALTRNormal"/>
        <w:jc w:val="both"/>
      </w:pPr>
      <w:r>
        <w:t>Your needs may change over time, and this engagement is built to flex with them. Services can be added, reduced, or adjusted at any time by mutual written agreement — including by email, with no formal addendum or new engagement letter required. All other terms of this agreement remain in effect, so adding or removing a service never requires starting over.</w:t>
      </w:r>
    </w:p>
    <w:p w14:paraId="3A7EA000" w14:textId="4A2C317E" w:rsidR="007C1374" w:rsidRPr="00CA59AB" w:rsidRDefault="00155433" w:rsidP="004232B8">
      <w:pPr>
        <w:pStyle w:val="CLALTRHeading1"/>
        <w:jc w:val="both"/>
        <w:rPr>
          <w:highlight w:val="yellow"/>
        </w:rPr>
      </w:pPr>
      <w:r>
        <w:t xml:space="preserve">How we’ll work together</w:t>
      </w:r>
    </w:p>
    <w:p w14:paraId="26CCF220" w14:textId="184C9533" w:rsidR="007C1374" w:rsidRDefault="00155433" w:rsidP="004232B8">
      <w:pPr>
        <w:pStyle w:val="CLALTRNormal"/>
        <w:jc w:val="both"/>
      </w:pPr>
      <w:r>
        <w:rPr/>
        <w:t>Because ONYX sets up and maintains your books from the statements and access you provide — and does not have signing authority or access to move your funds — a few responsibilities stay with you:</w:t>
      </w:r>
    </w:p>
    <w:p w14:paraId="1F716C1A" w14:textId="77777777" w:rsidR="007C1374" w:rsidRPr="00D0294B" w:rsidRDefault="007C1374" w:rsidP="004232B8">
      <w:pPr>
        <w:pStyle w:val="CLALTRNormal"/>
        <w:numPr>
          <w:ilvl w:val="0"/>
          <w:numId w:val="21"/>
        </w:numPr>
        <w:jc w:val="both"/>
        <w:rPr>
          <w:highlight w:val="yellow"/>
        </w:rPr>
      </w:pPr>
      <w:r w:rsidRPr="00D0294B">
        <w:rPr/>
        <w:t>Provide ONYX with accountant access to your QuickBooks Online company.</w:t>
      </w:r>
    </w:p>
    <w:p w14:paraId="5D4CD6F1" w14:textId="77777777" w:rsidR="007C1374" w:rsidRPr="00D0294B" w:rsidRDefault="007C1374" w:rsidP="004232B8">
      <w:pPr>
        <w:pStyle w:val="CLALTRNormal"/>
        <w:numPr>
          <w:ilvl w:val="0"/>
          <w:numId w:val="21"/>
        </w:numPr>
        <w:jc w:val="both"/>
        <w:rPr>
          <w:highlight w:val="yellow"/>
        </w:rPr>
      </w:pPr>
      <w:r w:rsidRPr="00D0294B">
        <w:rPr/>
        <w:t>Provide the monthly property-management statements, bank statements, mortgage statements, and any property-related credit-card statements, from May 2026 forward.</w:t>
      </w:r>
    </w:p>
    <w:p w14:paraId="67DECFEA" w14:textId="77777777" w:rsidR="007C1374" w:rsidRPr="00D0294B" w:rsidRDefault="007C1374" w:rsidP="004232B8">
      <w:pPr>
        <w:pStyle w:val="CLALTRNormal"/>
        <w:numPr>
          <w:ilvl w:val="0"/>
          <w:numId w:val="21"/>
        </w:numPr>
        <w:jc w:val="both"/>
        <w:rPr>
          <w:highlight w:val="yellow"/>
        </w:rPr>
      </w:pPr>
      <w:r w:rsidRPr="00D0294B">
        <w:rPr/>
        <w:t>Respond to ONYX’s categorization questions (typically by email) so uncategorized transactions can be posted correctly.</w:t>
      </w:r>
    </w:p>
    <w:p w14:paraId="69DB2137" w14:textId="77777777" w:rsidR="007C1374" w:rsidRPr="00D0294B" w:rsidRDefault="007C1374" w:rsidP="004232B8">
      <w:pPr>
        <w:pStyle w:val="CLALTRNormal"/>
        <w:numPr>
          <w:ilvl w:val="0"/>
          <w:numId w:val="21"/>
        </w:numPr>
        <w:jc w:val="both"/>
        <w:rPr>
          <w:highlight w:val="yellow"/>
        </w:rPr>
      </w:pPr>
      <w:r>
        <w:rPr/>
        <w:t>Review and approve the books and the documented procedures at handoff, and maintain them once you take the file over.</w:t>
      </w:r>
    </w:p>
    <w:p w14:paraId="169639B0" w14:textId="77777777" w:rsidR="007C1374" w:rsidRPr="00D0294B" w:rsidRDefault="007C1374" w:rsidP="004232B8">
      <w:pPr>
        <w:pStyle w:val="CLALTRNormal"/>
        <w:numPr>
          <w:ilvl w:val="0"/>
          <w:numId w:val="21"/>
        </w:numPr>
        <w:jc w:val="both"/>
        <w:rPr>
          <w:highlight w:val="yellow"/>
        </w:rPr>
      </w:pPr>
      <w:r>
        <w:rPr/>
        <w:t>Retain responsibility for your own transactions and approvals and for meeting your tax and filing obligations.</w:t>
      </w:r>
    </w:p>
    <w:p w14:paraId="5F1FD776" w14:textId="77777777" w:rsidR="007C1374" w:rsidRDefault="007C1374" w:rsidP="004232B8">
      <w:pPr>
        <w:pStyle w:val="CLALTRHeading1"/>
        <w:jc w:val="both"/>
      </w:pPr>
      <w:r>
        <w:t xml:space="preserve">Fees &amp; billing</w:t>
      </w:r>
    </w:p>
    <w:p w14:paraId="1ADC0964" w14:textId="77777777" w:rsidR="007C1374" w:rsidRPr="003B7E8F" w:rsidRDefault="007C1374" w:rsidP="004232B8">
      <w:pPr>
        <w:pStyle w:val="CLALTRHeading2"/>
        <w:jc w:val="both"/>
      </w:pPr>
      <w:r w:rsidRPr="003B7E8F">
        <w:t xml:space="preserve">Billing rates guaranteed through </w:t>
      </w:r>
      <w:r w:rsidRPr="003C0B6F">
        <w:rPr>
          <w:noProof/>
        </w:rPr>
        <w:t>December 31, 2026</w:t>
      </w:r>
      <w:r w:rsidRPr="003B7E8F">
        <w:t>:</w:t>
      </w:r>
    </w:p>
    <w:p w14:paraId="0660FCC0" w14:textId="77777777" w:rsidR="007C1374" w:rsidRDefault="007C1374" w:rsidP="004232B8">
      <w:pPr>
        <w:pStyle w:val="CLALTRNormal"/>
        <w:numPr>
          <w:ilvl w:val="0"/>
          <w:numId w:val="13"/>
        </w:numPr>
        <w:jc w:val="both"/>
      </w:pPr>
      <w:r w:rsidRPr="003B7E8F">
        <w:rPr/>
        <w:t>Services performed by Staff Accountant</w:t>
      </w:r>
      <w:r>
        <w:rPr/>
        <w:tab/>
      </w:r>
      <w:r w:rsidRPr="003B7E8F">
        <w:rPr/>
        <w:tab/>
      </w:r>
      <w:r w:rsidRPr="003B7E8F">
        <w:rPr/>
        <w:tab/>
      </w:r>
      <w:r w:rsidRPr="003B7E8F">
        <w:rPr/>
        <w:tab/>
      </w:r>
      <w:r w:rsidRPr="003B7E8F">
        <w:rPr/>
        <w:tab/>
      </w:r>
      <w:r w:rsidRPr="003B7E8F">
        <w:rPr/>
        <w:tab/>
      </w:r>
      <w:r w:rsidRPr="003B7E8F">
        <w:rPr/>
        <w:tab/>
      </w:r>
      <w:proofErr w:type="gramStart"/>
      <w:r w:rsidRPr="003B7E8F">
        <w:rPr/>
        <w:t>$100</w:t>
      </w:r>
      <w:proofErr w:type="gramEnd"/>
      <w:r w:rsidRPr="003B7E8F">
        <w:rPr/>
        <w:t xml:space="preserve"> per hour</w:t>
      </w:r>
    </w:p>
    <w:p w14:paraId="51CD06CC" w14:textId="77777777" w:rsidR="007C1374" w:rsidRDefault="007C1374" w:rsidP="004232B8">
      <w:pPr>
        <w:pStyle w:val="CLALTRNormal"/>
        <w:numPr>
          <w:ilvl w:val="0"/>
          <w:numId w:val="13"/>
        </w:numPr>
        <w:jc w:val="both"/>
      </w:pPr>
      <w:r w:rsidRPr="003B7E8F">
        <w:rPr/>
        <w:t>Services performed by Controller</w:t>
      </w:r>
      <w:r w:rsidRPr="003B7E8F">
        <w:rPr/>
        <w:tab/>
      </w:r>
      <w:r w:rsidRPr="003B7E8F">
        <w:rPr/>
        <w:tab/>
      </w:r>
      <w:r w:rsidRPr="003B7E8F">
        <w:rPr/>
        <w:tab/>
      </w:r>
      <w:r w:rsidRPr="003B7E8F">
        <w:rPr/>
        <w:tab/>
      </w:r>
      <w:r w:rsidRPr="003B7E8F">
        <w:rPr/>
        <w:tab/>
      </w:r>
      <w:r w:rsidRPr="003B7E8F">
        <w:rPr/>
        <w:tab/>
        <w:t>$185 per hour</w:t>
      </w:r>
    </w:p>
    <w:p w14:paraId="418AB107" w14:textId="77777777" w:rsidR="007C1374" w:rsidRDefault="007C1374" w:rsidP="004232B8">
      <w:pPr>
        <w:pStyle w:val="CLALTRNormal"/>
        <w:numPr>
          <w:ilvl w:val="0"/>
          <w:numId w:val="13"/>
        </w:numPr>
        <w:jc w:val="both"/>
      </w:pPr>
      <w:r w:rsidRPr="003B7E8F">
        <w:rPr/>
        <w:t xml:space="preserve">Services performed by </w:t>
      </w:r>
      <w:r>
        <w:rPr>
          <w:noProof/>
        </w:rPr>
        <w:t>CFO</w:t>
      </w:r>
      <w:r w:rsidRPr="003B7E8F">
        <w:rPr/>
        <w:t/>
      </w:r>
      <w:r w:rsidRPr="003B7E8F">
        <w:rPr/>
        <w:tab/>
      </w:r>
      <w:r w:rsidRPr="003B7E8F">
        <w:rPr/>
        <w:tab/>
      </w:r>
      <w:r w:rsidRPr="003B7E8F">
        <w:rPr/>
        <w:tab/>
        <w:t>$250 per hour</w:t>
      </w:r>
    </w:p>
    <w:p w14:paraId="00B6291F" w14:textId="4D048969" w:rsidR="007C1374" w:rsidRDefault="007C1374" w:rsidP="004232B8">
      <w:pPr>
        <w:pStyle w:val="CLALTRNormal"/>
        <w:jc w:val="both"/>
      </w:pPr>
      <w:proofErr w:type="gramStart"/>
      <w:r>
        <w:rPr/>
        <w:t>Subsequent to</w:t>
      </w:r>
      <w:proofErr w:type="gramEnd"/>
      <w:r>
        <w:rPr/>
        <w:t xml:space="preserve"> the billing rate guarantee date, the rates </w:t>
      </w:r>
      <w:r w:rsidRPr="008E719E">
        <w:rPr/>
        <w:t>may be adjusted</w:t>
      </w:r>
      <w:r w:rsidR="00CD0CCA">
        <w:rPr/>
        <w:t xml:space="preserve"> only</w:t>
      </w:r>
      <w:r w:rsidRPr="008E719E">
        <w:rPr/>
        <w:t xml:space="preserve"> as </w:t>
      </w:r>
      <w:r>
        <w:rPr/>
        <w:t>agreed</w:t>
      </w:r>
      <w:r w:rsidR="00CD0CCA">
        <w:rPr/>
        <w:t xml:space="preserve"> in writing</w:t>
      </w:r>
      <w:r>
        <w:rPr/>
        <w:t xml:space="preserve"> between </w:t>
      </w:r>
      <w:r w:rsidR="00B94063">
        <w:rPr/>
        <w:t xml:space="preserve">the Client </w:t>
      </w:r>
      <w:r>
        <w:rPr/>
        <w:t xml:space="preserve">and </w:t>
      </w:r>
      <w:r w:rsidR="003A2EF5">
        <w:rPr/>
        <w:t>ONYX</w:t>
      </w:r>
      <w:r w:rsidRPr="007956FE">
        <w:rPr/>
        <w:t xml:space="preserve"> </w:t>
      </w:r>
      <w:r>
        <w:rPr/>
        <w:t>through an addendum to this engagement letter</w:t>
      </w:r>
      <w:r w:rsidRPr="0065309C">
        <w:rPr/>
        <w:t>.</w:t>
      </w:r>
    </w:p>
    <w:p w14:paraId="675439FD" w14:textId="77777777" w:rsidR="007C1374" w:rsidRDefault="007C1374" w:rsidP="004232B8">
      <w:pPr>
        <w:pStyle w:val="CLALTRHeading2"/>
        <w:jc w:val="both"/>
      </w:pPr>
      <w:r>
        <w:t>Time estimates:</w:t>
      </w:r>
    </w:p>
    <w:p w14:paraId="254193CD" w14:textId="77777777" w:rsidR="007C1374" w:rsidRDefault="007C1374" w:rsidP="004232B8">
      <w:pPr>
        <w:pStyle w:val="CLALTRHeading2"/>
        <w:jc w:val="both"/>
      </w:pPr>
      <w:r w:rsidRPr="003B7E8F">
        <w:rPr>
          <w:b w:val="0"/>
          <w:u w:val="single"/>
        </w:rPr>
        <w:t>Initial setup and cleanup (May–August 2026):</w:t>
      </w:r>
    </w:p>
    <w:p w14:paraId="5FCFEC33" w14:textId="77777777" w:rsidR="007C1374" w:rsidRDefault="007C1374" w:rsidP="004232B8">
      <w:pPr>
        <w:pStyle w:val="CLALTRNormal"/>
        <w:numPr>
          <w:ilvl w:val="0"/>
          <w:numId w:val="14"/>
        </w:numPr>
        <w:jc w:val="both"/>
      </w:pPr>
      <w:r w:rsidRPr="003B7E8F">
        <w:rPr/>
        <w:t>Billed hourly as incurred. Because this covers one-time onboarding, QuickBooks setup, asset and depreciation setup, and cleanup of prior months, initial fees will run higher than the ongoing monthly estimate below. ONYX will refine this estimate once it reviews the property-management statements.</w:t>
      </w:r>
    </w:p>
    <w:p w14:paraId="2BC8C6AE" w14:textId="77777777" w:rsidR="007C1374" w:rsidRPr="003B7E8F" w:rsidRDefault="007C1374" w:rsidP="004232B8">
      <w:pPr>
        <w:pStyle w:val="CLALTRHeading2"/>
        <w:jc w:val="both"/>
        <w:rPr>
          <w:b w:val="0"/>
          <w:u w:val="single"/>
        </w:rPr>
      </w:pPr>
      <w:proofErr w:type="gramStart"/>
      <w:r w:rsidRPr="003B7E8F">
        <w:rPr>
          <w:b w:val="0"/>
          <w:u w:val="single"/>
        </w:rPr>
        <w:t>Ongoing monthly bookkeeping (if retained after handoff):</w:t>
      </w:r>
      <w:proofErr w:type="gramEnd"/>
    </w:p>
    <w:p w14:paraId="507ACF6F" w14:textId="77777777" w:rsidR="007C1374" w:rsidRDefault="007C1374" w:rsidP="004232B8">
      <w:pPr>
        <w:pStyle w:val="CLALTRNormal"/>
        <w:numPr>
          <w:ilvl w:val="0"/>
          <w:numId w:val="15"/>
        </w:numPr>
        <w:jc w:val="both"/>
      </w:pPr>
      <w:r w:rsidRPr="003B7E8F">
        <w:rPr/>
        <w:t>Estimated $100–$200 per month, depending on transaction volume.</w:t>
      </w:r>
      <w:proofErr w:type="gramStart"/>
      <w:proofErr w:type="gramEnd"/>
      <w:bookmarkStart w:id="7" w:name="Text49"/>
      <w:bookmarkEnd w:id="7"/>
    </w:p>
    <w:p w14:paraId="1274C771" w14:textId="77777777" w:rsidR="007C1374" w:rsidRDefault="007C1374" w:rsidP="004232B8">
      <w:pPr>
        <w:pStyle w:val="CLALTRNormal"/>
        <w:numPr>
          <w:ilvl w:val="0"/>
          <w:numId w:val="15"/>
        </w:numPr>
        <w:jc w:val="both"/>
      </w:pPr>
      <w:r w:rsidRPr="003B7E8F">
        <w:rPr/>
        <w:t>If you self-manage after handoff, ONYX can instead review the books quarterly or annually before they go to your tax preparer, billed hourly as incurred.</w:t>
      </w:r>
    </w:p>
    <w:p w14:paraId="0C381B6E" w14:textId="6FE7FD06" w:rsidR="007C1374" w:rsidRDefault="007C1374" w:rsidP="004232B8">
      <w:pPr>
        <w:pStyle w:val="CLALTRNormal"/>
        <w:jc w:val="both"/>
      </w:pPr>
      <w:r>
        <w:rPr/>
        <w:t>Our fees for these services will be based on the time involved and the degree of responsibility and skill required, plus expenses, including internal and administrative charges. These estimates assume timely cooperation from you in providing the requested statements, access, and information; if requested items are not available when needed or are inaccurate, the fee will likely be higher. Should unexpected circumstances require significant additional time, ONYX will advise you before undertaking any work that would substantially increase the fee estimate.</w:t>
      </w:r>
    </w:p>
    <w:p w14:paraId="34CB76F0" w14:textId="1C983FFC" w:rsidR="000679EF" w:rsidRDefault="00E4186A" w:rsidP="004232B8">
      <w:pPr>
        <w:pStyle w:val="CLALTRNormal"/>
        <w:jc w:val="both"/>
      </w:pPr>
      <w:r>
        <w:rPr/>
        <w:t xml:space="preserve"> </w:t>
      </w:r>
      <w:proofErr w:type="gramStart"/>
      <w:r>
        <w:rPr/>
        <w:t>During the course of</w:t>
      </w:r>
      <w:proofErr w:type="gramEnd"/>
      <w:r>
        <w:rPr/>
        <w:t xml:space="preserve"> our engagement, we may incur o</w:t>
      </w:r>
      <w:r w:rsidR="000679EF">
        <w:rPr/>
        <w:t xml:space="preserve">ut-of-pocket </w:t>
      </w:r>
      <w:r w:rsidR="00057067">
        <w:rPr/>
        <w:t xml:space="preserve">costs and </w:t>
      </w:r>
      <w:r w:rsidR="000679EF">
        <w:rPr/>
        <w:t>expenses</w:t>
      </w:r>
      <w:r>
        <w:rPr/>
        <w:t xml:space="preserve"> on your behalf. These costs and </w:t>
      </w:r>
      <w:r w:rsidR="00057067">
        <w:rPr/>
        <w:t xml:space="preserve">expenses, which you will be responsible </w:t>
      </w:r>
      <w:proofErr w:type="gramStart"/>
      <w:r w:rsidR="00057067">
        <w:rPr/>
        <w:t>to pay</w:t>
      </w:r>
      <w:proofErr w:type="gramEnd"/>
      <w:r w:rsidR="00057067">
        <w:rPr/>
        <w:t xml:space="preserve">, include, but are not necessarily limited </w:t>
      </w:r>
      <w:proofErr w:type="gramStart"/>
      <w:r w:rsidR="00057067">
        <w:rPr/>
        <w:t>to,</w:t>
      </w:r>
      <w:proofErr w:type="gramEnd"/>
      <w:r w:rsidR="000679EF">
        <w:rPr/>
        <w:t xml:space="preserve"> out-of-town travel, meals, and lodging</w:t>
      </w:r>
      <w:r w:rsidR="001D541D">
        <w:rPr/>
        <w:t>. These out-of-pocket costs and expenses</w:t>
      </w:r>
      <w:r w:rsidR="000679EF">
        <w:rPr/>
        <w:t xml:space="preserve"> will be billed at cost and are not included in the fees quoted above.</w:t>
      </w:r>
    </w:p>
    <w:p w14:paraId="653EA5FE" w14:textId="37F66B42" w:rsidR="007C1374" w:rsidRDefault="007C1374" w:rsidP="004232B8">
      <w:pPr>
        <w:pStyle w:val="CLALTRNormal"/>
        <w:jc w:val="both"/>
      </w:pPr>
      <w:r w:rsidRPr="00F13697">
        <w:t xml:space="preserve">Our invoices for these fees will be </w:t>
      </w:r>
      <w:proofErr w:type="gramStart"/>
      <w:r w:rsidRPr="00F13697">
        <w:t xml:space="preserve">rendered </w:t>
      </w:r>
      <w:r w:rsidR="00801237" w:rsidRPr="00801237">
        <w:rPr>
          <w:b/>
          <w:bCs/>
          <w:u w:val="single"/>
        </w:rPr>
        <w:t>bi</w:t>
      </w:r>
      <w:proofErr w:type="gramEnd"/>
      <w:r w:rsidR="00801237" w:rsidRPr="00801237">
        <w:rPr>
          <w:b/>
          <w:bCs/>
          <w:u w:val="single"/>
        </w:rPr>
        <w:t>-weekly</w:t>
      </w:r>
      <w:r w:rsidRPr="00F13697">
        <w:t xml:space="preserve"> as work progresses and are payable on presentation. </w:t>
      </w:r>
      <w:r w:rsidRPr="007441DE">
        <w:t xml:space="preserve">Terms of payment for services are </w:t>
      </w:r>
      <w:proofErr w:type="gramStart"/>
      <w:r w:rsidRPr="007441DE">
        <w:rPr>
          <w:b/>
          <w:u w:val="single"/>
        </w:rPr>
        <w:t>net</w:t>
      </w:r>
      <w:proofErr w:type="gramEnd"/>
      <w:r w:rsidR="0020163C">
        <w:rPr>
          <w:b/>
          <w:u w:val="single"/>
        </w:rPr>
        <w:t xml:space="preserve"> seven</w:t>
      </w:r>
      <w:r w:rsidRPr="007441DE">
        <w:rPr>
          <w:b/>
          <w:u w:val="single"/>
        </w:rPr>
        <w:t xml:space="preserve"> </w:t>
      </w:r>
      <w:r w:rsidR="0020163C">
        <w:rPr>
          <w:b/>
          <w:u w:val="single"/>
        </w:rPr>
        <w:t>(</w:t>
      </w:r>
      <w:r w:rsidR="007441DE">
        <w:rPr>
          <w:b/>
          <w:u w:val="single"/>
        </w:rPr>
        <w:t>7</w:t>
      </w:r>
      <w:r w:rsidR="0020163C">
        <w:rPr>
          <w:b/>
          <w:u w:val="single"/>
        </w:rPr>
        <w:t>)</w:t>
      </w:r>
      <w:r w:rsidRPr="007441DE">
        <w:rPr>
          <w:b/>
          <w:u w:val="single"/>
        </w:rPr>
        <w:t xml:space="preserve"> days</w:t>
      </w:r>
      <w:r w:rsidRPr="007441DE">
        <w:t>.</w:t>
      </w:r>
      <w:r w:rsidRPr="0045047B">
        <w:t xml:space="preserve"> </w:t>
      </w:r>
      <w:r w:rsidRPr="00F13697">
        <w:t xml:space="preserve">In accordance with our firm policies, work may be suspended if </w:t>
      </w:r>
      <w:r w:rsidR="002F6675">
        <w:t>the Client’s</w:t>
      </w:r>
      <w:r w:rsidR="002F6675" w:rsidRPr="00F13697">
        <w:t xml:space="preserve"> </w:t>
      </w:r>
      <w:r w:rsidRPr="00F13697">
        <w:t>account becomes</w:t>
      </w:r>
      <w:r w:rsidR="0020163C">
        <w:t xml:space="preserve"> thirty</w:t>
      </w:r>
      <w:r w:rsidRPr="00F13697">
        <w:t xml:space="preserve"> </w:t>
      </w:r>
      <w:r w:rsidR="0020163C">
        <w:t>(</w:t>
      </w:r>
      <w:r w:rsidR="007441DE">
        <w:t>30</w:t>
      </w:r>
      <w:r w:rsidR="0020163C">
        <w:t>)</w:t>
      </w:r>
      <w:r w:rsidRPr="00F13697">
        <w:rPr>
          <w:rStyle w:val="CLALTRHiddenTextChar"/>
        </w:rPr>
        <w:t xml:space="preserve"> </w:t>
      </w:r>
      <w:r w:rsidRPr="00F13697">
        <w:t xml:space="preserve"> days or more overdue and will not be resumed until </w:t>
      </w:r>
      <w:r w:rsidR="002F6675">
        <w:t>the Client’s</w:t>
      </w:r>
      <w:r w:rsidR="002F6675" w:rsidRPr="00F13697">
        <w:t xml:space="preserve"> </w:t>
      </w:r>
      <w:r w:rsidRPr="00F13697">
        <w:t xml:space="preserve">account is paid in full. If </w:t>
      </w:r>
      <w:r w:rsidR="002F6675">
        <w:t>ONYX</w:t>
      </w:r>
      <w:r w:rsidR="002F6675" w:rsidRPr="00F13697">
        <w:t xml:space="preserve"> </w:t>
      </w:r>
      <w:r w:rsidRPr="00F13697">
        <w:t>elect</w:t>
      </w:r>
      <w:r w:rsidR="002F6675">
        <w:t>s</w:t>
      </w:r>
      <w:r w:rsidRPr="00F13697">
        <w:t xml:space="preserve"> to terminate </w:t>
      </w:r>
      <w:r w:rsidR="002F6675">
        <w:t>its</w:t>
      </w:r>
      <w:r w:rsidRPr="00F13697">
        <w:t xml:space="preserve"> services for nonpayment, </w:t>
      </w:r>
      <w:r w:rsidR="002F6675">
        <w:t>ONYX’s</w:t>
      </w:r>
      <w:r w:rsidR="002F6675" w:rsidRPr="00F13697">
        <w:t xml:space="preserve"> </w:t>
      </w:r>
      <w:r w:rsidRPr="00F13697">
        <w:t xml:space="preserve">engagement will be deemed to have been completed even if </w:t>
      </w:r>
      <w:r w:rsidR="002F6675">
        <w:t>it has</w:t>
      </w:r>
      <w:r w:rsidRPr="00F13697">
        <w:t xml:space="preserve"> not </w:t>
      </w:r>
      <w:r>
        <w:t xml:space="preserve">provided </w:t>
      </w:r>
      <w:r w:rsidR="002F6675">
        <w:t xml:space="preserve">the Client </w:t>
      </w:r>
      <w:r>
        <w:t xml:space="preserve">with the </w:t>
      </w:r>
      <w:r>
        <w:rPr>
          <w:noProof/>
        </w:rPr>
        <w:t>the books and supporting schedules</w:t>
      </w:r>
      <w:r w:rsidRPr="00F13697">
        <w:t xml:space="preserve">. </w:t>
      </w:r>
      <w:r w:rsidR="002F6675">
        <w:t>The Client</w:t>
      </w:r>
      <w:r w:rsidR="002F6675" w:rsidRPr="00F13697">
        <w:t xml:space="preserve"> </w:t>
      </w:r>
      <w:r w:rsidRPr="00F13697">
        <w:t xml:space="preserve">will be obligated to compensate </w:t>
      </w:r>
      <w:r w:rsidR="002F6675">
        <w:t>ONYX</w:t>
      </w:r>
      <w:r w:rsidR="002F6675" w:rsidRPr="00F13697">
        <w:t xml:space="preserve"> </w:t>
      </w:r>
      <w:r w:rsidRPr="00F13697">
        <w:t xml:space="preserve">for all time expended and to reimburse </w:t>
      </w:r>
      <w:r w:rsidR="002F6675">
        <w:t>ONYX</w:t>
      </w:r>
      <w:r w:rsidR="002F6675" w:rsidRPr="00F13697">
        <w:t xml:space="preserve"> </w:t>
      </w:r>
      <w:r w:rsidRPr="00F13697">
        <w:t>for all out-of-pocket expenditures through the date of termination.</w:t>
      </w:r>
    </w:p>
    <w:p w14:paraId="3B8130EC" w14:textId="351F9A7E" w:rsidR="00E817D0" w:rsidRDefault="00E817D0" w:rsidP="004232B8">
      <w:pPr>
        <w:pStyle w:val="CLALTRNormal"/>
        <w:jc w:val="both"/>
      </w:pPr>
      <w:r>
        <w:t xml:space="preserve">If the Client disputes or questions any charges on </w:t>
      </w:r>
      <w:r w:rsidR="006B3C5F">
        <w:t xml:space="preserve">any invoice, then the Client must notify </w:t>
      </w:r>
      <w:proofErr w:type="gramStart"/>
      <w:r w:rsidR="006B3C5F">
        <w:t>ONYX,</w:t>
      </w:r>
      <w:proofErr w:type="gramEnd"/>
      <w:r w:rsidR="006B3C5F">
        <w:t xml:space="preserve"> IN WRITING, listing the specific time entries or costs on the invoices the Client is disputing within thirty (30) days of the date shown on the invoice. If ONYX does not receive written notice of any such dispute or question within thirty (30) days of the date shown on the invoice, then ONYX will understand the Client’s silence to mean that the Client </w:t>
      </w:r>
      <w:r w:rsidR="00872C9F">
        <w:t xml:space="preserve">finds the billing statement, and </w:t>
      </w:r>
      <w:proofErr w:type="gramStart"/>
      <w:r w:rsidR="00872C9F">
        <w:t>all of</w:t>
      </w:r>
      <w:proofErr w:type="gramEnd"/>
      <w:r w:rsidR="00872C9F">
        <w:t xml:space="preserve"> its itemized charges and costs, acceptable and reasonable.</w:t>
      </w:r>
    </w:p>
    <w:p w14:paraId="14511489" w14:textId="77777777" w:rsidR="007C1374" w:rsidRDefault="007C1374" w:rsidP="004232B8">
      <w:pPr>
        <w:pStyle w:val="CLALTRHeading2"/>
        <w:jc w:val="both"/>
      </w:pPr>
      <w:r>
        <w:lastRenderedPageBreak/>
        <w:t>Other fees</w:t>
      </w:r>
    </w:p>
    <w:p w14:paraId="058D7BA7" w14:textId="56D8A4A3" w:rsidR="007C1374" w:rsidRDefault="002F6675" w:rsidP="004232B8">
      <w:pPr>
        <w:pStyle w:val="CLALTRNormal"/>
        <w:jc w:val="both"/>
      </w:pPr>
      <w:r>
        <w:t xml:space="preserve">The Client </w:t>
      </w:r>
      <w:r w:rsidR="007C1374">
        <w:t>also agree</w:t>
      </w:r>
      <w:r>
        <w:t>s</w:t>
      </w:r>
      <w:r w:rsidR="007C1374">
        <w:t xml:space="preserve"> to compensate </w:t>
      </w:r>
      <w:r>
        <w:t>ONYX</w:t>
      </w:r>
      <w:r w:rsidR="007C1374">
        <w:t xml:space="preserve"> for any time and expenses, including time and expenses of legal counsel, </w:t>
      </w:r>
      <w:r>
        <w:t xml:space="preserve">ONYX </w:t>
      </w:r>
      <w:r w:rsidR="007C1374">
        <w:t xml:space="preserve">may incur in responding to discovery requests or participating as a witness or otherwise in any legal, regulatory, or other proceedings that </w:t>
      </w:r>
      <w:r>
        <w:t xml:space="preserve">ONYX is </w:t>
      </w:r>
      <w:r w:rsidR="007C1374">
        <w:t xml:space="preserve">asked to respond to on </w:t>
      </w:r>
      <w:r>
        <w:t xml:space="preserve">the Client’s </w:t>
      </w:r>
      <w:r w:rsidR="007C1374">
        <w:t>behalf.</w:t>
      </w:r>
    </w:p>
    <w:p w14:paraId="1FCD6BC5" w14:textId="77777777" w:rsidR="007C1374" w:rsidRPr="00501D66" w:rsidRDefault="007C1374" w:rsidP="004232B8">
      <w:pPr>
        <w:pStyle w:val="CLALTRHeading2"/>
        <w:jc w:val="both"/>
      </w:pPr>
      <w:r w:rsidRPr="00501D66">
        <w:t>Finance charges and collection expenses</w:t>
      </w:r>
    </w:p>
    <w:p w14:paraId="26AC1D97" w14:textId="7FEE3B9F" w:rsidR="007C1374" w:rsidRDefault="002F6675" w:rsidP="004232B8">
      <w:pPr>
        <w:pStyle w:val="CLALTRNormal"/>
        <w:jc w:val="both"/>
      </w:pPr>
      <w:r>
        <w:t>The Client</w:t>
      </w:r>
      <w:r w:rsidRPr="00501D66">
        <w:t xml:space="preserve"> </w:t>
      </w:r>
      <w:r w:rsidR="007C1374" w:rsidRPr="00501D66">
        <w:t>agree</w:t>
      </w:r>
      <w:r>
        <w:t>s</w:t>
      </w:r>
      <w:r w:rsidR="007C1374" w:rsidRPr="00501D66">
        <w:t xml:space="preserve"> that if any statement is not paid within </w:t>
      </w:r>
      <w:r w:rsidR="00616098">
        <w:t>thirty (</w:t>
      </w:r>
      <w:r w:rsidR="007C1374" w:rsidRPr="00501D66">
        <w:t>30</w:t>
      </w:r>
      <w:r w:rsidR="00616098">
        <w:t>)</w:t>
      </w:r>
      <w:r w:rsidR="007C1374" w:rsidRPr="00501D66">
        <w:t xml:space="preserve"> days from its </w:t>
      </w:r>
      <w:r w:rsidR="007C1374">
        <w:t xml:space="preserve">billing </w:t>
      </w:r>
      <w:r w:rsidR="007C1374" w:rsidRPr="00501D66">
        <w:t xml:space="preserve">date, the unpaid balance shall accrue interest at the monthly rate of one and one-quarter percent (1.25%), which is an annual percentage rate of 15%. </w:t>
      </w:r>
      <w:proofErr w:type="gramStart"/>
      <w:r w:rsidR="007C1374" w:rsidRPr="00501D66">
        <w:t>In the event that</w:t>
      </w:r>
      <w:proofErr w:type="gramEnd"/>
      <w:r w:rsidR="007C1374" w:rsidRPr="00501D66">
        <w:t xml:space="preserve"> any collection action is required to collect unpaid balances </w:t>
      </w:r>
      <w:proofErr w:type="gramStart"/>
      <w:r w:rsidR="007C1374" w:rsidRPr="00501D66">
        <w:t>due</w:t>
      </w:r>
      <w:proofErr w:type="gramEnd"/>
      <w:r w:rsidR="007C1374" w:rsidRPr="00501D66">
        <w:t xml:space="preserve"> us, </w:t>
      </w:r>
      <w:r w:rsidR="00AD6268">
        <w:t xml:space="preserve">then the Client agrees that ONYX (or any attorney that ONYX may hire for this purpose) may also recover from the Client the </w:t>
      </w:r>
      <w:r w:rsidR="00584E17">
        <w:t xml:space="preserve">attorneys’ fees and costs to collect such sums, </w:t>
      </w:r>
      <w:proofErr w:type="gramStart"/>
      <w:r w:rsidR="00584E17">
        <w:t>whether or not</w:t>
      </w:r>
      <w:proofErr w:type="gramEnd"/>
      <w:r w:rsidR="00584E17">
        <w:t xml:space="preserve"> the Client contests the matter.</w:t>
      </w:r>
    </w:p>
    <w:p w14:paraId="1FAEB53B" w14:textId="77777777" w:rsidR="007C1374" w:rsidRDefault="007C1374" w:rsidP="004232B8">
      <w:pPr>
        <w:pStyle w:val="CLALTRHeading1"/>
        <w:jc w:val="both"/>
      </w:pPr>
      <w:r>
        <w:t xml:space="preserve">Our service commitment</w:t>
      </w:r>
    </w:p>
    <w:p w14:paraId="0C6B52CE" w14:textId="18ECCCBD" w:rsidR="007C1374" w:rsidRDefault="007C1374" w:rsidP="004232B8">
      <w:pPr>
        <w:pStyle w:val="CLALTRNormal"/>
        <w:jc w:val="both"/>
      </w:pPr>
      <w:r>
        <w:t xml:space="preserve">We stand behind our work. Upon full payment of our invoice, we will consider you satisfied with our services and our service commitment fulfilled.</w:t>
      </w:r>
    </w:p>
    <w:p w14:paraId="0C546F6C" w14:textId="29EA98E9" w:rsidR="007C1374" w:rsidRDefault="007C1374" w:rsidP="004232B8">
      <w:pPr>
        <w:pStyle w:val="CLALTRNormal"/>
        <w:jc w:val="both"/>
      </w:pPr>
      <w:r>
        <w:t xml:space="preserve">To ensure that ONYX’s services remain responsive to the Client’s needs, and fair to both parties, ONYX will meet with the Client throughout the term of this agreement and, as needs change, revise or adjust the scope of services and the related fees — without the need to re-execute this agreement. Such revisions or adjustments take effect once confirmed in writing, including by email, by both ONYX and the Client; no signature, formal addendum, or re-execution of this agreement is required.</w:t>
      </w:r>
    </w:p>
    <w:p w14:paraId="1E4339C2" w14:textId="08597DD5" w:rsidR="007C1374" w:rsidRDefault="007C1374" w:rsidP="004232B8">
      <w:pPr>
        <w:pStyle w:val="CLALTRNormal"/>
        <w:jc w:val="both"/>
      </w:pPr>
      <w:r>
        <w:t>Furthermore, it is understood that either party may terminate this agreement at any time, for any reason, by giving</w:t>
      </w:r>
      <w:r w:rsidR="00CD4E06">
        <w:t xml:space="preserve"> thirty</w:t>
      </w:r>
      <w:r>
        <w:t xml:space="preserve"> </w:t>
      </w:r>
      <w:r w:rsidR="00CD4E06">
        <w:t>(</w:t>
      </w:r>
      <w:r w:rsidRPr="00C770AF">
        <w:t>30</w:t>
      </w:r>
      <w:r w:rsidR="00CD4E06">
        <w:t>)</w:t>
      </w:r>
      <w:r w:rsidRPr="00C770AF">
        <w:t xml:space="preserve"> </w:t>
      </w:r>
      <w:proofErr w:type="gramStart"/>
      <w:r w:rsidRPr="00C770AF">
        <w:t>days</w:t>
      </w:r>
      <w:proofErr w:type="gramEnd"/>
      <w:r>
        <w:t xml:space="preserve"> written notice to the other party. In that event, the provisions of this agreement shall continue to apply to all services rendered prior to termination. It is understood that any unpaid fees that are owed or invoices that are outstanding at the date of termination are to be paid in accordance with the terms of this agreement.</w:t>
      </w:r>
    </w:p>
    <w:p>
      <w:pPr>
        <w:pStyle w:val="CLALTRHeading1"/>
        <w:pageBreakBefore/>
        <w:pBdr>
          <w:top w:val="single" w:sz="8" w:space="10" w:color="auto"/>
          <w:bottom w:val="single" w:sz="8" w:space="10" w:color="auto"/>
        </w:pBdr>
        <w:spacing w:before="240" w:after="200"/>
        <w:jc w:val="both"/>
      </w:pPr>
      <w:r>
        <w:rPr>
          <w:caps/>
          <w:color w:val="7F7F7F"/>
          <w:sz w:val="18"/>
          <w:szCs w:val="18"/>
          <w:spacing w:val="60"/>
        </w:rPr>
        <w:t xml:space="preserve">Section 2</w:t>
      </w:r>
      <w:r>
        <w:br/>
      </w:r>
      <w:r>
        <w:rPr>
          <w:sz w:val="48"/>
          <w:szCs w:val="48"/>
        </w:rPr>
        <w:t xml:space="preserve">Terms and Conditions</w:t>
      </w:r>
    </w:p>
    <w:p>
      <w:pPr>
        <w:pStyle w:val="CLALTRNormal"/>
        <w:jc w:val="both"/>
      </w:pPr>
      <w:r>
        <w:t xml:space="preserve">The following terms govern our engagement. They define each party’s responsibilities, allocate risk between us, and explain how any questions or disputes will be handled.</w:t>
      </w:r>
    </w:p>
    <w:p w14:paraId="58E69126" w14:textId="77777777" w:rsidR="007C1374" w:rsidRDefault="007C1374" w:rsidP="004232B8">
      <w:pPr>
        <w:pStyle w:val="CLALTRHeading1"/>
        <w:jc w:val="both"/>
      </w:pPr>
      <w:r>
        <w:t>Engagement objectives, limitations, and responsibilities</w:t>
      </w:r>
    </w:p>
    <w:p>
      <w:pPr>
        <w:pStyle w:val="CLALTRNormal"/>
        <w:jc w:val="both"/>
      </w:pPr>
      <w:r>
        <w:t xml:space="preserve">The objective of ONYX’s engagement is to assist the Client in the preparation of financial statements by providing the services identified above. ONYX has not been engaged to prepare financial statements, and financial statements will not be presented to the Client. Financial statements that may be generated from the Client’s accounting system have not been prepared, compiled, reviewed, or audited by ONYX and, accordingly, will not include an opinion or any other form of assurance. The financial statements will not be accompanied by a report, and ONYX should not be discussed or associated with them. Any analysis or presentation of financial information that ONYX provides to management is based on financial statements generated from the Client’s accounting system and does not constitute the preparation, compilation, review, or audit of financial statements by ONYX.</w:t>
      </w:r>
    </w:p>
    <w:p w14:paraId="67E374BD" w14:textId="2C45F098" w:rsidR="007C1374" w:rsidRDefault="007C1374" w:rsidP="004232B8">
      <w:pPr>
        <w:pStyle w:val="CLALTRNormal"/>
        <w:jc w:val="both"/>
        <w:rPr>
          <w:rStyle w:val="CLALTRNormalChar"/>
        </w:rPr>
      </w:pPr>
      <w:r w:rsidRPr="006B232D">
        <w:rPr>
          <w:rStyle w:val="CLALTRNormalChar"/>
        </w:rPr>
        <w:t>Material departures from accounting principles generally accepted in the United States of America (</w:t>
      </w:r>
      <w:r>
        <w:rPr>
          <w:rStyle w:val="CLALTRNormalChar"/>
        </w:rPr>
        <w:t xml:space="preserve">U.S. </w:t>
      </w:r>
      <w:r w:rsidRPr="006B232D">
        <w:rPr>
          <w:rStyle w:val="CLALTRNormalChar"/>
        </w:rPr>
        <w:t>GAAP) or a special purpose framework may exist</w:t>
      </w:r>
      <w:r w:rsidR="000E46C2">
        <w:rPr>
          <w:rStyle w:val="CLALTRNormalChar"/>
        </w:rPr>
        <w:t>,</w:t>
      </w:r>
      <w:r w:rsidRPr="006B232D">
        <w:rPr>
          <w:rStyle w:val="CLALTRNormalChar"/>
        </w:rPr>
        <w:t xml:space="preserve"> and the effects of those departures, if any, on the financial statements </w:t>
      </w:r>
      <w:r w:rsidR="000E46C2">
        <w:rPr>
          <w:rStyle w:val="CLALTRNormalChar"/>
        </w:rPr>
        <w:t>the Client</w:t>
      </w:r>
      <w:r w:rsidR="000E46C2" w:rsidRPr="006B232D">
        <w:rPr>
          <w:rStyle w:val="CLALTRNormalChar"/>
        </w:rPr>
        <w:t xml:space="preserve"> </w:t>
      </w:r>
      <w:r w:rsidRPr="006B232D">
        <w:rPr>
          <w:rStyle w:val="CLALTRNormalChar"/>
        </w:rPr>
        <w:t>generate</w:t>
      </w:r>
      <w:r w:rsidR="000E46C2">
        <w:rPr>
          <w:rStyle w:val="CLALTRNormalChar"/>
        </w:rPr>
        <w:t>s</w:t>
      </w:r>
      <w:r w:rsidRPr="006B232D">
        <w:rPr>
          <w:rStyle w:val="CLALTRNormalChar"/>
        </w:rPr>
        <w:t xml:space="preserve"> may not be disclosed. Because of the extent of material departures that may exist in, or required disclosures that may be omitted from, the financial statements </w:t>
      </w:r>
      <w:r w:rsidR="000E46C2">
        <w:rPr>
          <w:rStyle w:val="CLALTRNormalChar"/>
        </w:rPr>
        <w:t>the Client</w:t>
      </w:r>
      <w:r w:rsidR="000E46C2" w:rsidRPr="006B232D">
        <w:rPr>
          <w:rStyle w:val="CLALTRNormalChar"/>
        </w:rPr>
        <w:t xml:space="preserve"> </w:t>
      </w:r>
      <w:r w:rsidRPr="006B232D">
        <w:rPr>
          <w:rStyle w:val="CLALTRNormalChar"/>
        </w:rPr>
        <w:t>generate</w:t>
      </w:r>
      <w:r w:rsidR="000E46C2">
        <w:rPr>
          <w:rStyle w:val="CLALTRNormalChar"/>
        </w:rPr>
        <w:t>s</w:t>
      </w:r>
      <w:r w:rsidRPr="006B232D">
        <w:rPr>
          <w:rStyle w:val="CLALTRNormalChar"/>
        </w:rPr>
        <w:t xml:space="preserve">, </w:t>
      </w:r>
      <w:r w:rsidR="000E46C2">
        <w:rPr>
          <w:rStyle w:val="CLALTRNormalChar"/>
        </w:rPr>
        <w:t>ONYX</w:t>
      </w:r>
      <w:r w:rsidR="000E46C2" w:rsidRPr="006B232D">
        <w:rPr>
          <w:rStyle w:val="CLALTRNormalChar"/>
        </w:rPr>
        <w:t xml:space="preserve"> </w:t>
      </w:r>
      <w:r w:rsidRPr="006B232D">
        <w:rPr>
          <w:rStyle w:val="CLALTRNormalChar"/>
        </w:rPr>
        <w:t>make</w:t>
      </w:r>
      <w:r w:rsidR="000E46C2">
        <w:rPr>
          <w:rStyle w:val="CLALTRNormalChar"/>
        </w:rPr>
        <w:t>s</w:t>
      </w:r>
      <w:r w:rsidRPr="006B232D">
        <w:rPr>
          <w:rStyle w:val="CLALTRNormalChar"/>
        </w:rPr>
        <w:t xml:space="preserve"> no representations regarding the appropriateness of such statements for </w:t>
      </w:r>
      <w:r w:rsidR="000E46C2">
        <w:rPr>
          <w:rStyle w:val="CLALTRNormalChar"/>
        </w:rPr>
        <w:t>the Client’s</w:t>
      </w:r>
      <w:r w:rsidR="000E46C2" w:rsidRPr="006B232D">
        <w:rPr>
          <w:rStyle w:val="CLALTRNormalChar"/>
        </w:rPr>
        <w:t xml:space="preserve"> </w:t>
      </w:r>
      <w:r w:rsidRPr="006B232D">
        <w:rPr>
          <w:rStyle w:val="CLALTRNormalChar"/>
        </w:rPr>
        <w:t xml:space="preserve">intended use or for any other purpose. Moreover, because of the nature of </w:t>
      </w:r>
      <w:r w:rsidR="000E46C2">
        <w:rPr>
          <w:rStyle w:val="CLALTRNormalChar"/>
        </w:rPr>
        <w:t>ONYX’s</w:t>
      </w:r>
      <w:r w:rsidR="000E46C2" w:rsidRPr="006B232D">
        <w:rPr>
          <w:rStyle w:val="CLALTRNormalChar"/>
        </w:rPr>
        <w:t xml:space="preserve"> </w:t>
      </w:r>
      <w:r w:rsidRPr="006B232D">
        <w:rPr>
          <w:rStyle w:val="CLALTRNormalChar"/>
        </w:rPr>
        <w:t xml:space="preserve">engagement, </w:t>
      </w:r>
      <w:r w:rsidR="000E46C2">
        <w:rPr>
          <w:rStyle w:val="CLALTRNormalChar"/>
        </w:rPr>
        <w:t>ONYX</w:t>
      </w:r>
      <w:r w:rsidR="000E46C2" w:rsidRPr="006B232D">
        <w:rPr>
          <w:rStyle w:val="CLALTRNormalChar"/>
        </w:rPr>
        <w:t xml:space="preserve"> </w:t>
      </w:r>
      <w:r w:rsidR="000E46C2">
        <w:rPr>
          <w:rStyle w:val="CLALTRNormalChar"/>
        </w:rPr>
        <w:t>is</w:t>
      </w:r>
      <w:r w:rsidRPr="006B232D">
        <w:rPr>
          <w:rStyle w:val="CLALTRNormalChar"/>
        </w:rPr>
        <w:t xml:space="preserve"> not responsible for communicating any such departures or omissions to </w:t>
      </w:r>
      <w:r w:rsidR="000E46C2">
        <w:rPr>
          <w:rStyle w:val="CLALTRNormalChar"/>
        </w:rPr>
        <w:t>the Client</w:t>
      </w:r>
      <w:r w:rsidRPr="006B232D">
        <w:rPr>
          <w:rStyle w:val="CLALTRNormalChar"/>
        </w:rPr>
        <w:t>.</w:t>
      </w:r>
    </w:p>
    <w:p w14:paraId="237D4625" w14:textId="2D9F240D" w:rsidR="007C1374" w:rsidRDefault="000E46C2" w:rsidP="004232B8">
      <w:pPr>
        <w:pStyle w:val="CLALTRNormal"/>
        <w:jc w:val="both"/>
      </w:pPr>
      <w:r>
        <w:t xml:space="preserve">ONYX’s </w:t>
      </w:r>
      <w:r w:rsidR="007C1374">
        <w:t xml:space="preserve">engagement cannot be relied upon to identify or disclose any financial statement misstatements, including those caused by fraud or error, or to identify or disclose any wrongdoing within </w:t>
      </w:r>
      <w:r>
        <w:t>the Client</w:t>
      </w:r>
      <w:r w:rsidR="007C1374">
        <w:t xml:space="preserve"> or noncompliance with laws and regulations. </w:t>
      </w:r>
      <w:r>
        <w:t>ONYX has</w:t>
      </w:r>
      <w:r w:rsidR="007C1374">
        <w:t xml:space="preserve"> no responsibility to identify and communicate deficiencies in </w:t>
      </w:r>
      <w:r>
        <w:t xml:space="preserve">the Client’s </w:t>
      </w:r>
      <w:r w:rsidR="007C1374">
        <w:t xml:space="preserve">internal control as part of </w:t>
      </w:r>
      <w:r>
        <w:t xml:space="preserve">ONYX’s </w:t>
      </w:r>
      <w:r w:rsidR="007C1374">
        <w:t xml:space="preserve">engagement. </w:t>
      </w:r>
      <w:r>
        <w:t>The Client</w:t>
      </w:r>
      <w:r w:rsidRPr="00AB3E66">
        <w:t xml:space="preserve"> </w:t>
      </w:r>
      <w:r w:rsidR="007C1374" w:rsidRPr="00AB3E66">
        <w:t>agree</w:t>
      </w:r>
      <w:r>
        <w:t>s</w:t>
      </w:r>
      <w:r w:rsidR="007C1374" w:rsidRPr="00AB3E66">
        <w:t xml:space="preserve"> that </w:t>
      </w:r>
      <w:r>
        <w:t>ONYX</w:t>
      </w:r>
      <w:r w:rsidRPr="00AB3E66">
        <w:t xml:space="preserve"> </w:t>
      </w:r>
      <w:r w:rsidR="007C1374" w:rsidRPr="00AB3E66">
        <w:t xml:space="preserve">shall not be responsible for any </w:t>
      </w:r>
      <w:proofErr w:type="gramStart"/>
      <w:r w:rsidR="007C1374" w:rsidRPr="00AB3E66">
        <w:t>misstatements</w:t>
      </w:r>
      <w:proofErr w:type="gramEnd"/>
      <w:r w:rsidR="007C1374" w:rsidRPr="00AB3E66">
        <w:t xml:space="preserve"> in the </w:t>
      </w:r>
      <w:r>
        <w:t>Client’s</w:t>
      </w:r>
      <w:r w:rsidRPr="00AB3E66">
        <w:t xml:space="preserve"> </w:t>
      </w:r>
      <w:r w:rsidR="007C1374" w:rsidRPr="00AB3E66">
        <w:t xml:space="preserve">financial statements that may </w:t>
      </w:r>
      <w:r w:rsidR="007C1374">
        <w:t>not be identified</w:t>
      </w:r>
      <w:r w:rsidR="007C1374" w:rsidRPr="00AB3E66">
        <w:t xml:space="preserve"> </w:t>
      </w:r>
      <w:proofErr w:type="gramStart"/>
      <w:r w:rsidR="007C1374" w:rsidRPr="00AB3E66">
        <w:t>as a result of</w:t>
      </w:r>
      <w:proofErr w:type="gramEnd"/>
      <w:r w:rsidR="007C1374" w:rsidRPr="00AB3E66">
        <w:t xml:space="preserve"> misrepresentations made to </w:t>
      </w:r>
      <w:r>
        <w:t>ONYX</w:t>
      </w:r>
      <w:r w:rsidRPr="00AB3E66">
        <w:t xml:space="preserve"> </w:t>
      </w:r>
      <w:r w:rsidR="007C1374" w:rsidRPr="00AB3E66">
        <w:t xml:space="preserve">by </w:t>
      </w:r>
      <w:r>
        <w:t>the Client</w:t>
      </w:r>
      <w:r w:rsidR="007C1374">
        <w:t>.</w:t>
      </w:r>
    </w:p>
    <w:p w14:paraId="17F8AFD8" w14:textId="4FAEBBF5" w:rsidR="007C1374" w:rsidRDefault="007C1374" w:rsidP="004232B8">
      <w:pPr>
        <w:pStyle w:val="CLALTRNormalIndent"/>
        <w:ind w:left="0"/>
        <w:jc w:val="both"/>
      </w:pPr>
      <w:r>
        <w:t xml:space="preserve">For all accounting services </w:t>
      </w:r>
      <w:r w:rsidR="000E46C2">
        <w:t xml:space="preserve">ONYX </w:t>
      </w:r>
      <w:r>
        <w:t xml:space="preserve">may provide to </w:t>
      </w:r>
      <w:r w:rsidR="000E46C2">
        <w:t>the Client</w:t>
      </w:r>
      <w:r>
        <w:t xml:space="preserve">, including assistance with the preparation of </w:t>
      </w:r>
      <w:r w:rsidR="000E46C2">
        <w:t xml:space="preserve">the Client’s </w:t>
      </w:r>
      <w:r>
        <w:t>financial statements, management agrees to assume all management responsibilities; oversee the services; evaluate the adequacy and results of the services; and accept responsibility for the results of the services.</w:t>
      </w:r>
    </w:p>
    <w:p w14:paraId="48154494" w14:textId="3C2647EB" w:rsidR="00592EB7" w:rsidRDefault="00592EB7" w:rsidP="00592EB7">
      <w:pPr>
        <w:pStyle w:val="CLALTRNormal"/>
        <w:jc w:val="both"/>
      </w:pPr>
      <w:r>
        <w:t xml:space="preserve">The Client understands that ONYX is only engaged by the Client. If the Client is a </w:t>
      </w:r>
      <w:r w:rsidR="00FC3660">
        <w:t>business entity</w:t>
      </w:r>
      <w:r>
        <w:t xml:space="preserve">, then ONYX does NOT also represent any of the Client’s individual partners, members, officers, directors or employees (as the case may be) or any other entities whose interests are represented by those </w:t>
      </w:r>
      <w:proofErr w:type="gramStart"/>
      <w:r>
        <w:t>persons</w:t>
      </w:r>
      <w:proofErr w:type="gramEnd"/>
      <w:r>
        <w:t>, unless ONYX agrees to do so in writing.</w:t>
      </w:r>
    </w:p>
    <w:p w14:paraId="423BE096" w14:textId="33AB8515" w:rsidR="00FC3660" w:rsidRPr="00592EB7" w:rsidRDefault="00FC3660" w:rsidP="008270E1">
      <w:pPr>
        <w:pStyle w:val="CLALTRNormal"/>
        <w:jc w:val="both"/>
      </w:pPr>
      <w:r>
        <w:t xml:space="preserve">If the Client is a business entity, </w:t>
      </w:r>
      <w:r w:rsidR="00C70BA9">
        <w:t>then, for the convenience of all involved, you have authorized the persons designated in this letter to act for you in a representative capacity in communicating your instructions to us.</w:t>
      </w:r>
    </w:p>
    <w:p>
      <w:pPr>
        <w:pStyle w:val="CLALTRHeading2"/>
        <w:jc w:val="both"/>
      </w:pPr>
      <w:r>
        <w:t xml:space="preserve">Client indemnification</w:t>
      </w:r>
    </w:p>
    <w:p>
      <w:pPr>
        <w:pStyle w:val="CLALTRNormal"/>
        <w:jc w:val="both"/>
      </w:pPr>
      <w:r>
        <w:t xml:space="preserve">Client shall indemnify, defend, and hold harmless ONYX, its partners, principals, directors, officers, employees, agents, subcontractors, and affiliates (collectively, the “ONYX Parties” and each an “ONYX Party”) from and against any and all third-party claims, demands, actions, damages, losses, liabilities, penalties, fines, judgments, costs, and expenses, including reasonable attorneys’ fees and defense costs, arising out of or relating to: (a) information, records, or data provided by Client that is inaccurate, incomplete, misleading, or untimely; (b) instructions, approvals, authorizations, or decisions made by Client or its representatives; (c) Client’s failure to maintain adequate internal controls, oversight, or segregation of duties; (d) payments, wire transfers, payroll transactions, vendor setups, customer setups, or other financial transactions approved by Client; (e) acts or omissions of Client’s employees, officers, owners, agents, contractors, or other service providers; or (f) Client’s violation of any applicable law, regulation, contract, or legal obligation. This indemnification obligation shall not apply to the extent a claim is finally determined by a court or arbitrator of competent jurisdiction to have resulted from the gross negligence or willful misconduct of an ONYX Party.</w:t>
      </w:r>
    </w:p>
    <w:p w14:paraId="33F7E619" w14:textId="77777777" w:rsidR="007C1374" w:rsidRDefault="007C1374" w:rsidP="004232B8">
      <w:pPr>
        <w:pStyle w:val="CLALTRHeading1"/>
        <w:jc w:val="both"/>
      </w:pPr>
      <w:r>
        <w:t>Limitation of remedies</w:t>
      </w:r>
    </w:p>
    <w:p>
      <w:pPr>
        <w:pStyle w:val="CLALTRNormal"/>
        <w:jc w:val="both"/>
      </w:pPr>
      <w:r>
        <w:t xml:space="preserve">ONYX’s role is strictly limited to the engagement described in this letter, and ONYX offers no assurance as to the results or ultimate outcomes of this engagement or of any decisions that the Client may make based on ONYX’s communications with the Client. The Client agrees that it is appropriate to limit the liability of the ONYX Parties.</w:t>
      </w:r>
    </w:p>
    <w:p w14:paraId="05D04A73" w14:textId="6A38FA52" w:rsidR="00416721" w:rsidRDefault="00416721" w:rsidP="004232B8">
      <w:pPr>
        <w:pStyle w:val="CLALTRNormal"/>
        <w:jc w:val="both"/>
      </w:pPr>
      <w:r>
        <w:t>If a dispute arises from or relates to this agreement or the breach thereof, and if the dispute cannot be settled through direct discussions, the parties agree to endeavor first to settle the dispute by mediation administered by the American Arbitration Association</w:t>
      </w:r>
      <w:r w:rsidR="00715BF2">
        <w:t xml:space="preserve"> in Maricopa County, Arizona</w:t>
      </w:r>
      <w:r>
        <w:t xml:space="preserve"> under its Commercial Mediation Procedures before resorting to arbitration. The parties further agree that any unresolved controversy or claim arising out of or relating to this agreement, or breach thereof, shall be settled by arbitration administered by the American Arbitration Association</w:t>
      </w:r>
      <w:r w:rsidR="00715BF2">
        <w:t xml:space="preserve"> in Maricopa County, Arizona</w:t>
      </w:r>
      <w:r>
        <w:t xml:space="preserve"> in accordance with its Commercial Arbitration Rules and judgment on the award rendered by the arbitrator(s) may be entered in any court having jurisdiction thereof.</w:t>
      </w:r>
    </w:p>
    <w:p w14:paraId="4843286B" w14:textId="5B30B26C" w:rsidR="007C1374" w:rsidRDefault="00CF3BBF" w:rsidP="004232B8">
      <w:pPr>
        <w:pStyle w:val="CLALTRNormal"/>
        <w:jc w:val="both"/>
      </w:pPr>
      <w:r>
        <w:t>Each person signing this letter agrees (1) that this agreement is entered into in the State of Arizona, (2) that Arizona law governs this agreement, and (</w:t>
      </w:r>
      <w:r w:rsidR="00CA1898">
        <w:t>3</w:t>
      </w:r>
      <w:r>
        <w:t>) each such person consents to the personal jurisdiction of the courts of Maricopa County, Arizona.</w:t>
      </w:r>
      <w:r w:rsidR="007C1374" w:rsidRPr="0080002E">
        <w:rPr>
          <w:rStyle w:val="CLALTRHiddenTextChar"/>
        </w:rPr>
        <w:t xml:space="preserve"> </w:t>
      </w:r>
      <w:r w:rsidR="007C1374">
        <w:rPr>
          <w:rStyle w:val="CLALTRHiddenTextChar"/>
        </w:rPr>
        <w:t xml:space="preserve">  </w:t>
      </w:r>
    </w:p>
    <w:p>
      <w:pPr>
        <w:pStyle w:val="CLALTRNormal"/>
        <w:jc w:val="both"/>
      </w:pPr>
      <w:r>
        <w:t xml:space="preserve">The Client further agrees that it will not hold ONYX or any other ONYX Party liable for any claim, cost, or damage, whether based on warranty, tort, contract, or other law, arising from or related to this agreement, the services provided under this agreement, the work product, or for any plans, actions, or results of this engagement, except to the extent authorized by this agreement.</w:t>
      </w:r>
    </w:p>
    <w:p>
      <w:pPr>
        <w:pStyle w:val="CLALTRNormal"/>
        <w:jc w:val="both"/>
      </w:pPr>
      <w:r>
        <w:t xml:space="preserve">To the fullest extent permitted by law, the aggregate liability of all ONYX Parties arising out of or relating to this agreement, the services provided under this agreement, or any work product delivered pursuant to this agreement, regardless of the form of action and whether based in contract, tort, negligence, strict liability, statute, fiduciary theory, or otherwise, shall not exceed the total fees actually paid by Client to ONYX under this agreement during the twelve (12) months immediately preceding the event giving rise to the claim.</w:t>
      </w:r>
    </w:p>
    <w:p>
      <w:pPr>
        <w:pStyle w:val="CLALTRNormal"/>
        <w:jc w:val="both"/>
      </w:pPr>
      <w:r>
        <w:t xml:space="preserve">In no event shall any ONYX Party be liable for any indirect, consequential, special, incidental, exemplary, enhanced, or punitive damages, including without limitation loss of profits, loss of revenue, loss of business opportunity, loss of anticipated savings, loss of data, loss of goodwill, business interruption losses, or attorneys’ fees and costs, regardless of the legal theory asserted and even if advised of the possibility of such damages.</w:t>
      </w:r>
    </w:p>
    <w:p w14:paraId="39328149" w14:textId="77777777" w:rsidR="00E45A6A" w:rsidRDefault="00E45A6A" w:rsidP="004232B8">
      <w:pPr>
        <w:pStyle w:val="CLALTRNormal"/>
        <w:jc w:val="both"/>
      </w:pPr>
    </w:p>
    <w:p w14:paraId="286BF09C" w14:textId="77777777" w:rsidR="00E45A6A" w:rsidRDefault="00E45A6A" w:rsidP="004232B8">
      <w:pPr>
        <w:pStyle w:val="CLALTRNormal"/>
        <w:jc w:val="both"/>
      </w:pPr>
    </w:p>
    <w:p w14:paraId="1BE0DCC1" w14:textId="77777777" w:rsidR="007C1374" w:rsidRDefault="007C1374" w:rsidP="004232B8">
      <w:pPr>
        <w:pStyle w:val="CLALTRHeading1"/>
        <w:jc w:val="both"/>
      </w:pPr>
      <w:r>
        <w:lastRenderedPageBreak/>
        <w:t>Time limitation</w:t>
      </w:r>
    </w:p>
    <w:p w14:paraId="1C81879F" w14:textId="4EA91225" w:rsidR="007C1374" w:rsidRDefault="007C1374" w:rsidP="004232B8">
      <w:pPr>
        <w:pStyle w:val="CLALTRNormal"/>
        <w:jc w:val="both"/>
      </w:pPr>
      <w:r>
        <w:t xml:space="preserve">The nature of our services makes it difficult, with the passage of time, to gather and present evidence that fully and fairly establishes the facts underlying any dispute that may arise between </w:t>
      </w:r>
      <w:r w:rsidR="002F6675">
        <w:t xml:space="preserve">the Client </w:t>
      </w:r>
      <w:r>
        <w:t xml:space="preserve">and any </w:t>
      </w:r>
      <w:r w:rsidR="003A2EF5">
        <w:t>ONYX</w:t>
      </w:r>
      <w:r>
        <w:t xml:space="preserve"> </w:t>
      </w:r>
      <w:r w:rsidR="002F6675">
        <w:t>P</w:t>
      </w:r>
      <w:r>
        <w:t xml:space="preserve">arty. The </w:t>
      </w:r>
      <w:r w:rsidR="002F6675">
        <w:t>Client and ONYX</w:t>
      </w:r>
      <w:r>
        <w:t xml:space="preserve"> agree that, notwithstanding any statute or law of limitations that might otherwise apply to a dispute, including one arising out of this agreement or the services performed under this agreement, for breach of contract or fiduciary duty, tort, fraud, misrepresentation or any other cause of action or remedy, any action or legal proceeding by </w:t>
      </w:r>
      <w:r w:rsidR="002F6675">
        <w:t xml:space="preserve">the Client </w:t>
      </w:r>
      <w:r>
        <w:t xml:space="preserve">against any </w:t>
      </w:r>
      <w:r w:rsidR="003A2EF5">
        <w:t>ONYX</w:t>
      </w:r>
      <w:r>
        <w:t xml:space="preserve"> </w:t>
      </w:r>
      <w:r w:rsidR="002F6675">
        <w:t>P</w:t>
      </w:r>
      <w:r>
        <w:t xml:space="preserve">arty must be commenced separately </w:t>
      </w:r>
      <w:r w:rsidRPr="0098092D">
        <w:t xml:space="preserve">within twenty-four (24) </w:t>
      </w:r>
      <w:r>
        <w:t xml:space="preserve">months after the date when </w:t>
      </w:r>
      <w:r w:rsidR="002F6675">
        <w:t xml:space="preserve">ONYX </w:t>
      </w:r>
      <w:r>
        <w:t>deliver</w:t>
      </w:r>
      <w:r w:rsidR="002F6675">
        <w:t>s</w:t>
      </w:r>
      <w:r>
        <w:t xml:space="preserve"> such services under this agreement to </w:t>
      </w:r>
      <w:r w:rsidR="002F6675">
        <w:t xml:space="preserve">the Client </w:t>
      </w:r>
      <w:r>
        <w:t>on which the dispute is based</w:t>
      </w:r>
      <w:r w:rsidR="00095922">
        <w:t xml:space="preserve"> (the “Limitation Period”)</w:t>
      </w:r>
      <w:r>
        <w:t xml:space="preserve">, regardless of whether any </w:t>
      </w:r>
      <w:r w:rsidR="003A2EF5">
        <w:t>ONYX</w:t>
      </w:r>
      <w:r>
        <w:t xml:space="preserve"> </w:t>
      </w:r>
      <w:r w:rsidR="002F6675">
        <w:t>P</w:t>
      </w:r>
      <w:r>
        <w:t xml:space="preserve">arty provides other services for </w:t>
      </w:r>
      <w:r w:rsidR="002F6675">
        <w:t xml:space="preserve">the Client </w:t>
      </w:r>
      <w:r>
        <w:t xml:space="preserve">under this agreement, or </w:t>
      </w:r>
      <w:r w:rsidR="002F6675">
        <w:t xml:space="preserve">the Client </w:t>
      </w:r>
      <w:r>
        <w:t>shall be forever barred from commencing a lawsuit or obtaining any legal or equitable relief or recovery</w:t>
      </w:r>
      <w:r w:rsidR="00095922">
        <w:t xml:space="preserve"> against any ONYX Party</w:t>
      </w:r>
      <w:r>
        <w:t>.</w:t>
      </w:r>
      <w:r w:rsidRPr="005A07F3">
        <w:t xml:space="preserve"> </w:t>
      </w:r>
    </w:p>
    <w:p w14:paraId="303C9862" w14:textId="4A812A7F" w:rsidR="007C1374" w:rsidRDefault="007C1374" w:rsidP="004232B8">
      <w:pPr>
        <w:pStyle w:val="CLALTRNormal"/>
        <w:jc w:val="both"/>
      </w:pPr>
      <w:r>
        <w:t xml:space="preserve">The Limitation Period applies and begins to run even if </w:t>
      </w:r>
      <w:r w:rsidR="002F6675">
        <w:t xml:space="preserve">the Client </w:t>
      </w:r>
      <w:r>
        <w:t>ha</w:t>
      </w:r>
      <w:r w:rsidR="002F6675">
        <w:t>s</w:t>
      </w:r>
      <w:r>
        <w:t xml:space="preserve"> not suffered any damage or loss or ha</w:t>
      </w:r>
      <w:r w:rsidR="00095922">
        <w:t>s</w:t>
      </w:r>
      <w:r>
        <w:t xml:space="preserve"> not become aware of the existence or possible existence of a dispute.</w:t>
      </w:r>
    </w:p>
    <w:p w14:paraId="140B91CF" w14:textId="77777777" w:rsidR="007C1374" w:rsidRDefault="007C1374" w:rsidP="004232B8">
      <w:pPr>
        <w:pStyle w:val="CLALTRHeading1"/>
        <w:jc w:val="both"/>
      </w:pPr>
      <w:r>
        <w:t>Other provisions</w:t>
      </w:r>
    </w:p>
    <w:p w14:paraId="1AE56CDF" w14:textId="3108C66B" w:rsidR="007C1374" w:rsidRDefault="007C1374" w:rsidP="004232B8">
      <w:pPr>
        <w:pStyle w:val="CLALTRNormal"/>
        <w:jc w:val="both"/>
      </w:pPr>
      <w:r w:rsidRPr="007466C6">
        <w:t>Except as permitted by the “Consent” section of this agreement,</w:t>
      </w:r>
      <w:r w:rsidRPr="00DD3393">
        <w:t xml:space="preserve"> </w:t>
      </w:r>
      <w:r w:rsidR="003A2EF5">
        <w:t>ONYX</w:t>
      </w:r>
      <w:r>
        <w:t xml:space="preserve"> will not disclose any confidential, proprietary, or privileged information of the entity to any persons without the </w:t>
      </w:r>
      <w:r w:rsidR="009E14AB">
        <w:t xml:space="preserve">Client’s </w:t>
      </w:r>
      <w:r>
        <w:t>authorization or unless required by law.</w:t>
      </w:r>
      <w:r w:rsidRPr="005067D8">
        <w:t xml:space="preserve"> </w:t>
      </w:r>
      <w:r>
        <w:t xml:space="preserve">This confidentiality provision does not prohibit </w:t>
      </w:r>
      <w:r w:rsidR="009E14AB">
        <w:t xml:space="preserve">ONYX </w:t>
      </w:r>
      <w:r>
        <w:t xml:space="preserve">from disclosing </w:t>
      </w:r>
      <w:r w:rsidR="009E14AB">
        <w:t xml:space="preserve">the Client’s </w:t>
      </w:r>
      <w:r>
        <w:t xml:space="preserve">information to one or more of our affiliated companies </w:t>
      </w:r>
      <w:proofErr w:type="gramStart"/>
      <w:r>
        <w:t>in order to</w:t>
      </w:r>
      <w:proofErr w:type="gramEnd"/>
      <w:r>
        <w:t xml:space="preserve"> provide services that </w:t>
      </w:r>
      <w:r w:rsidR="009E14AB">
        <w:t xml:space="preserve">the Client </w:t>
      </w:r>
      <w:r>
        <w:t>ha</w:t>
      </w:r>
      <w:r w:rsidR="009E14AB">
        <w:t>s</w:t>
      </w:r>
      <w:r>
        <w:t xml:space="preserve"> requested from </w:t>
      </w:r>
      <w:r w:rsidR="009E14AB">
        <w:t xml:space="preserve">ONYX </w:t>
      </w:r>
      <w:r>
        <w:t xml:space="preserve">or from any such affiliated company. Any such affiliated company shall be subject to the same restrictions on the use and disclosure of </w:t>
      </w:r>
      <w:r w:rsidR="009E14AB">
        <w:t xml:space="preserve">the Client’s </w:t>
      </w:r>
      <w:r>
        <w:t xml:space="preserve">information as apply to </w:t>
      </w:r>
      <w:r w:rsidR="009E14AB">
        <w:t>ONYX</w:t>
      </w:r>
      <w:r>
        <w:t>.</w:t>
      </w:r>
    </w:p>
    <w:p w14:paraId="3A4C7385" w14:textId="792FD0BD" w:rsidR="007C1374" w:rsidRDefault="009E14AB" w:rsidP="004232B8">
      <w:pPr>
        <w:pStyle w:val="CLALTRNormal"/>
        <w:jc w:val="both"/>
      </w:pPr>
      <w:r>
        <w:t xml:space="preserve">ONYX </w:t>
      </w:r>
      <w:r w:rsidR="007C1374">
        <w:t xml:space="preserve">will be responsible for </w:t>
      </w:r>
      <w:r>
        <w:t xml:space="preserve">its </w:t>
      </w:r>
      <w:r w:rsidR="007C1374">
        <w:t xml:space="preserve">property and casualty, general liability, and workers compensation insurance, taxes, professional training, and other personnel costs related to the operation of </w:t>
      </w:r>
      <w:r>
        <w:t xml:space="preserve">its </w:t>
      </w:r>
      <w:r w:rsidR="007C1374">
        <w:t xml:space="preserve">business. </w:t>
      </w:r>
    </w:p>
    <w:p w14:paraId="21F88F3C" w14:textId="62E9577F" w:rsidR="007C1374" w:rsidRDefault="007C1374" w:rsidP="004232B8">
      <w:pPr>
        <w:pStyle w:val="CLALTRNormal"/>
        <w:jc w:val="both"/>
      </w:pPr>
      <w:r>
        <w:t xml:space="preserve">When performing the services above, </w:t>
      </w:r>
      <w:r w:rsidR="009E14AB">
        <w:t xml:space="preserve">ONYX </w:t>
      </w:r>
      <w:r>
        <w:t xml:space="preserve">will utilize the resources available </w:t>
      </w:r>
      <w:r w:rsidR="009E14AB">
        <w:t xml:space="preserve">from </w:t>
      </w:r>
      <w:r>
        <w:t xml:space="preserve">the </w:t>
      </w:r>
      <w:r w:rsidR="009E14AB">
        <w:t xml:space="preserve">Client </w:t>
      </w:r>
      <w:r>
        <w:t xml:space="preserve">to the extent practical to continue development of </w:t>
      </w:r>
      <w:r w:rsidR="009E14AB">
        <w:t xml:space="preserve">the Client’s </w:t>
      </w:r>
      <w:r>
        <w:t xml:space="preserve">personnel. During a portion of </w:t>
      </w:r>
      <w:r w:rsidR="009E14AB">
        <w:t xml:space="preserve">ONYX’s </w:t>
      </w:r>
      <w:r>
        <w:t xml:space="preserve">work, </w:t>
      </w:r>
      <w:r w:rsidR="009E14AB">
        <w:t xml:space="preserve">ONYX </w:t>
      </w:r>
      <w:r>
        <w:t xml:space="preserve">may require the use of </w:t>
      </w:r>
      <w:r w:rsidR="009E14AB">
        <w:t xml:space="preserve">the Client’s </w:t>
      </w:r>
      <w:r>
        <w:t xml:space="preserve">computers. </w:t>
      </w:r>
      <w:r w:rsidR="009E14AB">
        <w:t xml:space="preserve">ONYX </w:t>
      </w:r>
      <w:r>
        <w:t>will try</w:t>
      </w:r>
      <w:r w:rsidR="00330014">
        <w:t>, but does not guarantee,</w:t>
      </w:r>
      <w:r>
        <w:t xml:space="preserve"> to give </w:t>
      </w:r>
      <w:r w:rsidR="009E14AB">
        <w:t xml:space="preserve">the Client </w:t>
      </w:r>
      <w:r>
        <w:t xml:space="preserve">advance notice and coordinate </w:t>
      </w:r>
      <w:r w:rsidR="00330014">
        <w:t xml:space="preserve">its </w:t>
      </w:r>
      <w:r>
        <w:t xml:space="preserve">use so it does not interfere with </w:t>
      </w:r>
      <w:r w:rsidR="00330014">
        <w:t xml:space="preserve">the Client’s </w:t>
      </w:r>
      <w:r>
        <w:t>employees.</w:t>
      </w:r>
    </w:p>
    <w:p w14:paraId="579BA313" w14:textId="2CCE9148" w:rsidR="007C1374" w:rsidRDefault="007C1374" w:rsidP="004232B8">
      <w:pPr>
        <w:pStyle w:val="CLALTRNormal"/>
        <w:jc w:val="both"/>
      </w:pPr>
      <w:r>
        <w:lastRenderedPageBreak/>
        <w:t xml:space="preserve">The relationship of </w:t>
      </w:r>
      <w:r w:rsidR="003A2EF5">
        <w:t>ONYX</w:t>
      </w:r>
      <w:r>
        <w:t xml:space="preserve"> </w:t>
      </w:r>
      <w:r w:rsidR="00330014">
        <w:t>with the Client</w:t>
      </w:r>
      <w:r>
        <w:t xml:space="preserve"> shall be solely that of an independent contractor</w:t>
      </w:r>
      <w:r w:rsidR="00330014">
        <w:t>,</w:t>
      </w:r>
      <w:r>
        <w:t xml:space="preserve"> and nothing in this agreement shall be construed to create or imply any relationship of employment, agency, partnership, or any relationship other than</w:t>
      </w:r>
      <w:r w:rsidR="00330014">
        <w:t xml:space="preserve"> that of</w:t>
      </w:r>
      <w:r>
        <w:t xml:space="preserve"> an independent contractor.</w:t>
      </w:r>
    </w:p>
    <w:p>
      <w:pPr>
        <w:pStyle w:val="CLALTRNormal"/>
        <w:jc w:val="both"/>
      </w:pPr>
      <w:r>
        <w:t xml:space="preserve">Accounting standards and procedures will be suggested that are consistent with those normally utilized in an entity of the Client’s size and nature. ONYX will require the Client to approve any changes in the application of accounting standards and procedures for the Client. Internal controls may be recommended relating to the safeguarding of the Client’s assets. If fraud is initiated by the Client’s employees or other service providers, any resulting losses shall be the Client’s responsibility, and the Client shall look first to its own insurance coverage.</w:t>
      </w:r>
    </w:p>
    <w:p w14:paraId="1D7B1DBA" w14:textId="27C1140B" w:rsidR="007C1374" w:rsidRDefault="007C1374" w:rsidP="004232B8">
      <w:pPr>
        <w:pStyle w:val="CLALTRNormal"/>
        <w:jc w:val="both"/>
      </w:pPr>
      <w:r>
        <w:t xml:space="preserve">The </w:t>
      </w:r>
      <w:r w:rsidR="009919E2">
        <w:t xml:space="preserve">Client </w:t>
      </w:r>
      <w:r>
        <w:t xml:space="preserve">agrees that </w:t>
      </w:r>
      <w:r w:rsidR="003A2EF5">
        <w:t>ONYX</w:t>
      </w:r>
      <w:r>
        <w:t xml:space="preserve"> will not be assuming any fiduciary responsibility on </w:t>
      </w:r>
      <w:r w:rsidR="009919E2">
        <w:t xml:space="preserve">the Client’s </w:t>
      </w:r>
      <w:r>
        <w:t xml:space="preserve">behalf </w:t>
      </w:r>
      <w:proofErr w:type="gramStart"/>
      <w:r>
        <w:t>during the course of</w:t>
      </w:r>
      <w:proofErr w:type="gramEnd"/>
      <w:r>
        <w:t xml:space="preserve"> this engagement.</w:t>
      </w:r>
    </w:p>
    <w:p w14:paraId="76E66D93" w14:textId="5B47C7C1" w:rsidR="0086240B" w:rsidRDefault="00977852" w:rsidP="004232B8">
      <w:pPr>
        <w:pStyle w:val="CLALTRNormal"/>
        <w:jc w:val="both"/>
      </w:pPr>
      <w:r>
        <w:t xml:space="preserve">The Client agrees that ONYX may communicate with the Client and its representatives (if the Client is a business entity) via electronic mail (“E-mail”) and text. The Client understands that ONYX will not encrypt or otherwise protect from interception and/or review by others E-mail </w:t>
      </w:r>
      <w:r w:rsidR="00555D21">
        <w:t>and text communications to and from the Client and ONYX unless the Client makes special arrangements with ONYX to do so. The Client consents to such communications.</w:t>
      </w:r>
    </w:p>
    <w:p w14:paraId="009E959E" w14:textId="4F6D3CC2" w:rsidR="004B1FDD" w:rsidRDefault="004B1FDD" w:rsidP="004232B8">
      <w:pPr>
        <w:pStyle w:val="CLALTRNormal"/>
        <w:jc w:val="both"/>
      </w:pPr>
      <w:r>
        <w:t>Each natural person who signs this letter in his or her individual capacity as a natural person or as a guarantor agrees to be jointly and severally liable with each other person signing this letter for the payment of ONYX’s fees and costs and personally guarantees the same. This provision does NOT apply to any natural person that signs this letter on behalf of any business entity other than a general partnership, unless the manner of signing shows that natural person’s intent to be bound individually or as a guarantor.</w:t>
      </w:r>
    </w:p>
    <w:p w14:paraId="51951EDB" w14:textId="7FA774A6" w:rsidR="000E00CC" w:rsidRDefault="000E00CC" w:rsidP="004232B8">
      <w:pPr>
        <w:pStyle w:val="CLALTRNormal"/>
        <w:jc w:val="both"/>
      </w:pPr>
      <w:r>
        <w:t xml:space="preserve">Each person that signs this letter on behalf of any Client that is a business entity, by doing so, personally represents and warrants </w:t>
      </w:r>
      <w:r w:rsidR="004D1C99">
        <w:t>to ONYX that he, she, or it has all requisite power and authority to engage ONYX and bind the business entity Client to the terms of this letter and that the Client on whose behalf the letter is signed has/have duly taken all necessary and proper corporate or other actions to engage ONYX pursuant to the terms of this letter.</w:t>
      </w:r>
    </w:p>
    <w:p>
      <w:pPr>
        <w:pStyle w:val="CLALTRNormal"/>
        <w:jc w:val="both"/>
      </w:pPr>
      <w:r>
        <w:rPr>
          <w:b/>
        </w:rPr>
        <w:t xml:space="preserve">Record retention.  </w:t>
      </w:r>
      <w:r>
        <w:t xml:space="preserve">ONYX will retain its working papers, supporting schedules, and other documentation prepared in connection with this engagement for a period of seven (7) years from the completion of the applicable services, after which ONYX may destroy or otherwise dispose of such records without further notice to the Client. Working papers and other documents prepared by ONYX in the course of the engagement remain the property of ONYX. Original records, source documents, and other materials furnished by the Client remain the property of the Client and will be returned upon written request. The Client is responsible for maintaining its own copies of its records and for meeting its own record-retention obligations. ONYX has no obligation to retain any records or data beyond the seven (7) year period and may maintain such records in electronic form.</w:t>
      </w:r>
    </w:p>
    <w:p w14:paraId="17301FF2" w14:textId="77777777" w:rsidR="007C1374" w:rsidRDefault="007C1374" w:rsidP="004232B8">
      <w:pPr>
        <w:pStyle w:val="CLALTRHeading1"/>
        <w:jc w:val="both"/>
      </w:pPr>
      <w:r>
        <w:t>Employment provision</w:t>
      </w:r>
    </w:p>
    <w:p w14:paraId="2C46434F" w14:textId="15D528C3" w:rsidR="007C1374" w:rsidRDefault="007C1374" w:rsidP="004232B8">
      <w:pPr>
        <w:pStyle w:val="CLALTRNormal"/>
        <w:jc w:val="both"/>
      </w:pPr>
      <w:proofErr w:type="gramStart"/>
      <w:r>
        <w:t>In the event that</w:t>
      </w:r>
      <w:proofErr w:type="gramEnd"/>
      <w:r>
        <w:t xml:space="preserve"> a</w:t>
      </w:r>
      <w:r w:rsidR="009919E2">
        <w:t>n</w:t>
      </w:r>
      <w:r>
        <w:t xml:space="preserve"> </w:t>
      </w:r>
      <w:r w:rsidR="003A2EF5">
        <w:t>ONYX</w:t>
      </w:r>
      <w:r>
        <w:t xml:space="preserve"> employee is solicited to work in a position as an employee of the </w:t>
      </w:r>
      <w:r w:rsidR="009919E2">
        <w:t>Client</w:t>
      </w:r>
      <w:r>
        <w:t xml:space="preserve">, and </w:t>
      </w:r>
      <w:proofErr w:type="gramStart"/>
      <w:r>
        <w:t>in the event that</w:t>
      </w:r>
      <w:proofErr w:type="gramEnd"/>
      <w:r>
        <w:t xml:space="preserve"> the </w:t>
      </w:r>
      <w:r w:rsidR="003A2EF5">
        <w:t>ONYX</w:t>
      </w:r>
      <w:r>
        <w:t xml:space="preserve"> employee accepts the position of employment with the entity, the following conditions will apply:</w:t>
      </w:r>
    </w:p>
    <w:p w14:paraId="1E90F09D" w14:textId="63FB1AA2" w:rsidR="007C1374" w:rsidRDefault="003A2EF5" w:rsidP="004232B8">
      <w:pPr>
        <w:pStyle w:val="CLALTRNormal"/>
        <w:numPr>
          <w:ilvl w:val="0"/>
          <w:numId w:val="16"/>
        </w:numPr>
        <w:jc w:val="both"/>
      </w:pPr>
      <w:r>
        <w:t>ONYX</w:t>
      </w:r>
      <w:r w:rsidR="007C1374">
        <w:t xml:space="preserve"> will require a four-week notice period </w:t>
      </w:r>
      <w:proofErr w:type="gramStart"/>
      <w:r w:rsidR="007C1374">
        <w:t>subsequent to</w:t>
      </w:r>
      <w:proofErr w:type="gramEnd"/>
      <w:r w:rsidR="007C1374">
        <w:t xml:space="preserve"> the employee’s written notice to </w:t>
      </w:r>
      <w:r>
        <w:t>ONYX</w:t>
      </w:r>
      <w:r w:rsidR="007C1374">
        <w:t>, and</w:t>
      </w:r>
    </w:p>
    <w:p w14:paraId="396B7261" w14:textId="2D896F4C" w:rsidR="007C1374" w:rsidRDefault="007C1374" w:rsidP="004232B8">
      <w:pPr>
        <w:pStyle w:val="CLALTRNormal"/>
        <w:numPr>
          <w:ilvl w:val="0"/>
          <w:numId w:val="16"/>
        </w:numPr>
        <w:jc w:val="both"/>
      </w:pPr>
      <w:r>
        <w:t xml:space="preserve">The </w:t>
      </w:r>
      <w:r w:rsidR="009919E2">
        <w:t xml:space="preserve">Client </w:t>
      </w:r>
      <w:r>
        <w:t xml:space="preserve">will be required to pay an employment fee of </w:t>
      </w:r>
      <w:r w:rsidRPr="00271CD6">
        <w:rPr/>
        <w:t>$200,000 for the CFO, $150,000 for the controller, and $100,000 for the staff</w:t>
      </w:r>
      <w:r>
        <w:t xml:space="preserve"> to </w:t>
      </w:r>
      <w:r w:rsidR="003A2EF5">
        <w:t>ONYX</w:t>
      </w:r>
      <w:r>
        <w:t xml:space="preserve"> immediately upon receipt of this notice.</w:t>
      </w:r>
    </w:p>
    <w:p w14:paraId="6A0FC7AE" w14:textId="0C7F81C4" w:rsidR="007C1374" w:rsidRDefault="007C1374" w:rsidP="004232B8">
      <w:pPr>
        <w:pStyle w:val="CLALTRNormal"/>
        <w:jc w:val="both"/>
      </w:pPr>
      <w:r>
        <w:t xml:space="preserve">If any former </w:t>
      </w:r>
      <w:r w:rsidR="003A2EF5">
        <w:t>ONYX</w:t>
      </w:r>
      <w:r>
        <w:t xml:space="preserve"> employee shall be hired as an employee</w:t>
      </w:r>
      <w:r w:rsidR="00A93B5D">
        <w:t xml:space="preserve"> of the </w:t>
      </w:r>
      <w:proofErr w:type="spellStart"/>
      <w:r w:rsidR="00A93B5D">
        <w:t>Client</w:t>
      </w:r>
      <w:proofErr w:type="spellEnd"/>
      <w:r>
        <w:t xml:space="preserve"> within</w:t>
      </w:r>
      <w:r w:rsidR="00065F5C">
        <w:t xml:space="preserve"> ninety</w:t>
      </w:r>
      <w:r>
        <w:t xml:space="preserve"> </w:t>
      </w:r>
      <w:r w:rsidR="00065F5C">
        <w:t>(</w:t>
      </w:r>
      <w:r>
        <w:t>90</w:t>
      </w:r>
      <w:r w:rsidR="00065F5C">
        <w:t>)</w:t>
      </w:r>
      <w:r>
        <w:t xml:space="preserve"> days of leaving </w:t>
      </w:r>
      <w:r w:rsidR="003A2EF5">
        <w:t>ONYX</w:t>
      </w:r>
      <w:r>
        <w:t xml:space="preserve">, there shall be a rebuttable presumption that the </w:t>
      </w:r>
      <w:r w:rsidR="003A2EF5">
        <w:t>ONYX</w:t>
      </w:r>
      <w:r>
        <w:t xml:space="preserve"> employee was solicited to work as an employee of the </w:t>
      </w:r>
      <w:r w:rsidR="00827BEB">
        <w:t xml:space="preserve">Client, </w:t>
      </w:r>
      <w:r>
        <w:t xml:space="preserve">and the above fee shall be payable to </w:t>
      </w:r>
      <w:r w:rsidR="003A2EF5">
        <w:t>ONYX</w:t>
      </w:r>
      <w:r w:rsidR="005D4884">
        <w:t xml:space="preserve"> from the Client</w:t>
      </w:r>
      <w:r>
        <w:t>.</w:t>
      </w:r>
    </w:p>
    <w:p w14:paraId="7A6C533F" w14:textId="77777777" w:rsidR="007C1374" w:rsidRPr="007466C6" w:rsidRDefault="007C1374" w:rsidP="004232B8">
      <w:pPr>
        <w:pStyle w:val="CLALTRHeading1"/>
        <w:jc w:val="both"/>
      </w:pPr>
      <w:r w:rsidRPr="007466C6">
        <w:lastRenderedPageBreak/>
        <w:t>Consent</w:t>
      </w:r>
    </w:p>
    <w:p w14:paraId="28C28D73" w14:textId="77777777" w:rsidR="007C1374" w:rsidRPr="007C62AB" w:rsidRDefault="007C1374" w:rsidP="004232B8">
      <w:pPr>
        <w:pStyle w:val="CLALTRHeading2"/>
        <w:jc w:val="both"/>
        <w:rPr>
          <w:highlight w:val="yellow"/>
        </w:rPr>
      </w:pPr>
      <w:r w:rsidRPr="007C62AB">
        <w:rPr/>
        <w:t>Subcontractors</w:t>
      </w:r>
      <w:r w:rsidRPr="005067D8">
        <w:rPr>
          <w:rStyle w:val="CLALTRHiddenTextChar"/>
        </w:rPr>
        <w:t xml:space="preserve">    </w:t>
      </w:r>
    </w:p>
    <w:p w14:paraId="42041554" w14:textId="6A85CB98" w:rsidR="007C1374" w:rsidRDefault="003A2EF5" w:rsidP="004232B8">
      <w:pPr>
        <w:pStyle w:val="CLALTRNormal"/>
        <w:jc w:val="both"/>
      </w:pPr>
      <w:r>
        <w:rPr/>
        <w:t>ONYX</w:t>
      </w:r>
      <w:r w:rsidR="007C1374" w:rsidRPr="007C62AB">
        <w:rPr/>
        <w:t xml:space="preserve"> may, at times, use subcontractors to perform services under this agreement, and </w:t>
      </w:r>
      <w:r w:rsidR="00174820">
        <w:rPr/>
        <w:t>said subcontractors</w:t>
      </w:r>
      <w:r w:rsidR="00174820" w:rsidRPr="007C62AB">
        <w:rPr/>
        <w:t xml:space="preserve"> </w:t>
      </w:r>
      <w:r w:rsidR="007C1374" w:rsidRPr="007C62AB">
        <w:rPr/>
        <w:t xml:space="preserve">may have access to </w:t>
      </w:r>
      <w:r w:rsidR="00174820">
        <w:rPr/>
        <w:t>the Client’s</w:t>
      </w:r>
      <w:r w:rsidR="00174820" w:rsidRPr="007C62AB">
        <w:rPr/>
        <w:t xml:space="preserve"> </w:t>
      </w:r>
      <w:r w:rsidR="007C1374" w:rsidRPr="007C62AB">
        <w:rPr/>
        <w:t xml:space="preserve">information and records. Any such subcontractors will be subject to the same restrictions on the use of such information and records as apply to </w:t>
      </w:r>
      <w:r>
        <w:rPr/>
        <w:t>ONYX</w:t>
      </w:r>
      <w:r w:rsidR="007C1374" w:rsidRPr="007C62AB">
        <w:rPr/>
        <w:t xml:space="preserve"> under this agreement.</w:t>
      </w:r>
    </w:p>
    <w:p w14:paraId="31B31926" w14:textId="77777777" w:rsidR="007C1374" w:rsidRDefault="007C1374" w:rsidP="004232B8">
      <w:pPr>
        <w:pStyle w:val="CLALTRHeading2"/>
        <w:jc w:val="both"/>
      </w:pPr>
      <w:r>
        <w:t>Technology</w:t>
      </w:r>
    </w:p>
    <w:p>
      <w:pPr>
        <w:pStyle w:val="CLALTRNormal"/>
        <w:jc w:val="both"/>
      </w:pPr>
      <w:r>
        <w:t xml:space="preserve">ONYX may use third-party software, cloud-based platforms, and advanced technologies, including automated data processing and artificial intelligence tools, to assist in delivering services under this agreement. The Client acknowledges and authorizes ONYX to share and process the Client’s data with such providers as necessary to perform the services. These providers may have access to the Client’s data solely for the purpose of supporting ONYX’s service delivery. ONYX uses commercially reasonable efforts to select and maintain service providers with appropriate data security and confidentiality standards.</w:t>
      </w:r>
    </w:p>
    <w:p>
      <w:pPr>
        <w:pStyle w:val="CLALTRNormal"/>
        <w:jc w:val="both"/>
      </w:pPr>
      <w:r>
        <w:t xml:space="preserve">The Client authorizes ONYX to sign on the Client’s behalf any vendor agreements applicable to such software applications, and ONYX shall provide a copy of the application agreement at the Client’s request.</w:t>
      </w:r>
    </w:p>
    <w:p>
      <w:pPr>
        <w:pStyle w:val="CLALTRNormal"/>
        <w:jc w:val="both"/>
      </w:pPr>
      <w:r>
        <w:t xml:space="preserve">Client acknowledges that ONYX may access Client’s accounting systems, banking platforms, payroll systems, software applications, cloud-based services, and other technology systems as reasonably necessary to perform the services described in this agreement. Client shall remain solely responsible for maintaining the security of its systems, credentials, access permissions, authentication controls, network infrastructure, and data.</w:t>
      </w:r>
    </w:p>
    <w:p>
      <w:pPr>
        <w:pStyle w:val="CLALTRNormal"/>
        <w:jc w:val="both"/>
      </w:pPr>
      <w:r>
        <w:t xml:space="preserve">Client acknowledges that cyber incidents, phishing attacks, social engineering events, credential compromise, malware, ransomware, unauthorized access, and failures of third-party technology providers may occur despite reasonable safeguards. Except to the extent resulting from ONYX’s gross negligence or willful misconduct, ONYX shall not be responsible for any loss, theft, alteration, corruption, disclosure, or unauthorized access to Client data, funds, systems, or information arising from such events.</w:t>
      </w:r>
    </w:p>
    <w:p>
      <w:pPr>
        <w:pStyle w:val="CLALTRNormal"/>
        <w:jc w:val="both"/>
      </w:pPr>
      <w:r>
        <w:t xml:space="preserve">Client further acknowledges that ONYX may rely upon electronic communications, system credentials, approvals, instructions, and authorizations reasonably believed by ONYX to have originated from authorized Client representatives, and ONYX shall have no liability for actions taken in reasonable reliance upon such communications or instructions.</w:t>
      </w:r>
    </w:p>
    <w:p w14:paraId="054F9563" w14:textId="65890C87" w:rsidR="007C1374" w:rsidRDefault="007C1374" w:rsidP="004232B8">
      <w:pPr>
        <w:pStyle w:val="CLALTRHeading1"/>
        <w:jc w:val="both"/>
      </w:pPr>
      <w:r>
        <w:t>Agreement</w:t>
      </w:r>
    </w:p>
    <w:p w14:paraId="5922A1AC" w14:textId="25F57959" w:rsidR="007C1374" w:rsidRDefault="007C1374" w:rsidP="004232B8">
      <w:pPr>
        <w:pStyle w:val="CLALTRNormal"/>
        <w:jc w:val="both"/>
      </w:pPr>
      <w:r>
        <w:t xml:space="preserve">We appreciate the opportunity to be of service to </w:t>
      </w:r>
      <w:r w:rsidR="00185868">
        <w:t xml:space="preserve">the Client </w:t>
      </w:r>
      <w:r>
        <w:t xml:space="preserve">and believe this letter accurately summarizes the significant terms of </w:t>
      </w:r>
      <w:r w:rsidR="00185868">
        <w:t xml:space="preserve">ONYX’s </w:t>
      </w:r>
      <w:r>
        <w:t xml:space="preserve">engagement. This letter constitutes the entire agreement regarding these services and supersedes all prior agreements (whether oral or written), understandings, negotiations, and discussions between </w:t>
      </w:r>
      <w:r w:rsidR="00185868">
        <w:t xml:space="preserve">the Client </w:t>
      </w:r>
      <w:r>
        <w:t xml:space="preserve">and </w:t>
      </w:r>
      <w:r w:rsidR="003A2EF5">
        <w:t>ONYX</w:t>
      </w:r>
      <w:r>
        <w:t xml:space="preserve">. If you have any questions, please let us know. If you agree with the terms of </w:t>
      </w:r>
      <w:r w:rsidR="00185868">
        <w:t xml:space="preserve">ONYX’s </w:t>
      </w:r>
      <w:r>
        <w:t xml:space="preserve">engagement as described in this letter, please sign, date, and return </w:t>
      </w:r>
      <w:r w:rsidR="001216A9">
        <w:t xml:space="preserve">a </w:t>
      </w:r>
      <w:r>
        <w:t>signed copy</w:t>
      </w:r>
      <w:r w:rsidR="00F662F4">
        <w:t xml:space="preserve"> of this letter</w:t>
      </w:r>
      <w:r>
        <w:t xml:space="preserve"> to </w:t>
      </w:r>
      <w:r w:rsidR="00661DB5">
        <w:t>our office</w:t>
      </w:r>
      <w:r>
        <w:t>.</w:t>
      </w:r>
    </w:p>
    <w:p w14:paraId="20A131DB" w14:textId="77777777" w:rsidR="007C1374" w:rsidRDefault="007C1374" w:rsidP="007C1374">
      <w:pPr>
        <w:pStyle w:val="CLALTRNormal"/>
      </w:pPr>
      <w:r>
        <w:t>Sincerely,</w:t>
      </w:r>
    </w:p>
    <w:p w14:paraId="63026763" w14:textId="77777777" w:rsidR="007C1374" w:rsidRDefault="004C42A1" w:rsidP="007C1374">
      <w:pPr>
        <w:pStyle w:val="CLALTRSignLine"/>
      </w:pPr>
      <w:r>
        <w:t>Onyx Accounting Group</w:t>
      </w:r>
    </w:p>
    <w:p w14:paraId="6E453015" w14:textId="77777777" w:rsidR="007C1374" w:rsidRDefault="007C1374" w:rsidP="007C1374">
      <w:pPr>
        <w:pStyle w:val="CLALTRAddressorSignature"/>
      </w:pPr>
    </w:p>
    <w:p w14:paraId="6F527DC7" w14:textId="77777777" w:rsidR="007C1374" w:rsidRDefault="007C1374" w:rsidP="007C1374">
      <w:pPr>
        <w:pStyle w:val="CLALTRAddressorSignature"/>
      </w:pPr>
    </w:p>
    <w:p w14:paraId="4AB027B7" w14:textId="77777777" w:rsidR="007C1374" w:rsidRDefault="007C1374" w:rsidP="007C1374">
      <w:pPr>
        <w:pStyle w:val="CLALTRAddressorSignature"/>
      </w:pPr>
    </w:p>
    <w:p w14:paraId="62F06B06" w14:textId="77777777" w:rsidR="007C1374" w:rsidRDefault="004C42A1" w:rsidP="007C1374">
      <w:pPr>
        <w:pStyle w:val="CLALTRAddressorSignature"/>
      </w:pPr>
      <w:r>
        <w:t>Steven Nikolov</w:t>
      </w:r>
    </w:p>
    <w:p w14:paraId="3C46B353" w14:textId="77777777" w:rsidR="007C1374" w:rsidRDefault="004C42A1" w:rsidP="007C1374">
      <w:pPr>
        <w:pStyle w:val="CLALTRAddressorSignature"/>
      </w:pPr>
      <w:r>
        <w:t>Principal</w:t>
      </w:r>
    </w:p>
    <w:p w14:paraId="7F5A5170" w14:textId="77777777" w:rsidR="007C1374" w:rsidRDefault="004C42A1" w:rsidP="007C1374">
      <w:pPr>
        <w:pStyle w:val="CLALTRAddressorSignature"/>
      </w:pPr>
      <w:r>
        <w:t>480-442-3119</w:t>
      </w:r>
    </w:p>
    <w:p w14:paraId="46F3312B" w14:textId="77777777" w:rsidR="007C1374" w:rsidRPr="004C42A1" w:rsidRDefault="004C42A1" w:rsidP="007C1374">
      <w:pPr>
        <w:pStyle w:val="CLALTRAddressorSignature"/>
      </w:pPr>
      <w:hyperlink r:id="rId12" w:history="1">
        <w:r w:rsidRPr="004C42A1">
          <w:rPr>
            <w:rStyle w:val="Hyperlink"/>
            <w:color w:val="auto"/>
          </w:rPr>
          <w:t>Steven@onyxCFO.com</w:t>
        </w:r>
      </w:hyperlink>
    </w:p>
    <w:p w14:paraId="7AB225A5" w14:textId="77777777" w:rsidR="007C1374" w:rsidRPr="00EE6E5B" w:rsidRDefault="007C1374" w:rsidP="007C1374">
      <w:pPr>
        <w:pStyle w:val="CLALTRAddressorSignature"/>
      </w:pPr>
    </w:p>
    <w:p w14:paraId="6F413F19" w14:textId="77777777" w:rsidR="00E45A6A" w:rsidRDefault="00E45A6A" w:rsidP="007C1374">
      <w:pPr>
        <w:pStyle w:val="CLALTRHeading1"/>
      </w:pPr>
    </w:p>
    <w:p w14:paraId="0D154C96" w14:textId="77777777" w:rsidR="00E45A6A" w:rsidRDefault="00E45A6A" w:rsidP="007C1374">
      <w:pPr>
        <w:pStyle w:val="CLALTRHeading1"/>
      </w:pPr>
    </w:p>
    <w:p w14:paraId="3B2B3C63" w14:textId="77777777" w:rsidR="00E45A6A" w:rsidRDefault="00E45A6A" w:rsidP="007C1374">
      <w:pPr>
        <w:pStyle w:val="CLALTRHeading1"/>
      </w:pPr>
    </w:p>
    <w:p w14:paraId="255E4654" w14:textId="77777777" w:rsidR="00E45A6A" w:rsidRDefault="00E45A6A" w:rsidP="007C1374">
      <w:pPr>
        <w:pStyle w:val="CLALTRHeading1"/>
      </w:pPr>
    </w:p>
    <w:p w14:paraId="680BA1B2" w14:textId="77777777" w:rsidR="00E45A6A" w:rsidRDefault="00E45A6A" w:rsidP="007C1374">
      <w:pPr>
        <w:pStyle w:val="CLALTRHeading1"/>
      </w:pPr>
    </w:p>
    <w:p w14:paraId="59101374" w14:textId="77777777" w:rsidR="00E45A6A" w:rsidRDefault="00E45A6A" w:rsidP="007C1374">
      <w:pPr>
        <w:pStyle w:val="CLALTRHeading1"/>
      </w:pPr>
    </w:p>
    <w:p w14:paraId="5A59A2FA" w14:textId="77777777" w:rsidR="00E45A6A" w:rsidRDefault="00E45A6A" w:rsidP="007C1374">
      <w:pPr>
        <w:pStyle w:val="CLALTRHeading1"/>
      </w:pPr>
    </w:p>
    <w:p w14:paraId="108CC59B" w14:textId="77777777" w:rsidR="00E45A6A" w:rsidRDefault="00E45A6A" w:rsidP="007C1374">
      <w:pPr>
        <w:pStyle w:val="CLALTRHeading1"/>
      </w:pPr>
    </w:p>
    <w:p w14:paraId="00C9F634" w14:textId="77777777" w:rsidR="00E45A6A" w:rsidRDefault="00E45A6A" w:rsidP="007C1374">
      <w:pPr>
        <w:pStyle w:val="CLALTRHeading1"/>
      </w:pPr>
    </w:p>
    <w:p w14:paraId="1D2A25A5" w14:textId="77777777" w:rsidR="00E45A6A" w:rsidRDefault="00E45A6A" w:rsidP="007C1374">
      <w:pPr>
        <w:pStyle w:val="CLALTRHeading1"/>
      </w:pPr>
    </w:p>
    <w:p w14:paraId="15051C1D" w14:textId="77777777" w:rsidR="00E45A6A" w:rsidRDefault="00E45A6A" w:rsidP="007C1374">
      <w:pPr>
        <w:pStyle w:val="CLALTRHeading1"/>
      </w:pPr>
    </w:p>
    <w:p w14:paraId="1F5B21C8" w14:textId="331DB067" w:rsidR="007C1374" w:rsidRDefault="007C1374" w:rsidP="007C1374">
      <w:pPr>
        <w:pStyle w:val="CLALTRHeading1"/>
      </w:pPr>
      <w:r>
        <w:lastRenderedPageBreak/>
        <w:t>Response:</w:t>
      </w:r>
    </w:p>
    <w:p w14:paraId="062BAC6F" w14:textId="77777777" w:rsidR="007C1374" w:rsidRDefault="007C1374" w:rsidP="007C1374">
      <w:pPr>
        <w:pStyle w:val="CLALTRNormal"/>
      </w:pPr>
      <w:r>
        <w:t>This letter correctly sets forth the understanding of The Joseph Thomas Lucero Living Trust dtd 01/18/2024.</w:t>
      </w:r>
    </w:p>
    <w:p w14:paraId="5DBD335C" w14:textId="77777777" w:rsidR="007C1374" w:rsidRDefault="007C1374" w:rsidP="007C1374">
      <w:pPr>
        <w:pStyle w:val="CLALTRNormal"/>
      </w:pPr>
    </w:p>
    <w:p w14:paraId="3E6843D0" w14:textId="553D1369" w:rsidR="007C1374" w:rsidRDefault="007C1374" w:rsidP="007C1374">
      <w:pPr>
        <w:pStyle w:val="CLALTRNormal"/>
      </w:pPr>
      <w:r>
        <w:t xml:space="preserve">Authorized </w:t>
      </w:r>
      <w:r w:rsidR="00E44855">
        <w:t xml:space="preserve">Client </w:t>
      </w:r>
      <w:r>
        <w:t xml:space="preserve">signature: </w:t>
      </w:r>
      <w:r w:rsidRPr="00EE6E5B">
        <w:rPr>
          <w:u w:val="single"/>
        </w:rPr>
        <w:tab/>
      </w:r>
      <w:r w:rsidRPr="00EE6E5B">
        <w:rPr>
          <w:u w:val="single"/>
        </w:rPr>
        <w:tab/>
      </w:r>
      <w:r w:rsidRPr="00EE6E5B">
        <w:rPr>
          <w:u w:val="single"/>
        </w:rPr>
        <w:tab/>
      </w:r>
      <w:r>
        <w:rPr>
          <w:u w:val="single"/>
        </w:rPr>
        <w:tab/>
      </w:r>
      <w:r w:rsidRPr="00EE6E5B">
        <w:rPr>
          <w:u w:val="single"/>
        </w:rPr>
        <w:tab/>
      </w:r>
      <w:r w:rsidRPr="00EE6E5B">
        <w:rPr>
          <w:u w:val="single"/>
        </w:rPr>
        <w:tab/>
      </w:r>
      <w:r w:rsidR="00214BB0">
        <w:rPr>
          <w:u w:val="single"/>
        </w:rPr>
        <w:tab/>
      </w:r>
      <w:r w:rsidRPr="00EE6E5B">
        <w:rPr>
          <w:u w:val="single"/>
        </w:rPr>
        <w:tab/>
      </w:r>
    </w:p>
    <w:p w14:paraId="77993F31" w14:textId="77777777" w:rsidR="007C1374" w:rsidRDefault="007C1374" w:rsidP="007C1374">
      <w:pPr>
        <w:pStyle w:val="CLALTRNormal"/>
      </w:pPr>
      <w:r>
        <w:t>Title:  Trustee</w:t>
      </w:r>
    </w:p>
    <w:p w14:paraId="4D1A3C0D" w14:textId="77777777" w:rsidR="007C1374" w:rsidRDefault="007C1374" w:rsidP="007C1374">
      <w:pPr>
        <w:pStyle w:val="CLALTRNormal"/>
        <w:rPr>
          <w:u w:val="single"/>
        </w:rPr>
      </w:pPr>
      <w:r>
        <w:t xml:space="preserve">Date: </w:t>
      </w:r>
      <w:r w:rsidRPr="00EE6E5B">
        <w:rPr>
          <w:u w:val="single"/>
        </w:rPr>
        <w:tab/>
      </w:r>
      <w:r w:rsidRPr="00EE6E5B">
        <w:rPr>
          <w:u w:val="single"/>
        </w:rPr>
        <w:tab/>
      </w:r>
      <w:r w:rsidRPr="00EE6E5B">
        <w:rPr>
          <w:u w:val="single"/>
        </w:rPr>
        <w:tab/>
      </w:r>
      <w:r w:rsidRPr="00EE6E5B">
        <w:rPr>
          <w:u w:val="single"/>
        </w:rPr>
        <w:tab/>
      </w:r>
      <w:r w:rsidRPr="00EE6E5B">
        <w:rPr>
          <w:u w:val="single"/>
        </w:rPr>
        <w:tab/>
      </w:r>
      <w:r>
        <w:rPr>
          <w:u w:val="single"/>
        </w:rPr>
        <w:tab/>
      </w:r>
      <w:r>
        <w:rPr>
          <w:u w:val="single"/>
        </w:rPr>
        <w:tab/>
      </w:r>
      <w:r>
        <w:rPr>
          <w:u w:val="single"/>
        </w:rPr>
        <w:tab/>
      </w:r>
      <w:r w:rsidRPr="00EE6E5B">
        <w:rPr>
          <w:u w:val="single"/>
        </w:rPr>
        <w:tab/>
      </w:r>
      <w:r w:rsidRPr="00EE6E5B">
        <w:rPr>
          <w:u w:val="single"/>
        </w:rPr>
        <w:tab/>
      </w:r>
      <w:r w:rsidRPr="00EE6E5B">
        <w:rPr>
          <w:u w:val="single"/>
        </w:rPr>
        <w:tab/>
      </w:r>
    </w:p>
    <w:p w14:paraId="027EA54E" w14:textId="77777777" w:rsidR="007C1374" w:rsidRPr="00E35680" w:rsidRDefault="007C1374" w:rsidP="00A05844">
      <w:pPr>
        <w:pStyle w:val="CLALTRHiddenText"/>
      </w:pPr>
    </w:p>
    <w:p w14:paraId="048F6B1A" w14:textId="77777777" w:rsidR="00E35680" w:rsidRDefault="00E35680" w:rsidP="00A05844">
      <w:pPr>
        <w:pStyle w:val="CLALTRHiddenText"/>
        <w:sectPr w:rsidR="00E35680" w:rsidSect="00E35680">
          <w:headerReference w:type="default" r:id="rId13"/>
          <w:footerReference w:type="default" r:id="rId14"/>
          <w:footerReference w:type="first" r:id="rId15"/>
          <w:endnotePr>
            <w:numFmt w:val="decimal"/>
          </w:endnotePr>
          <w:pgSz w:w="12240" w:h="15840" w:code="1"/>
          <w:pgMar w:top="2304" w:right="1080" w:bottom="1440" w:left="1080" w:header="720" w:footer="576" w:gutter="0"/>
          <w:cols w:space="720"/>
          <w:titlePg/>
          <w:docGrid w:linePitch="299"/>
        </w:sectPr>
      </w:pPr>
    </w:p>
    <w:p w14:paraId="0D0C723B" w14:textId="77777777" w:rsidR="00E35680" w:rsidRDefault="00E35680" w:rsidP="00E35680">
      <w:pPr>
        <w:pStyle w:val="CLALTRHiddenText"/>
      </w:pPr>
    </w:p>
    <w:sectPr w:rsidR="00E35680" w:rsidRPr="00EE6E5B" w:rsidSect="00E35680">
      <w:headerReference w:type="default" r:id="rId16"/>
      <w:endnotePr>
        <w:numFmt w:val="decimal"/>
      </w:endnotePr>
      <w:pgSz w:w="12240" w:h="15840" w:code="1"/>
      <w:pgMar w:top="1440" w:right="1440" w:bottom="1440" w:left="1440" w:header="720" w:footer="576"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F31480" w14:textId="77777777" w:rsidR="006A0726" w:rsidRPr="00B33CEA" w:rsidRDefault="006A0726" w:rsidP="00B33CEA">
      <w:pPr>
        <w:pStyle w:val="CLALTRHiddenText"/>
      </w:pPr>
    </w:p>
  </w:endnote>
  <w:endnote w:type="continuationSeparator" w:id="0">
    <w:p w14:paraId="7F3D584F" w14:textId="77777777" w:rsidR="006A0726" w:rsidRDefault="006A0726" w:rsidP="005F17E8">
      <w:pPr>
        <w:pStyle w:val="CLALTRHiddenText"/>
      </w:pPr>
    </w:p>
  </w:endnote>
  <w:endnote w:type="continuationNotice" w:id="1">
    <w:p w14:paraId="7E5A2BCC" w14:textId="77777777" w:rsidR="006A0726" w:rsidRPr="00B33CEA" w:rsidRDefault="006A0726" w:rsidP="005F17E8">
      <w:pPr>
        <w:pStyle w:val="CLALTRHiddenText"/>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w:altName w:val="Times"/>
    <w:panose1 w:val="02020603050405020304"/>
    <w:charset w:val="00"/>
    <w:family w:val="auto"/>
    <w:pitch w:val="variable"/>
    <w:sig w:usb0="E00002FF" w:usb1="5000205A"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onsolas">
    <w:panose1 w:val="020B0609020204030204"/>
    <w:charset w:val="00"/>
    <w:family w:val="modern"/>
    <w:pitch w:val="fixed"/>
    <w:sig w:usb0="E00006FF" w:usb1="0000FCFF" w:usb2="00000001" w:usb3="00000000" w:csb0="0000019F" w:csb1="00000000"/>
  </w:font>
  <w:font w:name="Corbel">
    <w:panose1 w:val="020B0503020204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28B1C6" w14:textId="77777777" w:rsidR="0075719D" w:rsidRDefault="0075719D" w:rsidP="00093643">
    <w:pPr>
      <w:pStyle w:val="CLAProFooter"/>
    </w:pPr>
    <w:r w:rsidRPr="0088412E">
      <w:rPr>
        <w:rFonts w:ascii="Arial" w:hAnsi="Arial" w:cs="Arial"/>
        <w:sz w:val="15"/>
        <w:szCs w:val="15"/>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40B6D0" w14:textId="77777777" w:rsidR="00F35FA7" w:rsidRPr="0061743D" w:rsidRDefault="00F35FA7" w:rsidP="0061743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50CF8" w14:textId="77777777" w:rsidR="00F35FA7" w:rsidRPr="007C1374" w:rsidRDefault="00F35FA7" w:rsidP="007C13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B7FA21" w14:textId="77777777" w:rsidR="006A0726" w:rsidRDefault="006A0726" w:rsidP="0088412E">
      <w:r>
        <w:separator/>
      </w:r>
    </w:p>
  </w:footnote>
  <w:footnote w:type="continuationSeparator" w:id="0">
    <w:p w14:paraId="6350E00F" w14:textId="77777777" w:rsidR="006A0726" w:rsidRDefault="006A0726" w:rsidP="008841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D6B00" w14:textId="77777777" w:rsidR="00B75DEC" w:rsidRDefault="00B75DEC" w:rsidP="00B75DEC">
    <w:pPr>
      <w:pStyle w:val="CLALTRHeaderorFooter"/>
    </w:pPr>
    <w:r>
      <w:fldChar w:fldCharType="begin"/>
    </w:r>
    <w:r>
      <w:instrText xml:space="preserve">MACROBUTTON NoMacro [Click </w:instrText>
    </w:r>
    <w:r>
      <w:rPr>
        <w:b/>
      </w:rPr>
      <w:instrText>here</w:instrText>
    </w:r>
    <w:r>
      <w:instrText xml:space="preserve"> and type date]</w:instrText>
    </w:r>
    <w:r>
      <w:fldChar w:fldCharType="end"/>
    </w:r>
  </w:p>
  <w:p w14:paraId="30CEA7D5" w14:textId="77777777" w:rsidR="00B75DEC" w:rsidRDefault="00B75DEC" w:rsidP="00B75DEC">
    <w:pPr>
      <w:pStyle w:val="CLALTRHeaderorFooter"/>
    </w:pPr>
    <w:r>
      <w:fldChar w:fldCharType="begin"/>
    </w:r>
    <w:r>
      <w:instrText xml:space="preserve">MACROBUTTON NoMacro [Click </w:instrText>
    </w:r>
    <w:r>
      <w:rPr>
        <w:b/>
      </w:rPr>
      <w:instrText>here</w:instrText>
    </w:r>
    <w:r>
      <w:instrText xml:space="preserve"> and type organization]</w:instrText>
    </w:r>
    <w:r>
      <w:fldChar w:fldCharType="end"/>
    </w:r>
  </w:p>
  <w:p w14:paraId="03095F23" w14:textId="77777777" w:rsidR="007B4260" w:rsidRDefault="00B75DEC" w:rsidP="00B75DEC">
    <w:pPr>
      <w:pStyle w:val="CLALTRHeaderorFooter"/>
    </w:pPr>
    <w:r w:rsidRPr="00D31720">
      <w:t xml:space="preserve">Page </w:t>
    </w:r>
    <w:r>
      <w:fldChar w:fldCharType="begin"/>
    </w:r>
    <w:r>
      <w:instrText xml:space="preserve"> PAGE </w:instrText>
    </w:r>
    <w:r>
      <w:fldChar w:fldCharType="separate"/>
    </w:r>
    <w:r w:rsidR="00C53667">
      <w:rPr>
        <w:noProof/>
      </w:rPr>
      <w:t>2</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21C95" w14:textId="77777777" w:rsidR="00B92DB9" w:rsidRDefault="00B92DB9" w:rsidP="00B92DB9">
    <w:pPr>
      <w:pStyle w:val="Header"/>
      <w:jc w:val="center"/>
    </w:pPr>
    <w:r>
      <w:rPr>
        <w:noProof/>
      </w:rPr>
      <w:drawing>
        <wp:inline distT="0" distB="0" distL="0" distR="0" wp14:anchorId="7A3DE566" wp14:editId="339671B7">
          <wp:extent cx="1848734" cy="876300"/>
          <wp:effectExtent l="0" t="0" r="571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
                    <a:extLst>
                      <a:ext uri="{28A0092B-C50C-407E-A947-70E740481C1C}">
                        <a14:useLocalDpi xmlns:a14="http://schemas.microsoft.com/office/drawing/2010/main" val="0"/>
                      </a:ext>
                    </a:extLst>
                  </a:blip>
                  <a:stretch>
                    <a:fillRect/>
                  </a:stretch>
                </pic:blipFill>
                <pic:spPr>
                  <a:xfrm>
                    <a:off x="0" y="0"/>
                    <a:ext cx="1848734" cy="87630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EF75B" w14:textId="77777777" w:rsidR="007C1374" w:rsidRDefault="007C1374" w:rsidP="007C1374">
    <w:pPr>
      <w:pStyle w:val="CLALTRHeaderorFooter"/>
    </w:pPr>
    <w:r>
      <w:fldChar w:fldCharType="begin"/>
    </w:r>
    <w:r>
      <w:instrText xml:space="preserve">MACROBUTTON NoMacro [Click </w:instrText>
    </w:r>
    <w:r>
      <w:rPr>
        <w:b/>
      </w:rPr>
      <w:instrText>here</w:instrText>
    </w:r>
    <w:r>
      <w:instrText xml:space="preserve"> and type date]</w:instrText>
    </w:r>
    <w:r>
      <w:fldChar w:fldCharType="end"/>
    </w:r>
  </w:p>
  <w:p w14:paraId="79340FE2" w14:textId="77777777" w:rsidR="007C1374" w:rsidRDefault="007C1374" w:rsidP="007C1374">
    <w:pPr>
      <w:pStyle w:val="CLALTRHeaderorFooter"/>
    </w:pPr>
    <w:r>
      <w:fldChar w:fldCharType="begin"/>
    </w:r>
    <w:r>
      <w:instrText xml:space="preserve">MACROBUTTON NoMacro [Click </w:instrText>
    </w:r>
    <w:r>
      <w:rPr>
        <w:b/>
      </w:rPr>
      <w:instrText>here</w:instrText>
    </w:r>
    <w:r>
      <w:instrText xml:space="preserve"> and type organization]</w:instrText>
    </w:r>
    <w:r>
      <w:fldChar w:fldCharType="end"/>
    </w:r>
  </w:p>
  <w:p w14:paraId="5D524949" w14:textId="77777777" w:rsidR="00F35FA7" w:rsidRPr="0088631F" w:rsidRDefault="007C1374" w:rsidP="007C1374">
    <w:pPr>
      <w:pStyle w:val="CLALTRHeaderorFooter"/>
    </w:pPr>
    <w:r w:rsidRPr="00D31720">
      <w:t xml:space="preserve">Page </w:t>
    </w:r>
    <w:r>
      <w:fldChar w:fldCharType="begin"/>
    </w:r>
    <w:r>
      <w:instrText xml:space="preserve"> PAGE </w:instrText>
    </w:r>
    <w:r>
      <w:fldChar w:fldCharType="separate"/>
    </w:r>
    <w:r w:rsidR="004C42A1">
      <w:rPr>
        <w:noProof/>
      </w:rPr>
      <w:t>10</w:t>
    </w:r>
    <w: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823CD" w14:textId="77777777" w:rsidR="00E35680" w:rsidRPr="00E35680" w:rsidRDefault="00E35680" w:rsidP="00E356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96D91"/>
    <w:multiLevelType w:val="hybridMultilevel"/>
    <w:tmpl w:val="6944F4C2"/>
    <w:lvl w:ilvl="0" w:tplc="6F14E322">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7574087"/>
    <w:multiLevelType w:val="hybridMultilevel"/>
    <w:tmpl w:val="8FE25778"/>
    <w:lvl w:ilvl="0" w:tplc="63067C6E">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8F72F40"/>
    <w:multiLevelType w:val="hybridMultilevel"/>
    <w:tmpl w:val="FE56BA12"/>
    <w:lvl w:ilvl="0" w:tplc="079A117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2F4D87"/>
    <w:multiLevelType w:val="hybridMultilevel"/>
    <w:tmpl w:val="E6D4F0EE"/>
    <w:lvl w:ilvl="0" w:tplc="C3CAAB3E">
      <w:numFmt w:val="bullet"/>
      <w:lvlText w:val="•"/>
      <w:lvlJc w:val="left"/>
      <w:pPr>
        <w:ind w:left="1080" w:hanging="720"/>
      </w:pPr>
      <w:rPr>
        <w:rFonts w:ascii="Calibri" w:eastAsia="Times"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AB1F6B"/>
    <w:multiLevelType w:val="hybridMultilevel"/>
    <w:tmpl w:val="E6D633C8"/>
    <w:lvl w:ilvl="0" w:tplc="04090019">
      <w:start w:val="1"/>
      <w:numFmt w:val="lowerLetter"/>
      <w:lvlText w:val="%1."/>
      <w:lvlJc w:val="left"/>
      <w:pPr>
        <w:ind w:left="775" w:hanging="360"/>
      </w:pPr>
    </w:lvl>
    <w:lvl w:ilvl="1" w:tplc="04090019" w:tentative="1">
      <w:start w:val="1"/>
      <w:numFmt w:val="lowerLetter"/>
      <w:lvlText w:val="%2."/>
      <w:lvlJc w:val="left"/>
      <w:pPr>
        <w:ind w:left="1495" w:hanging="360"/>
      </w:pPr>
    </w:lvl>
    <w:lvl w:ilvl="2" w:tplc="0409001B" w:tentative="1">
      <w:start w:val="1"/>
      <w:numFmt w:val="lowerRoman"/>
      <w:lvlText w:val="%3."/>
      <w:lvlJc w:val="right"/>
      <w:pPr>
        <w:ind w:left="2215" w:hanging="180"/>
      </w:pPr>
    </w:lvl>
    <w:lvl w:ilvl="3" w:tplc="0409000F" w:tentative="1">
      <w:start w:val="1"/>
      <w:numFmt w:val="decimal"/>
      <w:lvlText w:val="%4."/>
      <w:lvlJc w:val="left"/>
      <w:pPr>
        <w:ind w:left="2935" w:hanging="360"/>
      </w:pPr>
    </w:lvl>
    <w:lvl w:ilvl="4" w:tplc="04090019" w:tentative="1">
      <w:start w:val="1"/>
      <w:numFmt w:val="lowerLetter"/>
      <w:lvlText w:val="%5."/>
      <w:lvlJc w:val="left"/>
      <w:pPr>
        <w:ind w:left="3655" w:hanging="360"/>
      </w:pPr>
    </w:lvl>
    <w:lvl w:ilvl="5" w:tplc="0409001B" w:tentative="1">
      <w:start w:val="1"/>
      <w:numFmt w:val="lowerRoman"/>
      <w:lvlText w:val="%6."/>
      <w:lvlJc w:val="right"/>
      <w:pPr>
        <w:ind w:left="4375" w:hanging="180"/>
      </w:pPr>
    </w:lvl>
    <w:lvl w:ilvl="6" w:tplc="0409000F" w:tentative="1">
      <w:start w:val="1"/>
      <w:numFmt w:val="decimal"/>
      <w:lvlText w:val="%7."/>
      <w:lvlJc w:val="left"/>
      <w:pPr>
        <w:ind w:left="5095" w:hanging="360"/>
      </w:pPr>
    </w:lvl>
    <w:lvl w:ilvl="7" w:tplc="04090019" w:tentative="1">
      <w:start w:val="1"/>
      <w:numFmt w:val="lowerLetter"/>
      <w:lvlText w:val="%8."/>
      <w:lvlJc w:val="left"/>
      <w:pPr>
        <w:ind w:left="5815" w:hanging="360"/>
      </w:pPr>
    </w:lvl>
    <w:lvl w:ilvl="8" w:tplc="0409001B" w:tentative="1">
      <w:start w:val="1"/>
      <w:numFmt w:val="lowerRoman"/>
      <w:lvlText w:val="%9."/>
      <w:lvlJc w:val="right"/>
      <w:pPr>
        <w:ind w:left="6535" w:hanging="180"/>
      </w:pPr>
    </w:lvl>
  </w:abstractNum>
  <w:abstractNum w:abstractNumId="5" w15:restartNumberingAfterBreak="0">
    <w:nsid w:val="18F34D48"/>
    <w:multiLevelType w:val="hybridMultilevel"/>
    <w:tmpl w:val="078CE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E3D33D5"/>
    <w:multiLevelType w:val="hybridMultilevel"/>
    <w:tmpl w:val="7B4C7BF4"/>
    <w:lvl w:ilvl="0" w:tplc="DE14445E">
      <w:start w:val="1"/>
      <w:numFmt w:val="bullet"/>
      <w:pStyle w:val="CLAProposalBulletedTextBodyLeft05"/>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F2761F9"/>
    <w:multiLevelType w:val="hybridMultilevel"/>
    <w:tmpl w:val="01D6E028"/>
    <w:lvl w:ilvl="0" w:tplc="FEC0C436">
      <w:numFmt w:val="bullet"/>
      <w:lvlText w:val="•"/>
      <w:lvlJc w:val="left"/>
      <w:pPr>
        <w:ind w:left="1440" w:hanging="720"/>
      </w:pPr>
      <w:rPr>
        <w:rFonts w:ascii="Calibri" w:eastAsia="Times" w:hAnsi="Calibri"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F5F2B3B"/>
    <w:multiLevelType w:val="hybridMultilevel"/>
    <w:tmpl w:val="C9C8B750"/>
    <w:lvl w:ilvl="0" w:tplc="6F14E322">
      <w:start w:val="1"/>
      <w:numFmt w:val="bullet"/>
      <w:lvlText w:val=""/>
      <w:lvlJc w:val="left"/>
      <w:pPr>
        <w:ind w:left="108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B580717"/>
    <w:multiLevelType w:val="hybridMultilevel"/>
    <w:tmpl w:val="F7FE6EBA"/>
    <w:lvl w:ilvl="0" w:tplc="63067C6E">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2BC5547C"/>
    <w:multiLevelType w:val="hybridMultilevel"/>
    <w:tmpl w:val="A316EA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5A94786"/>
    <w:multiLevelType w:val="hybridMultilevel"/>
    <w:tmpl w:val="031E09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2B009DE"/>
    <w:multiLevelType w:val="hybridMultilevel"/>
    <w:tmpl w:val="64A0DDC0"/>
    <w:lvl w:ilvl="0" w:tplc="F4A4F6B6">
      <w:numFmt w:val="bullet"/>
      <w:lvlText w:val="•"/>
      <w:lvlJc w:val="left"/>
      <w:pPr>
        <w:ind w:left="720" w:hanging="360"/>
      </w:pPr>
      <w:rPr>
        <w:rFonts w:ascii="Calibri" w:eastAsia="Times"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375180F"/>
    <w:multiLevelType w:val="hybridMultilevel"/>
    <w:tmpl w:val="33CC99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B011E56"/>
    <w:multiLevelType w:val="hybridMultilevel"/>
    <w:tmpl w:val="12A0F74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4FA77D50"/>
    <w:multiLevelType w:val="hybridMultilevel"/>
    <w:tmpl w:val="A4E46D7C"/>
    <w:lvl w:ilvl="0" w:tplc="A89CFB5E">
      <w:start w:val="2"/>
      <w:numFmt w:val="bullet"/>
      <w:lvlText w:val="•"/>
      <w:lvlJc w:val="left"/>
      <w:pPr>
        <w:ind w:left="720" w:hanging="360"/>
      </w:pPr>
      <w:rPr>
        <w:rFonts w:ascii="Calibri" w:eastAsia="Times"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6850050"/>
    <w:multiLevelType w:val="hybridMultilevel"/>
    <w:tmpl w:val="2E2CC2B6"/>
    <w:lvl w:ilvl="0" w:tplc="75C81FAA">
      <w:start w:val="1"/>
      <w:numFmt w:val="bullet"/>
      <w:lvlText w:val=""/>
      <w:lvlJc w:val="left"/>
      <w:pPr>
        <w:tabs>
          <w:tab w:val="num" w:pos="720"/>
        </w:tabs>
        <w:ind w:left="720" w:hanging="360"/>
      </w:pPr>
      <w:rPr>
        <w:rFonts w:ascii="Symbol" w:hAnsi="Symbol" w:hint="default"/>
      </w:rPr>
    </w:lvl>
    <w:lvl w:ilvl="1" w:tplc="3EEAF54E">
      <w:start w:val="1"/>
      <w:numFmt w:val="bullet"/>
      <w:pStyle w:val="ProposalBulletStyle-Indent1"/>
      <w:lvlText w:val="─"/>
      <w:lvlJc w:val="left"/>
      <w:pPr>
        <w:tabs>
          <w:tab w:val="num" w:pos="1440"/>
        </w:tabs>
        <w:ind w:left="1440" w:hanging="360"/>
      </w:pPr>
      <w:rPr>
        <w:rFonts w:ascii="Times New Roman" w:hAnsi="Times New Roman"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5B087F7E"/>
    <w:multiLevelType w:val="hybridMultilevel"/>
    <w:tmpl w:val="B8309F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39F0E9A"/>
    <w:multiLevelType w:val="hybridMultilevel"/>
    <w:tmpl w:val="D062DB48"/>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3DE6972"/>
    <w:multiLevelType w:val="hybridMultilevel"/>
    <w:tmpl w:val="9C46D0D0"/>
    <w:lvl w:ilvl="0" w:tplc="75C81FAA">
      <w:start w:val="1"/>
      <w:numFmt w:val="bullet"/>
      <w:pStyle w:val="ProposalBulletStyle"/>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75AF1103"/>
    <w:multiLevelType w:val="hybridMultilevel"/>
    <w:tmpl w:val="815C1A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95324888">
    <w:abstractNumId w:val="19"/>
  </w:num>
  <w:num w:numId="2" w16cid:durableId="866144293">
    <w:abstractNumId w:val="16"/>
  </w:num>
  <w:num w:numId="3" w16cid:durableId="1547796069">
    <w:abstractNumId w:val="6"/>
  </w:num>
  <w:num w:numId="4" w16cid:durableId="1631546858">
    <w:abstractNumId w:val="14"/>
  </w:num>
  <w:num w:numId="5" w16cid:durableId="902377835">
    <w:abstractNumId w:val="18"/>
  </w:num>
  <w:num w:numId="6" w16cid:durableId="1215317090">
    <w:abstractNumId w:val="11"/>
  </w:num>
  <w:num w:numId="7" w16cid:durableId="1977561710">
    <w:abstractNumId w:val="3"/>
  </w:num>
  <w:num w:numId="8" w16cid:durableId="886649546">
    <w:abstractNumId w:val="12"/>
  </w:num>
  <w:num w:numId="9" w16cid:durableId="883176083">
    <w:abstractNumId w:val="8"/>
  </w:num>
  <w:num w:numId="10" w16cid:durableId="1961064041">
    <w:abstractNumId w:val="9"/>
  </w:num>
  <w:num w:numId="11" w16cid:durableId="35664820">
    <w:abstractNumId w:val="1"/>
  </w:num>
  <w:num w:numId="12" w16cid:durableId="1169060358">
    <w:abstractNumId w:val="7"/>
  </w:num>
  <w:num w:numId="13" w16cid:durableId="534120819">
    <w:abstractNumId w:val="5"/>
  </w:num>
  <w:num w:numId="14" w16cid:durableId="1774285268">
    <w:abstractNumId w:val="13"/>
  </w:num>
  <w:num w:numId="15" w16cid:durableId="398600758">
    <w:abstractNumId w:val="10"/>
  </w:num>
  <w:num w:numId="16" w16cid:durableId="1562596715">
    <w:abstractNumId w:val="2"/>
  </w:num>
  <w:num w:numId="17" w16cid:durableId="1928035845">
    <w:abstractNumId w:val="15"/>
  </w:num>
  <w:num w:numId="18" w16cid:durableId="1925723154">
    <w:abstractNumId w:val="4"/>
  </w:num>
  <w:num w:numId="19" w16cid:durableId="568273914">
    <w:abstractNumId w:val="20"/>
  </w:num>
  <w:num w:numId="20" w16cid:durableId="403334221">
    <w:abstractNumId w:val="0"/>
  </w:num>
  <w:num w:numId="21" w16cid:durableId="1749186467">
    <w:abstractNumId w:val="17"/>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stylePaneSortMethod w:val="0000"/>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1004"/>
    <w:rsid w:val="0000381A"/>
    <w:rsid w:val="00006262"/>
    <w:rsid w:val="00015BAB"/>
    <w:rsid w:val="00015EFB"/>
    <w:rsid w:val="000168D1"/>
    <w:rsid w:val="000217CC"/>
    <w:rsid w:val="000220AA"/>
    <w:rsid w:val="00022C6A"/>
    <w:rsid w:val="000423BF"/>
    <w:rsid w:val="000435E3"/>
    <w:rsid w:val="00044D1D"/>
    <w:rsid w:val="000476AD"/>
    <w:rsid w:val="00053289"/>
    <w:rsid w:val="000548D1"/>
    <w:rsid w:val="00057067"/>
    <w:rsid w:val="00064D82"/>
    <w:rsid w:val="000654B4"/>
    <w:rsid w:val="00065F5C"/>
    <w:rsid w:val="000679EF"/>
    <w:rsid w:val="00073CE9"/>
    <w:rsid w:val="00084A8D"/>
    <w:rsid w:val="00093643"/>
    <w:rsid w:val="00094EF9"/>
    <w:rsid w:val="00095922"/>
    <w:rsid w:val="000A0BF3"/>
    <w:rsid w:val="000A1BFA"/>
    <w:rsid w:val="000A626A"/>
    <w:rsid w:val="000B6116"/>
    <w:rsid w:val="000C011F"/>
    <w:rsid w:val="000C65E6"/>
    <w:rsid w:val="000E00CC"/>
    <w:rsid w:val="000E46C2"/>
    <w:rsid w:val="000F2BBA"/>
    <w:rsid w:val="000F3C5E"/>
    <w:rsid w:val="000F4527"/>
    <w:rsid w:val="000F4DA9"/>
    <w:rsid w:val="00100B08"/>
    <w:rsid w:val="001026D4"/>
    <w:rsid w:val="001060B6"/>
    <w:rsid w:val="00110923"/>
    <w:rsid w:val="00117F66"/>
    <w:rsid w:val="001216A9"/>
    <w:rsid w:val="0012397E"/>
    <w:rsid w:val="0012532A"/>
    <w:rsid w:val="001361A6"/>
    <w:rsid w:val="00136A87"/>
    <w:rsid w:val="001511AA"/>
    <w:rsid w:val="00153BBA"/>
    <w:rsid w:val="00155433"/>
    <w:rsid w:val="00174820"/>
    <w:rsid w:val="0017490C"/>
    <w:rsid w:val="00182523"/>
    <w:rsid w:val="00182875"/>
    <w:rsid w:val="00185868"/>
    <w:rsid w:val="0019521D"/>
    <w:rsid w:val="001A04A3"/>
    <w:rsid w:val="001A48D8"/>
    <w:rsid w:val="001B02CE"/>
    <w:rsid w:val="001B2681"/>
    <w:rsid w:val="001B3FF8"/>
    <w:rsid w:val="001C377E"/>
    <w:rsid w:val="001D541D"/>
    <w:rsid w:val="001E220F"/>
    <w:rsid w:val="001E73B8"/>
    <w:rsid w:val="001E73FD"/>
    <w:rsid w:val="001F5103"/>
    <w:rsid w:val="0020163C"/>
    <w:rsid w:val="002133A7"/>
    <w:rsid w:val="00214BB0"/>
    <w:rsid w:val="00214D43"/>
    <w:rsid w:val="00215209"/>
    <w:rsid w:val="002175BC"/>
    <w:rsid w:val="00226308"/>
    <w:rsid w:val="00240614"/>
    <w:rsid w:val="002460A9"/>
    <w:rsid w:val="00252076"/>
    <w:rsid w:val="00257579"/>
    <w:rsid w:val="00275CEB"/>
    <w:rsid w:val="00275DD0"/>
    <w:rsid w:val="002930BA"/>
    <w:rsid w:val="00293D9C"/>
    <w:rsid w:val="00294B58"/>
    <w:rsid w:val="002A0C5A"/>
    <w:rsid w:val="002A3E9A"/>
    <w:rsid w:val="002A7309"/>
    <w:rsid w:val="002B2F07"/>
    <w:rsid w:val="002B7008"/>
    <w:rsid w:val="002C15E9"/>
    <w:rsid w:val="002C197D"/>
    <w:rsid w:val="002C4AF8"/>
    <w:rsid w:val="002C5D46"/>
    <w:rsid w:val="002D5F17"/>
    <w:rsid w:val="002E1300"/>
    <w:rsid w:val="002F6675"/>
    <w:rsid w:val="0030310B"/>
    <w:rsid w:val="003108F3"/>
    <w:rsid w:val="003113CE"/>
    <w:rsid w:val="00326F0F"/>
    <w:rsid w:val="00330014"/>
    <w:rsid w:val="00334492"/>
    <w:rsid w:val="00336305"/>
    <w:rsid w:val="00337017"/>
    <w:rsid w:val="00343A94"/>
    <w:rsid w:val="00357951"/>
    <w:rsid w:val="003627F1"/>
    <w:rsid w:val="003637F4"/>
    <w:rsid w:val="0036461A"/>
    <w:rsid w:val="00366873"/>
    <w:rsid w:val="00366A33"/>
    <w:rsid w:val="00367226"/>
    <w:rsid w:val="00367273"/>
    <w:rsid w:val="003861D8"/>
    <w:rsid w:val="00387B3E"/>
    <w:rsid w:val="00390615"/>
    <w:rsid w:val="00394A6E"/>
    <w:rsid w:val="003A1095"/>
    <w:rsid w:val="003A21D3"/>
    <w:rsid w:val="003A2EF5"/>
    <w:rsid w:val="003C7DAB"/>
    <w:rsid w:val="003D46E8"/>
    <w:rsid w:val="003E2394"/>
    <w:rsid w:val="00413E30"/>
    <w:rsid w:val="0041621D"/>
    <w:rsid w:val="00416721"/>
    <w:rsid w:val="004232B8"/>
    <w:rsid w:val="004263B8"/>
    <w:rsid w:val="00436877"/>
    <w:rsid w:val="004407DE"/>
    <w:rsid w:val="004407FC"/>
    <w:rsid w:val="00440E21"/>
    <w:rsid w:val="0045742E"/>
    <w:rsid w:val="004579B4"/>
    <w:rsid w:val="0046090C"/>
    <w:rsid w:val="00465958"/>
    <w:rsid w:val="00473C08"/>
    <w:rsid w:val="00474FC8"/>
    <w:rsid w:val="00476913"/>
    <w:rsid w:val="00487ED3"/>
    <w:rsid w:val="00491004"/>
    <w:rsid w:val="004A31CE"/>
    <w:rsid w:val="004B0A32"/>
    <w:rsid w:val="004B1FDD"/>
    <w:rsid w:val="004C2A93"/>
    <w:rsid w:val="004C42A1"/>
    <w:rsid w:val="004C4F18"/>
    <w:rsid w:val="004D017F"/>
    <w:rsid w:val="004D1C99"/>
    <w:rsid w:val="004D54F9"/>
    <w:rsid w:val="004D61BB"/>
    <w:rsid w:val="004D6ECB"/>
    <w:rsid w:val="004E0F3F"/>
    <w:rsid w:val="004E1DDC"/>
    <w:rsid w:val="004E64B7"/>
    <w:rsid w:val="004F4D80"/>
    <w:rsid w:val="005002B8"/>
    <w:rsid w:val="005023F0"/>
    <w:rsid w:val="005051B1"/>
    <w:rsid w:val="00513CA5"/>
    <w:rsid w:val="005147FF"/>
    <w:rsid w:val="005173C0"/>
    <w:rsid w:val="00524D8F"/>
    <w:rsid w:val="00535B1A"/>
    <w:rsid w:val="00555D21"/>
    <w:rsid w:val="0055608E"/>
    <w:rsid w:val="0056231A"/>
    <w:rsid w:val="005660B0"/>
    <w:rsid w:val="00570080"/>
    <w:rsid w:val="00574ED3"/>
    <w:rsid w:val="00582DBB"/>
    <w:rsid w:val="00584E17"/>
    <w:rsid w:val="0058521A"/>
    <w:rsid w:val="00592EB7"/>
    <w:rsid w:val="00594B8E"/>
    <w:rsid w:val="005A0921"/>
    <w:rsid w:val="005A153F"/>
    <w:rsid w:val="005B01C5"/>
    <w:rsid w:val="005B0D7C"/>
    <w:rsid w:val="005B1D7D"/>
    <w:rsid w:val="005B49DB"/>
    <w:rsid w:val="005B4B9B"/>
    <w:rsid w:val="005B6A6E"/>
    <w:rsid w:val="005C041A"/>
    <w:rsid w:val="005C5AE8"/>
    <w:rsid w:val="005C6B2B"/>
    <w:rsid w:val="005D4884"/>
    <w:rsid w:val="005D5920"/>
    <w:rsid w:val="005F17E8"/>
    <w:rsid w:val="005F35D1"/>
    <w:rsid w:val="00600EAB"/>
    <w:rsid w:val="00601502"/>
    <w:rsid w:val="006022AF"/>
    <w:rsid w:val="006077A7"/>
    <w:rsid w:val="006154DD"/>
    <w:rsid w:val="00616098"/>
    <w:rsid w:val="00616B5A"/>
    <w:rsid w:val="00616CB4"/>
    <w:rsid w:val="00624EFB"/>
    <w:rsid w:val="00624F48"/>
    <w:rsid w:val="00626420"/>
    <w:rsid w:val="006268C5"/>
    <w:rsid w:val="00630862"/>
    <w:rsid w:val="00630A78"/>
    <w:rsid w:val="00635C99"/>
    <w:rsid w:val="006369E2"/>
    <w:rsid w:val="00645D78"/>
    <w:rsid w:val="006478B7"/>
    <w:rsid w:val="00653ED1"/>
    <w:rsid w:val="00661DB5"/>
    <w:rsid w:val="00664D93"/>
    <w:rsid w:val="006671EF"/>
    <w:rsid w:val="00674743"/>
    <w:rsid w:val="00675125"/>
    <w:rsid w:val="006944C2"/>
    <w:rsid w:val="006A0726"/>
    <w:rsid w:val="006A19DB"/>
    <w:rsid w:val="006A2B2E"/>
    <w:rsid w:val="006A5297"/>
    <w:rsid w:val="006B3C5F"/>
    <w:rsid w:val="006B5681"/>
    <w:rsid w:val="006C0004"/>
    <w:rsid w:val="006D64D2"/>
    <w:rsid w:val="006E1F28"/>
    <w:rsid w:val="006E40A4"/>
    <w:rsid w:val="006E5DD4"/>
    <w:rsid w:val="006F0D28"/>
    <w:rsid w:val="00715BF2"/>
    <w:rsid w:val="00715F6F"/>
    <w:rsid w:val="00722DD6"/>
    <w:rsid w:val="00723646"/>
    <w:rsid w:val="00725439"/>
    <w:rsid w:val="00730F7E"/>
    <w:rsid w:val="007350AB"/>
    <w:rsid w:val="007352A0"/>
    <w:rsid w:val="0073634A"/>
    <w:rsid w:val="0074250F"/>
    <w:rsid w:val="007441DE"/>
    <w:rsid w:val="00753230"/>
    <w:rsid w:val="00753F0C"/>
    <w:rsid w:val="007560CA"/>
    <w:rsid w:val="0075719D"/>
    <w:rsid w:val="007572AB"/>
    <w:rsid w:val="007608CA"/>
    <w:rsid w:val="00761283"/>
    <w:rsid w:val="0076171C"/>
    <w:rsid w:val="00762531"/>
    <w:rsid w:val="007738D8"/>
    <w:rsid w:val="00776857"/>
    <w:rsid w:val="007771AC"/>
    <w:rsid w:val="00777A73"/>
    <w:rsid w:val="00780EB4"/>
    <w:rsid w:val="0078662A"/>
    <w:rsid w:val="00786782"/>
    <w:rsid w:val="00792B1E"/>
    <w:rsid w:val="007A00EA"/>
    <w:rsid w:val="007B0CDB"/>
    <w:rsid w:val="007B277C"/>
    <w:rsid w:val="007B4260"/>
    <w:rsid w:val="007B552C"/>
    <w:rsid w:val="007C1374"/>
    <w:rsid w:val="007C2445"/>
    <w:rsid w:val="007D0C29"/>
    <w:rsid w:val="007D1792"/>
    <w:rsid w:val="007E3F5E"/>
    <w:rsid w:val="007E5093"/>
    <w:rsid w:val="007F0F75"/>
    <w:rsid w:val="007F18F3"/>
    <w:rsid w:val="007F39FB"/>
    <w:rsid w:val="007F686B"/>
    <w:rsid w:val="007F7DC1"/>
    <w:rsid w:val="00800568"/>
    <w:rsid w:val="008009C9"/>
    <w:rsid w:val="00801237"/>
    <w:rsid w:val="00802948"/>
    <w:rsid w:val="008044FB"/>
    <w:rsid w:val="0081619A"/>
    <w:rsid w:val="0081738A"/>
    <w:rsid w:val="00821B85"/>
    <w:rsid w:val="00823814"/>
    <w:rsid w:val="008239C5"/>
    <w:rsid w:val="008270E1"/>
    <w:rsid w:val="00827BEB"/>
    <w:rsid w:val="00827D4A"/>
    <w:rsid w:val="00830F46"/>
    <w:rsid w:val="00832214"/>
    <w:rsid w:val="008348FE"/>
    <w:rsid w:val="00837D36"/>
    <w:rsid w:val="00842997"/>
    <w:rsid w:val="00846494"/>
    <w:rsid w:val="0085010A"/>
    <w:rsid w:val="0086240B"/>
    <w:rsid w:val="00864E9B"/>
    <w:rsid w:val="00872C9F"/>
    <w:rsid w:val="0087380E"/>
    <w:rsid w:val="0088412E"/>
    <w:rsid w:val="00884AAC"/>
    <w:rsid w:val="00885BBC"/>
    <w:rsid w:val="008C7A1E"/>
    <w:rsid w:val="008D340C"/>
    <w:rsid w:val="008D40F3"/>
    <w:rsid w:val="008E1793"/>
    <w:rsid w:val="008E3EF9"/>
    <w:rsid w:val="008E476E"/>
    <w:rsid w:val="008E4B14"/>
    <w:rsid w:val="008E5AEC"/>
    <w:rsid w:val="008F4D61"/>
    <w:rsid w:val="009063E8"/>
    <w:rsid w:val="00910C6E"/>
    <w:rsid w:val="00911CD6"/>
    <w:rsid w:val="00917FA4"/>
    <w:rsid w:val="009321DA"/>
    <w:rsid w:val="00936D57"/>
    <w:rsid w:val="00942609"/>
    <w:rsid w:val="0094619F"/>
    <w:rsid w:val="00952254"/>
    <w:rsid w:val="00961388"/>
    <w:rsid w:val="00961A83"/>
    <w:rsid w:val="00962B68"/>
    <w:rsid w:val="00965849"/>
    <w:rsid w:val="009660BB"/>
    <w:rsid w:val="0096727B"/>
    <w:rsid w:val="00977852"/>
    <w:rsid w:val="009919E2"/>
    <w:rsid w:val="00997AFC"/>
    <w:rsid w:val="009B1615"/>
    <w:rsid w:val="009C0042"/>
    <w:rsid w:val="009C1F8C"/>
    <w:rsid w:val="009C2BD6"/>
    <w:rsid w:val="009C713F"/>
    <w:rsid w:val="009D46AC"/>
    <w:rsid w:val="009E14AB"/>
    <w:rsid w:val="009F0519"/>
    <w:rsid w:val="009F1C59"/>
    <w:rsid w:val="00A05844"/>
    <w:rsid w:val="00A173A1"/>
    <w:rsid w:val="00A21783"/>
    <w:rsid w:val="00A256B1"/>
    <w:rsid w:val="00A268EB"/>
    <w:rsid w:val="00A26FCE"/>
    <w:rsid w:val="00A31EEA"/>
    <w:rsid w:val="00A324F9"/>
    <w:rsid w:val="00A34359"/>
    <w:rsid w:val="00A410E2"/>
    <w:rsid w:val="00A548BC"/>
    <w:rsid w:val="00A5555C"/>
    <w:rsid w:val="00A57BC4"/>
    <w:rsid w:val="00A61E86"/>
    <w:rsid w:val="00A62DCE"/>
    <w:rsid w:val="00A659F7"/>
    <w:rsid w:val="00A66919"/>
    <w:rsid w:val="00A7177E"/>
    <w:rsid w:val="00A71D2A"/>
    <w:rsid w:val="00A7272E"/>
    <w:rsid w:val="00A7451D"/>
    <w:rsid w:val="00A749EC"/>
    <w:rsid w:val="00A81F71"/>
    <w:rsid w:val="00A8440C"/>
    <w:rsid w:val="00A93B5D"/>
    <w:rsid w:val="00AA182F"/>
    <w:rsid w:val="00AA33CD"/>
    <w:rsid w:val="00AB0ED8"/>
    <w:rsid w:val="00AB4733"/>
    <w:rsid w:val="00AB6094"/>
    <w:rsid w:val="00AC5565"/>
    <w:rsid w:val="00AC5806"/>
    <w:rsid w:val="00AD1FB2"/>
    <w:rsid w:val="00AD6268"/>
    <w:rsid w:val="00AD6E1C"/>
    <w:rsid w:val="00AE4781"/>
    <w:rsid w:val="00AF0BEE"/>
    <w:rsid w:val="00B0361E"/>
    <w:rsid w:val="00B05469"/>
    <w:rsid w:val="00B10467"/>
    <w:rsid w:val="00B139CD"/>
    <w:rsid w:val="00B14AC3"/>
    <w:rsid w:val="00B16BD8"/>
    <w:rsid w:val="00B25E74"/>
    <w:rsid w:val="00B33543"/>
    <w:rsid w:val="00B33CEA"/>
    <w:rsid w:val="00B3501B"/>
    <w:rsid w:val="00B35286"/>
    <w:rsid w:val="00B36DF9"/>
    <w:rsid w:val="00B37848"/>
    <w:rsid w:val="00B37F68"/>
    <w:rsid w:val="00B44A02"/>
    <w:rsid w:val="00B4731A"/>
    <w:rsid w:val="00B4770A"/>
    <w:rsid w:val="00B5019A"/>
    <w:rsid w:val="00B56AAF"/>
    <w:rsid w:val="00B60CC0"/>
    <w:rsid w:val="00B705D5"/>
    <w:rsid w:val="00B71B5E"/>
    <w:rsid w:val="00B72B8F"/>
    <w:rsid w:val="00B75DEC"/>
    <w:rsid w:val="00B767A8"/>
    <w:rsid w:val="00B8175B"/>
    <w:rsid w:val="00B853C2"/>
    <w:rsid w:val="00B92DB9"/>
    <w:rsid w:val="00B939C4"/>
    <w:rsid w:val="00B94063"/>
    <w:rsid w:val="00B95879"/>
    <w:rsid w:val="00BA6AFD"/>
    <w:rsid w:val="00BB0180"/>
    <w:rsid w:val="00BB1946"/>
    <w:rsid w:val="00BB4A98"/>
    <w:rsid w:val="00BB6473"/>
    <w:rsid w:val="00BC5093"/>
    <w:rsid w:val="00BC5654"/>
    <w:rsid w:val="00BE0881"/>
    <w:rsid w:val="00BE40F0"/>
    <w:rsid w:val="00BE4270"/>
    <w:rsid w:val="00BE5C07"/>
    <w:rsid w:val="00BF20BE"/>
    <w:rsid w:val="00BF581A"/>
    <w:rsid w:val="00C0450E"/>
    <w:rsid w:val="00C14289"/>
    <w:rsid w:val="00C1752D"/>
    <w:rsid w:val="00C26520"/>
    <w:rsid w:val="00C32830"/>
    <w:rsid w:val="00C403BD"/>
    <w:rsid w:val="00C44983"/>
    <w:rsid w:val="00C46193"/>
    <w:rsid w:val="00C4620D"/>
    <w:rsid w:val="00C464D9"/>
    <w:rsid w:val="00C46A5A"/>
    <w:rsid w:val="00C52E92"/>
    <w:rsid w:val="00C53667"/>
    <w:rsid w:val="00C538D9"/>
    <w:rsid w:val="00C55784"/>
    <w:rsid w:val="00C57DC3"/>
    <w:rsid w:val="00C6009E"/>
    <w:rsid w:val="00C652A3"/>
    <w:rsid w:val="00C6530F"/>
    <w:rsid w:val="00C65E22"/>
    <w:rsid w:val="00C70BA9"/>
    <w:rsid w:val="00C71F50"/>
    <w:rsid w:val="00C74ADF"/>
    <w:rsid w:val="00C9122D"/>
    <w:rsid w:val="00C94B88"/>
    <w:rsid w:val="00C94FA8"/>
    <w:rsid w:val="00CA1898"/>
    <w:rsid w:val="00CA57C1"/>
    <w:rsid w:val="00CB04D4"/>
    <w:rsid w:val="00CB5DCB"/>
    <w:rsid w:val="00CC2AD6"/>
    <w:rsid w:val="00CC4022"/>
    <w:rsid w:val="00CD0C72"/>
    <w:rsid w:val="00CD0CCA"/>
    <w:rsid w:val="00CD34E7"/>
    <w:rsid w:val="00CD4E06"/>
    <w:rsid w:val="00CE0421"/>
    <w:rsid w:val="00CE0822"/>
    <w:rsid w:val="00CE176B"/>
    <w:rsid w:val="00CF17EC"/>
    <w:rsid w:val="00CF2370"/>
    <w:rsid w:val="00CF2ACD"/>
    <w:rsid w:val="00CF3BBF"/>
    <w:rsid w:val="00CF42A2"/>
    <w:rsid w:val="00CF502C"/>
    <w:rsid w:val="00D03956"/>
    <w:rsid w:val="00D03D77"/>
    <w:rsid w:val="00D07A1A"/>
    <w:rsid w:val="00D104D3"/>
    <w:rsid w:val="00D12FCF"/>
    <w:rsid w:val="00D17097"/>
    <w:rsid w:val="00D2024E"/>
    <w:rsid w:val="00D24D91"/>
    <w:rsid w:val="00D274C6"/>
    <w:rsid w:val="00D4012B"/>
    <w:rsid w:val="00D47270"/>
    <w:rsid w:val="00D53CB1"/>
    <w:rsid w:val="00D56892"/>
    <w:rsid w:val="00D61CCB"/>
    <w:rsid w:val="00D64459"/>
    <w:rsid w:val="00D86572"/>
    <w:rsid w:val="00D90264"/>
    <w:rsid w:val="00D90CF9"/>
    <w:rsid w:val="00D9566F"/>
    <w:rsid w:val="00DA0318"/>
    <w:rsid w:val="00DA1C84"/>
    <w:rsid w:val="00DA1DA4"/>
    <w:rsid w:val="00DA3A0C"/>
    <w:rsid w:val="00DA7D63"/>
    <w:rsid w:val="00DB06A9"/>
    <w:rsid w:val="00DB392A"/>
    <w:rsid w:val="00DB4909"/>
    <w:rsid w:val="00DC3E6A"/>
    <w:rsid w:val="00DC625A"/>
    <w:rsid w:val="00DD08CC"/>
    <w:rsid w:val="00DE09F0"/>
    <w:rsid w:val="00DE4F10"/>
    <w:rsid w:val="00DE5CA9"/>
    <w:rsid w:val="00DE790C"/>
    <w:rsid w:val="00E040C7"/>
    <w:rsid w:val="00E0497B"/>
    <w:rsid w:val="00E117EE"/>
    <w:rsid w:val="00E1651A"/>
    <w:rsid w:val="00E20F26"/>
    <w:rsid w:val="00E24B5E"/>
    <w:rsid w:val="00E35680"/>
    <w:rsid w:val="00E4013B"/>
    <w:rsid w:val="00E40645"/>
    <w:rsid w:val="00E4186A"/>
    <w:rsid w:val="00E44855"/>
    <w:rsid w:val="00E45A6A"/>
    <w:rsid w:val="00E57650"/>
    <w:rsid w:val="00E62D18"/>
    <w:rsid w:val="00E650DD"/>
    <w:rsid w:val="00E705EB"/>
    <w:rsid w:val="00E74171"/>
    <w:rsid w:val="00E76C4C"/>
    <w:rsid w:val="00E817D0"/>
    <w:rsid w:val="00E82C7A"/>
    <w:rsid w:val="00E921EE"/>
    <w:rsid w:val="00EA2CCE"/>
    <w:rsid w:val="00EB250B"/>
    <w:rsid w:val="00EB263E"/>
    <w:rsid w:val="00EC79FD"/>
    <w:rsid w:val="00EC7B6E"/>
    <w:rsid w:val="00ED317D"/>
    <w:rsid w:val="00EE23EE"/>
    <w:rsid w:val="00EF0A8C"/>
    <w:rsid w:val="00EF6094"/>
    <w:rsid w:val="00EF7FBD"/>
    <w:rsid w:val="00F05C4E"/>
    <w:rsid w:val="00F05FF1"/>
    <w:rsid w:val="00F07636"/>
    <w:rsid w:val="00F1143C"/>
    <w:rsid w:val="00F16DB0"/>
    <w:rsid w:val="00F17905"/>
    <w:rsid w:val="00F20E05"/>
    <w:rsid w:val="00F21FB5"/>
    <w:rsid w:val="00F27BA9"/>
    <w:rsid w:val="00F30138"/>
    <w:rsid w:val="00F3018C"/>
    <w:rsid w:val="00F35FA7"/>
    <w:rsid w:val="00F36042"/>
    <w:rsid w:val="00F40E2A"/>
    <w:rsid w:val="00F42F2B"/>
    <w:rsid w:val="00F54D8A"/>
    <w:rsid w:val="00F662F4"/>
    <w:rsid w:val="00F73F44"/>
    <w:rsid w:val="00F74EFD"/>
    <w:rsid w:val="00F84823"/>
    <w:rsid w:val="00FA2B36"/>
    <w:rsid w:val="00FA44D8"/>
    <w:rsid w:val="00FB0225"/>
    <w:rsid w:val="00FB081A"/>
    <w:rsid w:val="00FB1555"/>
    <w:rsid w:val="00FB1C25"/>
    <w:rsid w:val="00FB2986"/>
    <w:rsid w:val="00FB5FE3"/>
    <w:rsid w:val="00FB6DF5"/>
    <w:rsid w:val="00FB777B"/>
    <w:rsid w:val="00FC2BA1"/>
    <w:rsid w:val="00FC3660"/>
    <w:rsid w:val="00FC4698"/>
    <w:rsid w:val="00FC77DE"/>
    <w:rsid w:val="00FD2EEB"/>
    <w:rsid w:val="00FD3327"/>
    <w:rsid w:val="00FD64A8"/>
    <w:rsid w:val="00FD677B"/>
    <w:rsid w:val="00FE1CC7"/>
    <w:rsid w:val="00FE3CEF"/>
    <w:rsid w:val="00FE78F3"/>
    <w:rsid w:val="00FF08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420F00"/>
  <w15:docId w15:val="{4A56A12B-9551-410D-B0C2-619131C70A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2ACD"/>
    <w:rPr>
      <w:rFonts w:eastAsia="Times New Roman"/>
      <w:sz w:val="24"/>
      <w:szCs w:val="24"/>
    </w:rPr>
  </w:style>
  <w:style w:type="paragraph" w:styleId="Heading1">
    <w:name w:val="heading 1"/>
    <w:basedOn w:val="CLAProNormal"/>
    <w:next w:val="Normal"/>
    <w:link w:val="Heading1Char"/>
    <w:uiPriority w:val="9"/>
    <w:rsid w:val="00FB1555"/>
    <w:pPr>
      <w:outlineLvl w:val="0"/>
    </w:pPr>
  </w:style>
  <w:style w:type="paragraph" w:styleId="Heading2">
    <w:name w:val="heading 2"/>
    <w:basedOn w:val="CLAProNormal"/>
    <w:next w:val="Normal"/>
    <w:link w:val="Heading2Char"/>
    <w:uiPriority w:val="9"/>
    <w:unhideWhenUsed/>
    <w:rsid w:val="00FB1555"/>
    <w:pPr>
      <w:outlineLvl w:val="1"/>
    </w:pPr>
  </w:style>
  <w:style w:type="paragraph" w:styleId="Heading3">
    <w:name w:val="heading 3"/>
    <w:basedOn w:val="Normal"/>
    <w:next w:val="Normal"/>
    <w:link w:val="Heading3Char"/>
    <w:uiPriority w:val="9"/>
    <w:unhideWhenUsed/>
    <w:rsid w:val="00022C6A"/>
    <w:pPr>
      <w:keepNext/>
      <w:keepLines/>
      <w:spacing w:before="200"/>
      <w:outlineLvl w:val="2"/>
    </w:pPr>
    <w:rPr>
      <w:rFonts w:ascii="Arial" w:eastAsiaTheme="majorEastAsia" w:hAnsi="Arial" w:cstheme="majorBidi"/>
      <w:b/>
      <w:bCs/>
      <w:color w:val="005595" w:themeColor="accent1"/>
    </w:rPr>
  </w:style>
  <w:style w:type="paragraph" w:styleId="Heading4">
    <w:name w:val="heading 4"/>
    <w:basedOn w:val="Normal"/>
    <w:next w:val="Normal"/>
    <w:link w:val="Heading4Char"/>
    <w:uiPriority w:val="9"/>
    <w:unhideWhenUsed/>
    <w:rsid w:val="00022C6A"/>
    <w:pPr>
      <w:keepNext/>
      <w:keepLines/>
      <w:spacing w:before="200"/>
      <w:outlineLvl w:val="3"/>
    </w:pPr>
    <w:rPr>
      <w:rFonts w:ascii="Arial" w:eastAsiaTheme="majorEastAsia" w:hAnsi="Arial" w:cstheme="majorBidi"/>
      <w:b/>
      <w:bCs/>
      <w:i/>
      <w:iCs/>
      <w:color w:val="005595" w:themeColor="accent1"/>
    </w:rPr>
  </w:style>
  <w:style w:type="paragraph" w:styleId="Heading5">
    <w:name w:val="heading 5"/>
    <w:basedOn w:val="Normal"/>
    <w:next w:val="Normal"/>
    <w:link w:val="Heading5Char"/>
    <w:uiPriority w:val="9"/>
    <w:semiHidden/>
    <w:unhideWhenUsed/>
    <w:rsid w:val="00022C6A"/>
    <w:pPr>
      <w:keepNext/>
      <w:keepLines/>
      <w:spacing w:before="200"/>
      <w:outlineLvl w:val="4"/>
    </w:pPr>
    <w:rPr>
      <w:rFonts w:asciiTheme="majorHAnsi" w:eastAsiaTheme="majorEastAsia" w:hAnsiTheme="majorHAnsi" w:cstheme="majorBidi"/>
      <w:color w:val="002A4A" w:themeColor="accent1" w:themeShade="7F"/>
    </w:rPr>
  </w:style>
  <w:style w:type="paragraph" w:styleId="Heading6">
    <w:name w:val="heading 6"/>
    <w:basedOn w:val="Normal"/>
    <w:next w:val="Normal"/>
    <w:link w:val="Heading6Char"/>
    <w:uiPriority w:val="9"/>
    <w:semiHidden/>
    <w:unhideWhenUsed/>
    <w:rsid w:val="00022C6A"/>
    <w:pPr>
      <w:keepNext/>
      <w:keepLines/>
      <w:spacing w:before="200"/>
      <w:outlineLvl w:val="5"/>
    </w:pPr>
    <w:rPr>
      <w:rFonts w:asciiTheme="majorHAnsi" w:eastAsiaTheme="majorEastAsia" w:hAnsiTheme="majorHAnsi" w:cstheme="majorBidi"/>
      <w:i/>
      <w:iCs/>
      <w:color w:val="002A4A" w:themeColor="accent1" w:themeShade="7F"/>
    </w:rPr>
  </w:style>
  <w:style w:type="paragraph" w:styleId="Heading7">
    <w:name w:val="heading 7"/>
    <w:basedOn w:val="Normal"/>
    <w:next w:val="Normal"/>
    <w:link w:val="Heading7Char"/>
    <w:uiPriority w:val="9"/>
    <w:semiHidden/>
    <w:unhideWhenUsed/>
    <w:rsid w:val="00022C6A"/>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rsid w:val="00022C6A"/>
    <w:pPr>
      <w:keepNext/>
      <w:keepLines/>
      <w:spacing w:before="200"/>
      <w:outlineLvl w:val="7"/>
    </w:pPr>
    <w:rPr>
      <w:rFonts w:asciiTheme="majorHAnsi" w:eastAsiaTheme="majorEastAsia" w:hAnsiTheme="majorHAnsi" w:cstheme="majorBidi"/>
      <w:color w:val="404040" w:themeColor="text1" w:themeTint="BF"/>
    </w:rPr>
  </w:style>
  <w:style w:type="paragraph" w:styleId="Heading9">
    <w:name w:val="heading 9"/>
    <w:basedOn w:val="Normal"/>
    <w:next w:val="Normal"/>
    <w:link w:val="Heading9Char"/>
    <w:uiPriority w:val="9"/>
    <w:semiHidden/>
    <w:unhideWhenUsed/>
    <w:rsid w:val="00022C6A"/>
    <w:pPr>
      <w:keepNext/>
      <w:keepLines/>
      <w:spacing w:before="200"/>
      <w:outlineLvl w:val="8"/>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22C6A"/>
    <w:pPr>
      <w:pBdr>
        <w:bottom w:val="single" w:sz="8" w:space="4" w:color="005595" w:themeColor="accent1"/>
      </w:pBdr>
      <w:spacing w:after="300"/>
      <w:contextualSpacing/>
    </w:pPr>
    <w:rPr>
      <w:rFonts w:ascii="Arial" w:eastAsiaTheme="majorEastAsia" w:hAnsi="Arial" w:cstheme="majorBidi"/>
      <w:color w:val="352F24" w:themeColor="text2" w:themeShade="BF"/>
      <w:spacing w:val="5"/>
      <w:kern w:val="28"/>
      <w:sz w:val="52"/>
      <w:szCs w:val="52"/>
    </w:rPr>
  </w:style>
  <w:style w:type="character" w:customStyle="1" w:styleId="TitleChar">
    <w:name w:val="Title Char"/>
    <w:basedOn w:val="DefaultParagraphFont"/>
    <w:link w:val="Title"/>
    <w:uiPriority w:val="10"/>
    <w:rsid w:val="00022C6A"/>
    <w:rPr>
      <w:rFonts w:ascii="Arial" w:eastAsiaTheme="majorEastAsia" w:hAnsi="Arial" w:cstheme="majorBidi"/>
      <w:color w:val="352F24" w:themeColor="text2" w:themeShade="BF"/>
      <w:spacing w:val="5"/>
      <w:kern w:val="28"/>
      <w:sz w:val="52"/>
      <w:szCs w:val="52"/>
    </w:rPr>
  </w:style>
  <w:style w:type="character" w:customStyle="1" w:styleId="Heading2Char">
    <w:name w:val="Heading 2 Char"/>
    <w:basedOn w:val="DefaultParagraphFont"/>
    <w:link w:val="Heading2"/>
    <w:uiPriority w:val="9"/>
    <w:rsid w:val="00FB1555"/>
    <w:rPr>
      <w:rFonts w:ascii="Calibri" w:eastAsia="Times New Roman" w:hAnsi="Calibri"/>
      <w:sz w:val="22"/>
      <w:szCs w:val="52"/>
    </w:rPr>
  </w:style>
  <w:style w:type="character" w:customStyle="1" w:styleId="Heading3Char">
    <w:name w:val="Heading 3 Char"/>
    <w:basedOn w:val="DefaultParagraphFont"/>
    <w:link w:val="Heading3"/>
    <w:uiPriority w:val="9"/>
    <w:rsid w:val="00022C6A"/>
    <w:rPr>
      <w:rFonts w:ascii="Arial" w:eastAsiaTheme="majorEastAsia" w:hAnsi="Arial" w:cstheme="majorBidi"/>
      <w:b/>
      <w:bCs/>
      <w:color w:val="005595" w:themeColor="accent1"/>
    </w:rPr>
  </w:style>
  <w:style w:type="paragraph" w:styleId="Subtitle">
    <w:name w:val="Subtitle"/>
    <w:basedOn w:val="Normal"/>
    <w:next w:val="Normal"/>
    <w:link w:val="SubtitleChar"/>
    <w:uiPriority w:val="11"/>
    <w:qFormat/>
    <w:rsid w:val="00022C6A"/>
    <w:pPr>
      <w:numPr>
        <w:ilvl w:val="1"/>
      </w:numPr>
    </w:pPr>
    <w:rPr>
      <w:rFonts w:ascii="Arial" w:eastAsiaTheme="majorEastAsia" w:hAnsi="Arial" w:cstheme="majorBidi"/>
      <w:i/>
      <w:iCs/>
      <w:color w:val="005595" w:themeColor="accent1"/>
      <w:spacing w:val="15"/>
    </w:rPr>
  </w:style>
  <w:style w:type="character" w:customStyle="1" w:styleId="SubtitleChar">
    <w:name w:val="Subtitle Char"/>
    <w:basedOn w:val="DefaultParagraphFont"/>
    <w:link w:val="Subtitle"/>
    <w:uiPriority w:val="11"/>
    <w:rsid w:val="00022C6A"/>
    <w:rPr>
      <w:rFonts w:ascii="Arial" w:eastAsiaTheme="majorEastAsia" w:hAnsi="Arial" w:cstheme="majorBidi"/>
      <w:i/>
      <w:iCs/>
      <w:color w:val="005595" w:themeColor="accent1"/>
      <w:spacing w:val="15"/>
      <w:sz w:val="24"/>
      <w:szCs w:val="24"/>
    </w:rPr>
  </w:style>
  <w:style w:type="paragraph" w:styleId="Quote">
    <w:name w:val="Quote"/>
    <w:basedOn w:val="Normal"/>
    <w:next w:val="Normal"/>
    <w:link w:val="QuoteChar"/>
    <w:uiPriority w:val="29"/>
    <w:qFormat/>
    <w:rsid w:val="00022C6A"/>
    <w:rPr>
      <w:rFonts w:ascii="Arial" w:hAnsi="Arial"/>
      <w:i/>
      <w:iCs/>
      <w:color w:val="000000" w:themeColor="text1"/>
    </w:rPr>
  </w:style>
  <w:style w:type="character" w:customStyle="1" w:styleId="QuoteChar">
    <w:name w:val="Quote Char"/>
    <w:basedOn w:val="DefaultParagraphFont"/>
    <w:link w:val="Quote"/>
    <w:uiPriority w:val="29"/>
    <w:rsid w:val="00022C6A"/>
    <w:rPr>
      <w:rFonts w:ascii="Arial" w:hAnsi="Arial"/>
      <w:i/>
      <w:iCs/>
      <w:color w:val="000000" w:themeColor="text1"/>
    </w:rPr>
  </w:style>
  <w:style w:type="paragraph" w:styleId="IntenseQuote">
    <w:name w:val="Intense Quote"/>
    <w:basedOn w:val="Normal"/>
    <w:next w:val="Normal"/>
    <w:link w:val="IntenseQuoteChar"/>
    <w:uiPriority w:val="30"/>
    <w:qFormat/>
    <w:rsid w:val="00022C6A"/>
    <w:pPr>
      <w:pBdr>
        <w:bottom w:val="single" w:sz="4" w:space="4" w:color="005595" w:themeColor="accent1"/>
      </w:pBdr>
      <w:spacing w:before="200" w:after="280"/>
      <w:ind w:left="936" w:right="936"/>
    </w:pPr>
    <w:rPr>
      <w:rFonts w:ascii="Arial" w:hAnsi="Arial"/>
      <w:b/>
      <w:bCs/>
      <w:i/>
      <w:iCs/>
      <w:color w:val="005595" w:themeColor="accent1"/>
    </w:rPr>
  </w:style>
  <w:style w:type="character" w:customStyle="1" w:styleId="IntenseQuoteChar">
    <w:name w:val="Intense Quote Char"/>
    <w:basedOn w:val="DefaultParagraphFont"/>
    <w:link w:val="IntenseQuote"/>
    <w:uiPriority w:val="30"/>
    <w:rsid w:val="00022C6A"/>
    <w:rPr>
      <w:rFonts w:ascii="Arial" w:hAnsi="Arial"/>
      <w:b/>
      <w:bCs/>
      <w:i/>
      <w:iCs/>
      <w:color w:val="005595" w:themeColor="accent1"/>
    </w:rPr>
  </w:style>
  <w:style w:type="character" w:customStyle="1" w:styleId="Heading1Char">
    <w:name w:val="Heading 1 Char"/>
    <w:basedOn w:val="DefaultParagraphFont"/>
    <w:link w:val="Heading1"/>
    <w:uiPriority w:val="9"/>
    <w:rsid w:val="00FB1555"/>
    <w:rPr>
      <w:rFonts w:ascii="Calibri" w:eastAsia="Times New Roman" w:hAnsi="Calibri"/>
      <w:sz w:val="22"/>
      <w:szCs w:val="52"/>
    </w:rPr>
  </w:style>
  <w:style w:type="character" w:customStyle="1" w:styleId="Heading4Char">
    <w:name w:val="Heading 4 Char"/>
    <w:basedOn w:val="DefaultParagraphFont"/>
    <w:link w:val="Heading4"/>
    <w:uiPriority w:val="9"/>
    <w:rsid w:val="00022C6A"/>
    <w:rPr>
      <w:rFonts w:ascii="Arial" w:eastAsiaTheme="majorEastAsia" w:hAnsi="Arial" w:cstheme="majorBidi"/>
      <w:b/>
      <w:bCs/>
      <w:i/>
      <w:iCs/>
      <w:color w:val="005595" w:themeColor="accent1"/>
    </w:rPr>
  </w:style>
  <w:style w:type="character" w:customStyle="1" w:styleId="Heading5Char">
    <w:name w:val="Heading 5 Char"/>
    <w:basedOn w:val="DefaultParagraphFont"/>
    <w:link w:val="Heading5"/>
    <w:uiPriority w:val="9"/>
    <w:semiHidden/>
    <w:rsid w:val="00022C6A"/>
    <w:rPr>
      <w:rFonts w:asciiTheme="majorHAnsi" w:eastAsiaTheme="majorEastAsia" w:hAnsiTheme="majorHAnsi" w:cstheme="majorBidi"/>
      <w:color w:val="002A4A" w:themeColor="accent1" w:themeShade="7F"/>
    </w:rPr>
  </w:style>
  <w:style w:type="paragraph" w:styleId="NoSpacing">
    <w:name w:val="No Spacing"/>
    <w:uiPriority w:val="1"/>
    <w:qFormat/>
    <w:rsid w:val="00022C6A"/>
  </w:style>
  <w:style w:type="paragraph" w:styleId="BalloonText">
    <w:name w:val="Balloon Text"/>
    <w:basedOn w:val="Normal"/>
    <w:link w:val="BalloonTextChar"/>
    <w:uiPriority w:val="99"/>
    <w:semiHidden/>
    <w:unhideWhenUsed/>
    <w:rsid w:val="00CD34E7"/>
    <w:rPr>
      <w:rFonts w:ascii="Tahoma" w:hAnsi="Tahoma" w:cs="Tahoma"/>
      <w:sz w:val="16"/>
      <w:szCs w:val="16"/>
    </w:rPr>
  </w:style>
  <w:style w:type="character" w:customStyle="1" w:styleId="BalloonTextChar">
    <w:name w:val="Balloon Text Char"/>
    <w:basedOn w:val="DefaultParagraphFont"/>
    <w:link w:val="BalloonText"/>
    <w:uiPriority w:val="99"/>
    <w:semiHidden/>
    <w:rsid w:val="00CD34E7"/>
    <w:rPr>
      <w:rFonts w:ascii="Tahoma" w:hAnsi="Tahoma" w:cs="Tahoma"/>
      <w:sz w:val="16"/>
      <w:szCs w:val="16"/>
    </w:rPr>
  </w:style>
  <w:style w:type="character" w:customStyle="1" w:styleId="Heading6Char">
    <w:name w:val="Heading 6 Char"/>
    <w:basedOn w:val="DefaultParagraphFont"/>
    <w:link w:val="Heading6"/>
    <w:uiPriority w:val="9"/>
    <w:semiHidden/>
    <w:rsid w:val="00022C6A"/>
    <w:rPr>
      <w:rFonts w:asciiTheme="majorHAnsi" w:eastAsiaTheme="majorEastAsia" w:hAnsiTheme="majorHAnsi" w:cstheme="majorBidi"/>
      <w:i/>
      <w:iCs/>
      <w:color w:val="002A4A" w:themeColor="accent1" w:themeShade="7F"/>
    </w:rPr>
  </w:style>
  <w:style w:type="character" w:customStyle="1" w:styleId="Heading7Char">
    <w:name w:val="Heading 7 Char"/>
    <w:basedOn w:val="DefaultParagraphFont"/>
    <w:link w:val="Heading7"/>
    <w:uiPriority w:val="9"/>
    <w:semiHidden/>
    <w:rsid w:val="00022C6A"/>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022C6A"/>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022C6A"/>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022C6A"/>
    <w:rPr>
      <w:b/>
      <w:bCs/>
      <w:color w:val="005595" w:themeColor="accent1"/>
      <w:sz w:val="18"/>
      <w:szCs w:val="18"/>
    </w:rPr>
  </w:style>
  <w:style w:type="character" w:styleId="Strong">
    <w:name w:val="Strong"/>
    <w:uiPriority w:val="22"/>
    <w:qFormat/>
    <w:rsid w:val="00022C6A"/>
    <w:rPr>
      <w:b/>
      <w:bCs/>
    </w:rPr>
  </w:style>
  <w:style w:type="character" w:styleId="Emphasis">
    <w:name w:val="Emphasis"/>
    <w:uiPriority w:val="20"/>
    <w:qFormat/>
    <w:rsid w:val="00022C6A"/>
    <w:rPr>
      <w:i/>
      <w:iCs/>
    </w:rPr>
  </w:style>
  <w:style w:type="paragraph" w:styleId="ListParagraph">
    <w:name w:val="List Paragraph"/>
    <w:basedOn w:val="Normal"/>
    <w:uiPriority w:val="34"/>
    <w:qFormat/>
    <w:rsid w:val="00022C6A"/>
    <w:pPr>
      <w:ind w:left="720"/>
      <w:contextualSpacing/>
    </w:pPr>
  </w:style>
  <w:style w:type="character" w:styleId="SubtleEmphasis">
    <w:name w:val="Subtle Emphasis"/>
    <w:uiPriority w:val="19"/>
    <w:qFormat/>
    <w:rsid w:val="00022C6A"/>
    <w:rPr>
      <w:i/>
      <w:iCs/>
      <w:color w:val="808080" w:themeColor="text1" w:themeTint="7F"/>
    </w:rPr>
  </w:style>
  <w:style w:type="character" w:styleId="IntenseEmphasis">
    <w:name w:val="Intense Emphasis"/>
    <w:uiPriority w:val="21"/>
    <w:qFormat/>
    <w:rsid w:val="00022C6A"/>
    <w:rPr>
      <w:b/>
      <w:bCs/>
      <w:i/>
      <w:iCs/>
      <w:color w:val="005595" w:themeColor="accent1"/>
    </w:rPr>
  </w:style>
  <w:style w:type="character" w:styleId="SubtleReference">
    <w:name w:val="Subtle Reference"/>
    <w:uiPriority w:val="31"/>
    <w:qFormat/>
    <w:rsid w:val="00022C6A"/>
    <w:rPr>
      <w:smallCaps/>
      <w:color w:val="F7EDC2" w:themeColor="accent2"/>
      <w:u w:val="single"/>
    </w:rPr>
  </w:style>
  <w:style w:type="character" w:styleId="IntenseReference">
    <w:name w:val="Intense Reference"/>
    <w:uiPriority w:val="32"/>
    <w:qFormat/>
    <w:rsid w:val="00022C6A"/>
    <w:rPr>
      <w:b/>
      <w:bCs/>
      <w:smallCaps/>
      <w:color w:val="F7EDC2" w:themeColor="accent2"/>
      <w:spacing w:val="5"/>
      <w:u w:val="single"/>
    </w:rPr>
  </w:style>
  <w:style w:type="character" w:styleId="BookTitle">
    <w:name w:val="Book Title"/>
    <w:uiPriority w:val="33"/>
    <w:qFormat/>
    <w:rsid w:val="00022C6A"/>
    <w:rPr>
      <w:b/>
      <w:bCs/>
      <w:smallCaps/>
      <w:spacing w:val="5"/>
    </w:rPr>
  </w:style>
  <w:style w:type="paragraph" w:styleId="TOCHeading">
    <w:name w:val="TOC Heading"/>
    <w:basedOn w:val="Heading1"/>
    <w:next w:val="Normal"/>
    <w:uiPriority w:val="39"/>
    <w:unhideWhenUsed/>
    <w:qFormat/>
    <w:rsid w:val="00022C6A"/>
    <w:pPr>
      <w:outlineLvl w:val="9"/>
    </w:pPr>
    <w:rPr>
      <w:rFonts w:asciiTheme="majorHAnsi" w:hAnsiTheme="majorHAnsi"/>
    </w:rPr>
  </w:style>
  <w:style w:type="paragraph" w:customStyle="1" w:styleId="CLAphoneandweb">
    <w:name w:val="CLA phone and web"/>
    <w:qFormat/>
    <w:rsid w:val="00CF2ACD"/>
    <w:pPr>
      <w:spacing w:before="60"/>
    </w:pPr>
    <w:rPr>
      <w:rFonts w:ascii="Arial Narrow" w:eastAsia="Times New Roman" w:hAnsi="Arial Narrow" w:cs="Arial"/>
      <w:color w:val="003767"/>
      <w:sz w:val="18"/>
      <w:szCs w:val="18"/>
    </w:rPr>
  </w:style>
  <w:style w:type="paragraph" w:customStyle="1" w:styleId="CLALTRNormal">
    <w:name w:val="CLA LTR Normal"/>
    <w:link w:val="CLALTRNormalChar"/>
    <w:qFormat/>
    <w:rsid w:val="00D56892"/>
    <w:pPr>
      <w:spacing w:after="240"/>
    </w:pPr>
    <w:rPr>
      <w:rFonts w:ascii="Calibri" w:eastAsia="Times" w:hAnsi="Calibri"/>
      <w:sz w:val="22"/>
    </w:rPr>
  </w:style>
  <w:style w:type="character" w:customStyle="1" w:styleId="CLALTRNormalChar">
    <w:name w:val="CLA LTR Normal Char"/>
    <w:basedOn w:val="DefaultParagraphFont"/>
    <w:link w:val="CLALTRNormal"/>
    <w:rsid w:val="00D56892"/>
    <w:rPr>
      <w:rFonts w:ascii="Calibri" w:eastAsia="Times" w:hAnsi="Calibri"/>
      <w:sz w:val="22"/>
    </w:rPr>
  </w:style>
  <w:style w:type="paragraph" w:customStyle="1" w:styleId="CLALTRAddressorSignature">
    <w:name w:val="CLA LTR Address or Signature"/>
    <w:basedOn w:val="CLALTRNormal"/>
    <w:next w:val="CLALTRNormal"/>
    <w:rsid w:val="00D56892"/>
    <w:pPr>
      <w:spacing w:after="0"/>
    </w:pPr>
  </w:style>
  <w:style w:type="paragraph" w:customStyle="1" w:styleId="CLALTRHeaderorFooter">
    <w:name w:val="CLA LTR Header or Footer"/>
    <w:basedOn w:val="CLALTRNormal"/>
    <w:qFormat/>
    <w:rsid w:val="00D56892"/>
    <w:pPr>
      <w:spacing w:after="0"/>
    </w:pPr>
    <w:rPr>
      <w:rFonts w:cstheme="minorHAnsi"/>
      <w:color w:val="808080"/>
      <w:sz w:val="18"/>
      <w:szCs w:val="22"/>
    </w:rPr>
  </w:style>
  <w:style w:type="paragraph" w:customStyle="1" w:styleId="CLALTRHeading1">
    <w:name w:val="CLA LTR Heading 1"/>
    <w:basedOn w:val="CLALTRNormal"/>
    <w:qFormat/>
    <w:rsid w:val="00D56892"/>
    <w:pPr>
      <w:spacing w:after="60"/>
    </w:pPr>
    <w:rPr>
      <w:b/>
    </w:rPr>
  </w:style>
  <w:style w:type="paragraph" w:customStyle="1" w:styleId="CLALTRHeading2">
    <w:name w:val="CLA LTR Heading 2"/>
    <w:basedOn w:val="CLALTRHeading1"/>
    <w:next w:val="CLALTRNormal"/>
    <w:qFormat/>
    <w:rsid w:val="00D56892"/>
    <w:rPr>
      <w:i/>
    </w:rPr>
  </w:style>
  <w:style w:type="paragraph" w:customStyle="1" w:styleId="CLALTRHeading3">
    <w:name w:val="CLA LTR Heading 3"/>
    <w:basedOn w:val="CLALTRNormal"/>
    <w:next w:val="CLALTRNormal"/>
    <w:qFormat/>
    <w:rsid w:val="00D56892"/>
    <w:pPr>
      <w:spacing w:after="60"/>
      <w:ind w:left="720"/>
    </w:pPr>
    <w:rPr>
      <w:b/>
    </w:rPr>
  </w:style>
  <w:style w:type="paragraph" w:customStyle="1" w:styleId="CLALTRHeading4">
    <w:name w:val="CLA LTR Heading 4"/>
    <w:basedOn w:val="CLALTRNormal"/>
    <w:next w:val="CLALTRNormal"/>
    <w:qFormat/>
    <w:rsid w:val="00D56892"/>
    <w:pPr>
      <w:spacing w:after="60"/>
      <w:ind w:left="720"/>
    </w:pPr>
    <w:rPr>
      <w:b/>
      <w:i/>
    </w:rPr>
  </w:style>
  <w:style w:type="paragraph" w:customStyle="1" w:styleId="CLALTRNormalIndent">
    <w:name w:val="CLA LTR Normal Indent"/>
    <w:basedOn w:val="CLALTRNormal"/>
    <w:next w:val="CLALTRNormal"/>
    <w:qFormat/>
    <w:rsid w:val="00D56892"/>
    <w:pPr>
      <w:ind w:left="720"/>
    </w:pPr>
  </w:style>
  <w:style w:type="paragraph" w:customStyle="1" w:styleId="CLALTRCircular230">
    <w:name w:val="CLA LTR Circular 230"/>
    <w:basedOn w:val="CLALTRNormal"/>
    <w:next w:val="CLALTRNormal"/>
    <w:qFormat/>
    <w:rsid w:val="00D56892"/>
    <w:rPr>
      <w:color w:val="7F7F7F" w:themeColor="text1" w:themeTint="80"/>
    </w:rPr>
  </w:style>
  <w:style w:type="paragraph" w:customStyle="1" w:styleId="CLALTRDate">
    <w:name w:val="CLA LTR Date"/>
    <w:basedOn w:val="CLALTRNormal"/>
    <w:next w:val="CLALTRAddressorSignature"/>
    <w:qFormat/>
    <w:rsid w:val="00D56892"/>
    <w:pPr>
      <w:spacing w:before="480"/>
    </w:pPr>
  </w:style>
  <w:style w:type="paragraph" w:customStyle="1" w:styleId="CLALTRSignLine">
    <w:name w:val="CLA LTR Sign Line"/>
    <w:basedOn w:val="CLALTRNormal"/>
    <w:next w:val="CLALTRNormal"/>
    <w:qFormat/>
    <w:rsid w:val="00D56892"/>
    <w:rPr>
      <w:rFonts w:cstheme="minorHAnsi"/>
      <w:b/>
    </w:rPr>
  </w:style>
  <w:style w:type="paragraph" w:customStyle="1" w:styleId="CLALTRHiddenText">
    <w:name w:val="CLA LTR Hidden Text"/>
    <w:basedOn w:val="CLALTRNormal"/>
    <w:next w:val="CLALTRNormal"/>
    <w:link w:val="CLALTRHiddenTextChar"/>
    <w:qFormat/>
    <w:rsid w:val="00D56892"/>
    <w:rPr>
      <w:b/>
      <w:i/>
      <w:vanish/>
      <w:color w:val="FF0000"/>
    </w:rPr>
  </w:style>
  <w:style w:type="paragraph" w:styleId="Header">
    <w:name w:val="header"/>
    <w:basedOn w:val="Normal"/>
    <w:link w:val="HeaderChar"/>
    <w:uiPriority w:val="99"/>
    <w:unhideWhenUsed/>
    <w:rsid w:val="0088412E"/>
    <w:pPr>
      <w:tabs>
        <w:tab w:val="center" w:pos="4680"/>
        <w:tab w:val="right" w:pos="9360"/>
      </w:tabs>
    </w:pPr>
  </w:style>
  <w:style w:type="character" w:customStyle="1" w:styleId="HeaderChar">
    <w:name w:val="Header Char"/>
    <w:basedOn w:val="DefaultParagraphFont"/>
    <w:link w:val="Header"/>
    <w:uiPriority w:val="99"/>
    <w:rsid w:val="0088412E"/>
    <w:rPr>
      <w:rFonts w:eastAsia="Times New Roman"/>
      <w:sz w:val="24"/>
      <w:szCs w:val="24"/>
    </w:rPr>
  </w:style>
  <w:style w:type="paragraph" w:styleId="Footer">
    <w:name w:val="footer"/>
    <w:basedOn w:val="Normal"/>
    <w:link w:val="FooterChar"/>
    <w:uiPriority w:val="99"/>
    <w:unhideWhenUsed/>
    <w:rsid w:val="0088412E"/>
    <w:pPr>
      <w:tabs>
        <w:tab w:val="center" w:pos="4680"/>
        <w:tab w:val="right" w:pos="9360"/>
      </w:tabs>
    </w:pPr>
  </w:style>
  <w:style w:type="character" w:customStyle="1" w:styleId="FooterChar">
    <w:name w:val="Footer Char"/>
    <w:basedOn w:val="DefaultParagraphFont"/>
    <w:link w:val="Footer"/>
    <w:uiPriority w:val="99"/>
    <w:rsid w:val="0088412E"/>
    <w:rPr>
      <w:rFonts w:eastAsia="Times New Roman"/>
      <w:sz w:val="24"/>
      <w:szCs w:val="24"/>
    </w:rPr>
  </w:style>
  <w:style w:type="paragraph" w:customStyle="1" w:styleId="CLAaddress">
    <w:name w:val="CLA address"/>
    <w:qFormat/>
    <w:rsid w:val="0088412E"/>
    <w:rPr>
      <w:rFonts w:ascii="Arial Narrow" w:eastAsia="Times New Roman" w:hAnsi="Arial Narrow" w:cs="Arial"/>
      <w:color w:val="003767"/>
      <w:sz w:val="18"/>
      <w:szCs w:val="18"/>
    </w:rPr>
  </w:style>
  <w:style w:type="paragraph" w:customStyle="1" w:styleId="CLAProNormal">
    <w:name w:val="CLA Pro Normal"/>
    <w:link w:val="CLAProNormalChar"/>
    <w:qFormat/>
    <w:rsid w:val="001E73B8"/>
    <w:pPr>
      <w:spacing w:after="240"/>
    </w:pPr>
    <w:rPr>
      <w:rFonts w:ascii="Calibri" w:eastAsia="Times New Roman" w:hAnsi="Calibri"/>
      <w:sz w:val="22"/>
      <w:szCs w:val="52"/>
    </w:rPr>
  </w:style>
  <w:style w:type="paragraph" w:customStyle="1" w:styleId="CLAProTitle">
    <w:name w:val="CLA Pro Title"/>
    <w:next w:val="CLAProNormal"/>
    <w:qFormat/>
    <w:rsid w:val="008348FE"/>
    <w:pPr>
      <w:pBdr>
        <w:left w:val="single" w:sz="12" w:space="16" w:color="003767"/>
      </w:pBdr>
      <w:spacing w:after="60"/>
      <w:ind w:left="4140"/>
    </w:pPr>
    <w:rPr>
      <w:rFonts w:ascii="Calibri" w:eastAsia="Times New Roman" w:hAnsi="Calibri"/>
      <w:b/>
      <w:color w:val="003767"/>
      <w:sz w:val="52"/>
      <w:szCs w:val="52"/>
    </w:rPr>
  </w:style>
  <w:style w:type="paragraph" w:customStyle="1" w:styleId="CLAProSubtitle">
    <w:name w:val="CLA Pro Subtitle"/>
    <w:next w:val="CLAProTitle"/>
    <w:qFormat/>
    <w:rsid w:val="00473C08"/>
    <w:pPr>
      <w:pBdr>
        <w:left w:val="single" w:sz="12" w:space="16" w:color="003767"/>
      </w:pBdr>
      <w:spacing w:after="120"/>
      <w:ind w:left="4140"/>
    </w:pPr>
    <w:rPr>
      <w:rFonts w:ascii="Calibri" w:eastAsia="Times New Roman" w:hAnsi="Calibri"/>
      <w:b/>
      <w:color w:val="000000" w:themeColor="text1"/>
      <w:sz w:val="28"/>
      <w:szCs w:val="28"/>
    </w:rPr>
  </w:style>
  <w:style w:type="paragraph" w:customStyle="1" w:styleId="CLAProNormalNoSpaceAfter">
    <w:name w:val="CLA Pro Normal No Space After"/>
    <w:next w:val="CLAProNormal"/>
    <w:qFormat/>
    <w:rsid w:val="00962B68"/>
    <w:rPr>
      <w:rFonts w:ascii="Calibri" w:eastAsia="Times New Roman" w:hAnsi="Calibri"/>
      <w:sz w:val="22"/>
      <w:szCs w:val="52"/>
    </w:rPr>
  </w:style>
  <w:style w:type="paragraph" w:customStyle="1" w:styleId="CLAProSectionTitle">
    <w:name w:val="CLA Pro Section Title"/>
    <w:next w:val="CLAProNormal"/>
    <w:qFormat/>
    <w:rsid w:val="001E220F"/>
    <w:pPr>
      <w:keepNext/>
      <w:pageBreakBefore/>
      <w:spacing w:after="240"/>
      <w:outlineLvl w:val="0"/>
    </w:pPr>
    <w:rPr>
      <w:rFonts w:ascii="Calibri" w:eastAsia="Times New Roman" w:hAnsi="Calibri"/>
      <w:b/>
      <w:caps/>
      <w:color w:val="660003"/>
      <w:sz w:val="36"/>
      <w:szCs w:val="36"/>
    </w:rPr>
  </w:style>
  <w:style w:type="character" w:styleId="Hyperlink">
    <w:name w:val="Hyperlink"/>
    <w:basedOn w:val="DefaultParagraphFont"/>
    <w:uiPriority w:val="99"/>
    <w:unhideWhenUsed/>
    <w:rsid w:val="00343A94"/>
    <w:rPr>
      <w:color w:val="B55341" w:themeColor="hyperlink"/>
      <w:u w:val="single"/>
    </w:rPr>
  </w:style>
  <w:style w:type="paragraph" w:styleId="TOC1">
    <w:name w:val="toc 1"/>
    <w:basedOn w:val="Normal"/>
    <w:next w:val="Normal"/>
    <w:autoRedefine/>
    <w:uiPriority w:val="39"/>
    <w:unhideWhenUsed/>
    <w:rsid w:val="001E220F"/>
    <w:pPr>
      <w:tabs>
        <w:tab w:val="right" w:leader="underscore" w:pos="10070"/>
      </w:tabs>
      <w:spacing w:after="100"/>
    </w:pPr>
    <w:rPr>
      <w:rFonts w:ascii="Calibri" w:hAnsi="Calibri"/>
      <w:b/>
      <w:color w:val="A04D1D"/>
    </w:rPr>
  </w:style>
  <w:style w:type="paragraph" w:styleId="TOC2">
    <w:name w:val="toc 2"/>
    <w:basedOn w:val="Normal"/>
    <w:next w:val="Normal"/>
    <w:autoRedefine/>
    <w:uiPriority w:val="39"/>
    <w:unhideWhenUsed/>
    <w:rsid w:val="003A1095"/>
    <w:pPr>
      <w:tabs>
        <w:tab w:val="right" w:leader="underscore" w:pos="10070"/>
      </w:tabs>
      <w:spacing w:after="100"/>
      <w:ind w:left="240"/>
    </w:pPr>
    <w:rPr>
      <w:rFonts w:ascii="Calibri" w:hAnsi="Calibri"/>
    </w:rPr>
  </w:style>
  <w:style w:type="paragraph" w:styleId="TOC3">
    <w:name w:val="toc 3"/>
    <w:basedOn w:val="Normal"/>
    <w:next w:val="Normal"/>
    <w:autoRedefine/>
    <w:uiPriority w:val="39"/>
    <w:unhideWhenUsed/>
    <w:rsid w:val="00343A94"/>
    <w:pPr>
      <w:spacing w:after="100"/>
      <w:ind w:left="480"/>
    </w:pPr>
    <w:rPr>
      <w:rFonts w:ascii="Calibri" w:hAnsi="Calibri"/>
    </w:rPr>
  </w:style>
  <w:style w:type="paragraph" w:styleId="TOC4">
    <w:name w:val="toc 4"/>
    <w:basedOn w:val="Normal"/>
    <w:next w:val="Normal"/>
    <w:autoRedefine/>
    <w:uiPriority w:val="39"/>
    <w:semiHidden/>
    <w:unhideWhenUsed/>
    <w:rsid w:val="00343A94"/>
    <w:pPr>
      <w:spacing w:after="100"/>
      <w:ind w:left="720"/>
    </w:pPr>
    <w:rPr>
      <w:rFonts w:ascii="Calibri" w:hAnsi="Calibri"/>
    </w:rPr>
  </w:style>
  <w:style w:type="paragraph" w:styleId="TOC5">
    <w:name w:val="toc 5"/>
    <w:basedOn w:val="Normal"/>
    <w:next w:val="Normal"/>
    <w:autoRedefine/>
    <w:uiPriority w:val="39"/>
    <w:semiHidden/>
    <w:unhideWhenUsed/>
    <w:rsid w:val="00343A94"/>
    <w:pPr>
      <w:spacing w:after="100"/>
      <w:ind w:left="960"/>
    </w:pPr>
    <w:rPr>
      <w:rFonts w:ascii="Calibri" w:hAnsi="Calibri"/>
    </w:rPr>
  </w:style>
  <w:style w:type="paragraph" w:customStyle="1" w:styleId="CLAProTOC">
    <w:name w:val="CLA Pro TOC"/>
    <w:next w:val="CLAProNormal"/>
    <w:qFormat/>
    <w:rsid w:val="00CF2370"/>
    <w:pPr>
      <w:pBdr>
        <w:top w:val="single" w:sz="18" w:space="3" w:color="003767"/>
      </w:pBdr>
      <w:spacing w:after="240"/>
    </w:pPr>
    <w:rPr>
      <w:rFonts w:ascii="Calibri" w:eastAsia="Times New Roman" w:hAnsi="Calibri"/>
      <w:b/>
      <w:caps/>
      <w:color w:val="003767"/>
      <w:sz w:val="36"/>
      <w:szCs w:val="36"/>
    </w:rPr>
  </w:style>
  <w:style w:type="paragraph" w:customStyle="1" w:styleId="CLAProHeading1">
    <w:name w:val="CLA Pro Heading 1"/>
    <w:next w:val="CLAProNormal"/>
    <w:autoRedefine/>
    <w:qFormat/>
    <w:rsid w:val="001E220F"/>
    <w:pPr>
      <w:keepNext/>
      <w:spacing w:after="60"/>
      <w:outlineLvl w:val="1"/>
    </w:pPr>
    <w:rPr>
      <w:rFonts w:ascii="Calibri" w:eastAsia="Times New Roman" w:hAnsi="Calibri"/>
      <w:b/>
      <w:color w:val="A04D1D"/>
      <w:sz w:val="28"/>
      <w:szCs w:val="22"/>
    </w:rPr>
  </w:style>
  <w:style w:type="paragraph" w:customStyle="1" w:styleId="ProposalBodyStyle-2column">
    <w:name w:val="Proposal Body Style - 2 column"/>
    <w:basedOn w:val="Normal"/>
    <w:link w:val="ProposalBodyStyle-2columnChar"/>
    <w:rsid w:val="00CF2370"/>
    <w:pPr>
      <w:tabs>
        <w:tab w:val="left" w:pos="5400"/>
      </w:tabs>
      <w:spacing w:line="300" w:lineRule="exact"/>
    </w:pPr>
    <w:rPr>
      <w:rFonts w:asciiTheme="minorHAnsi" w:hAnsiTheme="minorHAnsi"/>
      <w:sz w:val="22"/>
    </w:rPr>
  </w:style>
  <w:style w:type="character" w:customStyle="1" w:styleId="ProposalBodyStyle-2columnChar">
    <w:name w:val="Proposal Body Style - 2 column Char"/>
    <w:basedOn w:val="DefaultParagraphFont"/>
    <w:link w:val="ProposalBodyStyle-2column"/>
    <w:rsid w:val="00CF2370"/>
    <w:rPr>
      <w:rFonts w:asciiTheme="minorHAnsi" w:eastAsia="Times New Roman" w:hAnsiTheme="minorHAnsi"/>
      <w:sz w:val="22"/>
      <w:szCs w:val="24"/>
    </w:rPr>
  </w:style>
  <w:style w:type="table" w:styleId="TableGrid">
    <w:name w:val="Table Grid"/>
    <w:basedOn w:val="TableNormal"/>
    <w:rsid w:val="00CF2370"/>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LAProHeading2">
    <w:name w:val="CLA Pro Heading 2"/>
    <w:next w:val="CLAProNormal"/>
    <w:qFormat/>
    <w:rsid w:val="004F4D80"/>
    <w:pPr>
      <w:keepNext/>
      <w:spacing w:after="60"/>
    </w:pPr>
    <w:rPr>
      <w:rFonts w:ascii="Calibri" w:eastAsia="Times New Roman" w:hAnsi="Calibri"/>
      <w:b/>
      <w:i/>
      <w:color w:val="003767"/>
      <w:sz w:val="22"/>
      <w:szCs w:val="22"/>
    </w:rPr>
  </w:style>
  <w:style w:type="paragraph" w:customStyle="1" w:styleId="CLAProHeading3">
    <w:name w:val="CLA Pro Heading 3"/>
    <w:next w:val="CLAProNormal"/>
    <w:qFormat/>
    <w:rsid w:val="00730F7E"/>
    <w:pPr>
      <w:keepNext/>
      <w:ind w:left="720"/>
    </w:pPr>
    <w:rPr>
      <w:rFonts w:ascii="Calibri" w:eastAsia="Times New Roman" w:hAnsi="Calibri"/>
      <w:b/>
      <w:color w:val="003767"/>
      <w:sz w:val="22"/>
      <w:szCs w:val="24"/>
    </w:rPr>
  </w:style>
  <w:style w:type="paragraph" w:customStyle="1" w:styleId="CLAProNormalIndent">
    <w:name w:val="CLA Pro Normal Indent"/>
    <w:qFormat/>
    <w:rsid w:val="00BC5654"/>
    <w:pPr>
      <w:spacing w:after="240"/>
      <w:ind w:left="720"/>
    </w:pPr>
    <w:rPr>
      <w:rFonts w:ascii="Calibri" w:eastAsia="Times New Roman" w:hAnsi="Calibri"/>
      <w:sz w:val="22"/>
      <w:szCs w:val="52"/>
    </w:rPr>
  </w:style>
  <w:style w:type="paragraph" w:customStyle="1" w:styleId="CLAProHeading4">
    <w:name w:val="CLA Pro Heading 4"/>
    <w:next w:val="CLALTRNormalIndent"/>
    <w:qFormat/>
    <w:rsid w:val="00730F7E"/>
    <w:pPr>
      <w:keepNext/>
      <w:spacing w:after="60"/>
      <w:ind w:left="720"/>
    </w:pPr>
    <w:rPr>
      <w:rFonts w:ascii="Calibri" w:eastAsia="Times New Roman" w:hAnsi="Calibri"/>
      <w:b/>
      <w:i/>
      <w:color w:val="003767"/>
      <w:sz w:val="22"/>
      <w:szCs w:val="22"/>
    </w:rPr>
  </w:style>
  <w:style w:type="table" w:customStyle="1" w:styleId="CLAProTable">
    <w:name w:val="CLA Pro Table"/>
    <w:basedOn w:val="TableNormal"/>
    <w:uiPriority w:val="99"/>
    <w:qFormat/>
    <w:rsid w:val="00E76C4C"/>
    <w:rPr>
      <w:rFonts w:ascii="Calibri" w:hAnsi="Calibri"/>
    </w:rPr>
    <w:tblPr>
      <w:tblStyleRowBandSize w:val="1"/>
      <w:tblBorders>
        <w:insideH w:val="single" w:sz="2" w:space="0" w:color="FFFFFF" w:themeColor="background1"/>
        <w:insideV w:val="single" w:sz="2" w:space="0" w:color="FFFFFF" w:themeColor="background1"/>
      </w:tblBorders>
      <w:tblCellMar>
        <w:top w:w="72" w:type="dxa"/>
        <w:left w:w="173" w:type="dxa"/>
        <w:bottom w:w="72" w:type="dxa"/>
        <w:right w:w="173" w:type="dxa"/>
      </w:tblCellMar>
    </w:tblPr>
    <w:tblStylePr w:type="firstRow">
      <w:pPr>
        <w:jc w:val="left"/>
      </w:pPr>
      <w:rPr>
        <w:rFonts w:ascii="Calibri" w:hAnsi="Calibri"/>
        <w:b/>
        <w:color w:val="FFFFFF" w:themeColor="background1"/>
      </w:rPr>
      <w:tblPr/>
      <w:tcPr>
        <w:shd w:val="clear" w:color="auto" w:fill="4F3353"/>
      </w:tcPr>
    </w:tblStylePr>
    <w:tblStylePr w:type="band1Horz">
      <w:rPr>
        <w:rFonts w:ascii="Calibri" w:hAnsi="Calibri"/>
        <w:sz w:val="20"/>
      </w:rPr>
      <w:tblPr/>
      <w:tcPr>
        <w:shd w:val="clear" w:color="auto" w:fill="F1E3C5"/>
      </w:tcPr>
    </w:tblStylePr>
    <w:tblStylePr w:type="band2Horz">
      <w:pPr>
        <w:jc w:val="left"/>
      </w:pPr>
      <w:rPr>
        <w:rFonts w:ascii="Calibri" w:hAnsi="Calibri"/>
        <w:sz w:val="20"/>
      </w:rPr>
      <w:tblPr/>
      <w:tcPr>
        <w:shd w:val="clear" w:color="auto" w:fill="F9F4E8"/>
      </w:tcPr>
    </w:tblStylePr>
  </w:style>
  <w:style w:type="table" w:customStyle="1" w:styleId="LightShading-Accent11">
    <w:name w:val="Light Shading - Accent 11"/>
    <w:basedOn w:val="TableNormal"/>
    <w:uiPriority w:val="60"/>
    <w:rsid w:val="0081738A"/>
    <w:rPr>
      <w:color w:val="003F6F" w:themeColor="accent1" w:themeShade="BF"/>
    </w:rPr>
    <w:tblPr>
      <w:tblStyleRowBandSize w:val="1"/>
      <w:tblStyleColBandSize w:val="1"/>
      <w:tblBorders>
        <w:top w:val="single" w:sz="8" w:space="0" w:color="005595" w:themeColor="accent1"/>
        <w:bottom w:val="single" w:sz="8" w:space="0" w:color="005595" w:themeColor="accent1"/>
      </w:tblBorders>
    </w:tblPr>
    <w:tblStylePr w:type="firstRow">
      <w:pPr>
        <w:spacing w:before="0" w:after="0" w:line="240" w:lineRule="auto"/>
      </w:pPr>
      <w:rPr>
        <w:b/>
        <w:bCs/>
      </w:rPr>
      <w:tblPr/>
      <w:tcPr>
        <w:tcBorders>
          <w:top w:val="single" w:sz="8" w:space="0" w:color="005595" w:themeColor="accent1"/>
          <w:left w:val="nil"/>
          <w:bottom w:val="single" w:sz="8" w:space="0" w:color="005595" w:themeColor="accent1"/>
          <w:right w:val="nil"/>
          <w:insideH w:val="nil"/>
          <w:insideV w:val="nil"/>
        </w:tcBorders>
      </w:tcPr>
    </w:tblStylePr>
    <w:tblStylePr w:type="lastRow">
      <w:pPr>
        <w:spacing w:before="0" w:after="0" w:line="240" w:lineRule="auto"/>
      </w:pPr>
      <w:rPr>
        <w:b/>
        <w:bCs/>
      </w:rPr>
      <w:tblPr/>
      <w:tcPr>
        <w:tcBorders>
          <w:top w:val="single" w:sz="8" w:space="0" w:color="005595" w:themeColor="accent1"/>
          <w:left w:val="nil"/>
          <w:bottom w:val="single" w:sz="8" w:space="0" w:color="00559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5D8FF" w:themeFill="accent1" w:themeFillTint="3F"/>
      </w:tcPr>
    </w:tblStylePr>
    <w:tblStylePr w:type="band1Horz">
      <w:tblPr/>
      <w:tcPr>
        <w:tcBorders>
          <w:left w:val="nil"/>
          <w:right w:val="nil"/>
          <w:insideH w:val="nil"/>
          <w:insideV w:val="nil"/>
        </w:tcBorders>
        <w:shd w:val="clear" w:color="auto" w:fill="A5D8FF" w:themeFill="accent1" w:themeFillTint="3F"/>
      </w:tcPr>
    </w:tblStylePr>
  </w:style>
  <w:style w:type="paragraph" w:customStyle="1" w:styleId="CLAProQuote">
    <w:name w:val="CLA Pro Quote"/>
    <w:qFormat/>
    <w:rsid w:val="00C65E22"/>
    <w:rPr>
      <w:rFonts w:ascii="Calibri" w:eastAsia="Times New Roman" w:hAnsi="Calibri"/>
      <w:color w:val="FFFFFF" w:themeColor="background1"/>
      <w:sz w:val="32"/>
      <w:szCs w:val="24"/>
    </w:rPr>
  </w:style>
  <w:style w:type="paragraph" w:customStyle="1" w:styleId="ProposalHeading">
    <w:name w:val="Proposal Heading"/>
    <w:basedOn w:val="Normal"/>
    <w:link w:val="ProposalHeadingChar"/>
    <w:rsid w:val="005B4B9B"/>
    <w:pPr>
      <w:tabs>
        <w:tab w:val="left" w:pos="5400"/>
      </w:tabs>
      <w:spacing w:line="290" w:lineRule="exact"/>
    </w:pPr>
    <w:rPr>
      <w:rFonts w:ascii="Calibri" w:hAnsi="Calibri"/>
      <w:b/>
      <w:color w:val="003567"/>
    </w:rPr>
  </w:style>
  <w:style w:type="character" w:customStyle="1" w:styleId="ProposalHeadingChar">
    <w:name w:val="Proposal Heading Char"/>
    <w:basedOn w:val="DefaultParagraphFont"/>
    <w:link w:val="ProposalHeading"/>
    <w:rsid w:val="005B4B9B"/>
    <w:rPr>
      <w:rFonts w:ascii="Calibri" w:eastAsia="Times New Roman" w:hAnsi="Calibri"/>
      <w:b/>
      <w:color w:val="003567"/>
      <w:sz w:val="24"/>
      <w:szCs w:val="24"/>
    </w:rPr>
  </w:style>
  <w:style w:type="paragraph" w:customStyle="1" w:styleId="ProposalBodyText">
    <w:name w:val="Proposal Body Text"/>
    <w:basedOn w:val="PlainText"/>
    <w:link w:val="ProposalBodyTextChar"/>
    <w:rsid w:val="005B4B9B"/>
    <w:pPr>
      <w:spacing w:line="300" w:lineRule="exact"/>
    </w:pPr>
    <w:rPr>
      <w:rFonts w:asciiTheme="minorHAnsi" w:hAnsiTheme="minorHAnsi" w:cs="Times New Roman"/>
      <w:sz w:val="22"/>
      <w:szCs w:val="20"/>
    </w:rPr>
  </w:style>
  <w:style w:type="character" w:customStyle="1" w:styleId="ProposalBodyTextChar">
    <w:name w:val="Proposal Body Text Char"/>
    <w:basedOn w:val="DefaultParagraphFont"/>
    <w:link w:val="ProposalBodyText"/>
    <w:rsid w:val="005B4B9B"/>
    <w:rPr>
      <w:rFonts w:asciiTheme="minorHAnsi" w:eastAsia="Times New Roman" w:hAnsiTheme="minorHAnsi"/>
      <w:sz w:val="22"/>
    </w:rPr>
  </w:style>
  <w:style w:type="paragraph" w:customStyle="1" w:styleId="ProposalSubHeading">
    <w:name w:val="Proposal Sub Heading"/>
    <w:basedOn w:val="ProposalHeading"/>
    <w:qFormat/>
    <w:rsid w:val="005B4B9B"/>
    <w:rPr>
      <w:i/>
      <w:sz w:val="22"/>
    </w:rPr>
  </w:style>
  <w:style w:type="paragraph" w:styleId="PlainText">
    <w:name w:val="Plain Text"/>
    <w:basedOn w:val="Normal"/>
    <w:link w:val="PlainTextChar"/>
    <w:uiPriority w:val="99"/>
    <w:semiHidden/>
    <w:unhideWhenUsed/>
    <w:rsid w:val="005B4B9B"/>
    <w:rPr>
      <w:rFonts w:ascii="Consolas" w:hAnsi="Consolas" w:cs="Consolas"/>
      <w:sz w:val="21"/>
      <w:szCs w:val="21"/>
    </w:rPr>
  </w:style>
  <w:style w:type="character" w:customStyle="1" w:styleId="PlainTextChar">
    <w:name w:val="Plain Text Char"/>
    <w:basedOn w:val="DefaultParagraphFont"/>
    <w:link w:val="PlainText"/>
    <w:uiPriority w:val="99"/>
    <w:semiHidden/>
    <w:rsid w:val="005B4B9B"/>
    <w:rPr>
      <w:rFonts w:ascii="Consolas" w:eastAsia="Times New Roman" w:hAnsi="Consolas" w:cs="Consolas"/>
      <w:sz w:val="21"/>
      <w:szCs w:val="21"/>
    </w:rPr>
  </w:style>
  <w:style w:type="paragraph" w:customStyle="1" w:styleId="CLABioName">
    <w:name w:val="CLA Bio Name"/>
    <w:next w:val="CLAProHeading1"/>
    <w:qFormat/>
    <w:rsid w:val="005B4B9B"/>
    <w:pPr>
      <w:spacing w:after="60"/>
    </w:pPr>
    <w:rPr>
      <w:rFonts w:ascii="Calibri" w:eastAsia="Corbel" w:hAnsi="Calibri"/>
      <w:b/>
      <w:color w:val="003767"/>
      <w:sz w:val="24"/>
      <w:szCs w:val="24"/>
    </w:rPr>
  </w:style>
  <w:style w:type="paragraph" w:customStyle="1" w:styleId="CLAProFooter">
    <w:name w:val="CLA Pro Footer"/>
    <w:qFormat/>
    <w:rsid w:val="00DA3A0C"/>
    <w:pPr>
      <w:tabs>
        <w:tab w:val="right" w:pos="10080"/>
      </w:tabs>
    </w:pPr>
    <w:rPr>
      <w:rFonts w:ascii="Calibri" w:eastAsia="Times New Roman" w:hAnsi="Calibri"/>
      <w:color w:val="7F7F7F" w:themeColor="text1" w:themeTint="80"/>
      <w:sz w:val="16"/>
    </w:rPr>
  </w:style>
  <w:style w:type="paragraph" w:customStyle="1" w:styleId="ProposalBulletStyle">
    <w:name w:val="Proposal Bullet Style"/>
    <w:basedOn w:val="Normal"/>
    <w:link w:val="ProposalBulletStyleChar"/>
    <w:rsid w:val="00BF581A"/>
    <w:pPr>
      <w:numPr>
        <w:numId w:val="1"/>
      </w:numPr>
      <w:tabs>
        <w:tab w:val="left" w:pos="5400"/>
      </w:tabs>
      <w:spacing w:line="290" w:lineRule="exact"/>
    </w:pPr>
    <w:rPr>
      <w:rFonts w:asciiTheme="minorHAnsi" w:hAnsiTheme="minorHAnsi"/>
      <w:sz w:val="22"/>
    </w:rPr>
  </w:style>
  <w:style w:type="paragraph" w:styleId="CommentText">
    <w:name w:val="annotation text"/>
    <w:basedOn w:val="Normal"/>
    <w:link w:val="CommentTextChar"/>
    <w:unhideWhenUsed/>
    <w:rsid w:val="00BF581A"/>
    <w:pPr>
      <w:spacing w:after="200"/>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rsid w:val="00BF581A"/>
    <w:rPr>
      <w:rFonts w:asciiTheme="minorHAnsi" w:hAnsiTheme="minorHAnsi" w:cstheme="minorBidi"/>
    </w:rPr>
  </w:style>
  <w:style w:type="character" w:customStyle="1" w:styleId="ProposalBulletStyleChar">
    <w:name w:val="Proposal Bullet Style Char"/>
    <w:basedOn w:val="DefaultParagraphFont"/>
    <w:link w:val="ProposalBulletStyle"/>
    <w:rsid w:val="00BF581A"/>
    <w:rPr>
      <w:rFonts w:asciiTheme="minorHAnsi" w:eastAsia="Times New Roman" w:hAnsiTheme="minorHAnsi"/>
      <w:sz w:val="22"/>
      <w:szCs w:val="24"/>
    </w:rPr>
  </w:style>
  <w:style w:type="paragraph" w:customStyle="1" w:styleId="ProposalBodyStyle">
    <w:name w:val="Proposal Body Style"/>
    <w:basedOn w:val="Normal"/>
    <w:rsid w:val="00BF581A"/>
    <w:pPr>
      <w:tabs>
        <w:tab w:val="left" w:pos="5400"/>
      </w:tabs>
      <w:spacing w:line="300" w:lineRule="exact"/>
    </w:pPr>
    <w:rPr>
      <w:rFonts w:ascii="Calibri" w:hAnsi="Calibri"/>
      <w:sz w:val="22"/>
    </w:rPr>
  </w:style>
  <w:style w:type="paragraph" w:customStyle="1" w:styleId="ProposalBulletStyle-Indent1">
    <w:name w:val="Proposal Bullet Style - Indent 1"/>
    <w:basedOn w:val="ProposalBulletStyle"/>
    <w:rsid w:val="00BF581A"/>
    <w:pPr>
      <w:numPr>
        <w:ilvl w:val="1"/>
        <w:numId w:val="2"/>
      </w:numPr>
    </w:pPr>
  </w:style>
  <w:style w:type="character" w:styleId="CommentReference">
    <w:name w:val="annotation reference"/>
    <w:basedOn w:val="DefaultParagraphFont"/>
    <w:uiPriority w:val="99"/>
    <w:rsid w:val="00BF581A"/>
    <w:rPr>
      <w:sz w:val="16"/>
      <w:szCs w:val="16"/>
    </w:rPr>
  </w:style>
  <w:style w:type="paragraph" w:customStyle="1" w:styleId="ProposalBioHeading">
    <w:name w:val="Proposal Bio Heading"/>
    <w:basedOn w:val="Normal"/>
    <w:link w:val="ProposalBioHeadingChar"/>
    <w:rsid w:val="00D17097"/>
    <w:pPr>
      <w:tabs>
        <w:tab w:val="left" w:pos="5400"/>
      </w:tabs>
      <w:spacing w:line="290" w:lineRule="exact"/>
    </w:pPr>
    <w:rPr>
      <w:rFonts w:ascii="Trebuchet MS" w:hAnsi="Trebuchet MS"/>
      <w:b/>
    </w:rPr>
  </w:style>
  <w:style w:type="character" w:customStyle="1" w:styleId="ProposalBioHeadingChar">
    <w:name w:val="Proposal Bio Heading Char"/>
    <w:basedOn w:val="DefaultParagraphFont"/>
    <w:link w:val="ProposalBioHeading"/>
    <w:rsid w:val="00D17097"/>
    <w:rPr>
      <w:rFonts w:ascii="Trebuchet MS" w:eastAsia="Times New Roman" w:hAnsi="Trebuchet MS"/>
      <w:b/>
      <w:sz w:val="24"/>
      <w:szCs w:val="24"/>
    </w:rPr>
  </w:style>
  <w:style w:type="paragraph" w:customStyle="1" w:styleId="CLAProposalBody">
    <w:name w:val="CLA Proposal Body"/>
    <w:basedOn w:val="Normal"/>
    <w:qFormat/>
    <w:rsid w:val="00D17097"/>
    <w:pPr>
      <w:spacing w:line="300" w:lineRule="exact"/>
    </w:pPr>
    <w:rPr>
      <w:rFonts w:ascii="Calibri" w:hAnsi="Calibri"/>
      <w:sz w:val="22"/>
    </w:rPr>
  </w:style>
  <w:style w:type="paragraph" w:customStyle="1" w:styleId="CLAProposalBulletedTextBodyLeft05">
    <w:name w:val="CLA Proposal Bulleted Text Body + Left:  0.5&quot;"/>
    <w:basedOn w:val="CLAProposalBody"/>
    <w:rsid w:val="00D17097"/>
    <w:pPr>
      <w:numPr>
        <w:numId w:val="3"/>
      </w:numPr>
    </w:pPr>
    <w:rPr>
      <w:szCs w:val="20"/>
    </w:rPr>
  </w:style>
  <w:style w:type="paragraph" w:customStyle="1" w:styleId="CLAInTextHeadernotTOC">
    <w:name w:val="CLA In Text Header (not TOC)"/>
    <w:basedOn w:val="Normal"/>
    <w:rsid w:val="00D17097"/>
    <w:pPr>
      <w:spacing w:line="300" w:lineRule="exact"/>
    </w:pPr>
    <w:rPr>
      <w:rFonts w:asciiTheme="minorHAnsi" w:hAnsiTheme="minorHAnsi"/>
      <w:b/>
      <w:bCs/>
      <w:sz w:val="22"/>
    </w:rPr>
  </w:style>
  <w:style w:type="paragraph" w:customStyle="1" w:styleId="StyleProposalBodyTextBody">
    <w:name w:val="Style Proposal Body Text + +Body"/>
    <w:basedOn w:val="ProposalBodyText"/>
    <w:uiPriority w:val="99"/>
    <w:rsid w:val="00C4620D"/>
  </w:style>
  <w:style w:type="paragraph" w:customStyle="1" w:styleId="LAPropullquote">
    <w:name w:val="LA Pro pull quote"/>
    <w:basedOn w:val="Normal"/>
    <w:next w:val="Normal"/>
    <w:rsid w:val="00C4620D"/>
    <w:pPr>
      <w:spacing w:after="240"/>
      <w:ind w:left="720" w:right="720"/>
      <w:jc w:val="center"/>
    </w:pPr>
    <w:rPr>
      <w:rFonts w:ascii="Arial" w:hAnsi="Arial"/>
      <w:b/>
      <w:color w:val="5D87A1"/>
      <w:sz w:val="26"/>
      <w:szCs w:val="26"/>
    </w:rPr>
  </w:style>
  <w:style w:type="paragraph" w:styleId="ListBullet">
    <w:name w:val="List Bullet"/>
    <w:basedOn w:val="Normal"/>
    <w:rsid w:val="00C4620D"/>
    <w:pPr>
      <w:tabs>
        <w:tab w:val="num" w:pos="360"/>
      </w:tabs>
      <w:spacing w:line="300" w:lineRule="exact"/>
      <w:ind w:left="360" w:hanging="360"/>
      <w:contextualSpacing/>
    </w:pPr>
    <w:rPr>
      <w:rFonts w:ascii="Calibri" w:hAnsi="Calibri"/>
    </w:rPr>
  </w:style>
  <w:style w:type="paragraph" w:customStyle="1" w:styleId="ProposalBioSubheading">
    <w:name w:val="Proposal Bio Subheading"/>
    <w:basedOn w:val="Normal"/>
    <w:qFormat/>
    <w:rsid w:val="00C4620D"/>
    <w:pPr>
      <w:spacing w:line="300" w:lineRule="exact"/>
    </w:pPr>
    <w:rPr>
      <w:rFonts w:asciiTheme="minorHAnsi" w:eastAsia="Corbel" w:hAnsiTheme="minorHAnsi" w:cs="Corbel"/>
      <w:b/>
      <w:color w:val="003767"/>
      <w:sz w:val="22"/>
      <w:szCs w:val="22"/>
    </w:rPr>
  </w:style>
  <w:style w:type="paragraph" w:customStyle="1" w:styleId="LAPronormal">
    <w:name w:val="LA Pro normal"/>
    <w:link w:val="LAPronormalChar"/>
    <w:rsid w:val="00626420"/>
    <w:pPr>
      <w:spacing w:after="240"/>
      <w:jc w:val="both"/>
    </w:pPr>
    <w:rPr>
      <w:rFonts w:eastAsia="Times New Roman"/>
      <w:sz w:val="22"/>
    </w:rPr>
  </w:style>
  <w:style w:type="character" w:customStyle="1" w:styleId="LAPronormalChar">
    <w:name w:val="LA Pro normal Char"/>
    <w:basedOn w:val="DefaultParagraphFont"/>
    <w:link w:val="LAPronormal"/>
    <w:locked/>
    <w:rsid w:val="00626420"/>
    <w:rPr>
      <w:rFonts w:eastAsia="Times New Roman"/>
      <w:sz w:val="22"/>
    </w:rPr>
  </w:style>
  <w:style w:type="paragraph" w:styleId="CommentSubject">
    <w:name w:val="annotation subject"/>
    <w:basedOn w:val="CommentText"/>
    <w:next w:val="CommentText"/>
    <w:link w:val="CommentSubjectChar"/>
    <w:uiPriority w:val="99"/>
    <w:semiHidden/>
    <w:unhideWhenUsed/>
    <w:rsid w:val="002A3E9A"/>
    <w:pPr>
      <w:spacing w:after="0"/>
    </w:pPr>
    <w:rPr>
      <w:rFonts w:ascii="Times New Roman" w:eastAsia="Times New Roman" w:hAnsi="Times New Roman" w:cs="Times New Roman"/>
      <w:b/>
      <w:bCs/>
    </w:rPr>
  </w:style>
  <w:style w:type="character" w:customStyle="1" w:styleId="CommentSubjectChar">
    <w:name w:val="Comment Subject Char"/>
    <w:basedOn w:val="CommentTextChar"/>
    <w:link w:val="CommentSubject"/>
    <w:uiPriority w:val="99"/>
    <w:semiHidden/>
    <w:rsid w:val="002A3E9A"/>
    <w:rPr>
      <w:rFonts w:asciiTheme="minorHAnsi" w:eastAsia="Times New Roman" w:hAnsiTheme="minorHAnsi" w:cstheme="minorBidi"/>
      <w:b/>
      <w:bCs/>
    </w:rPr>
  </w:style>
  <w:style w:type="paragraph" w:styleId="Revision">
    <w:name w:val="Revision"/>
    <w:hidden/>
    <w:uiPriority w:val="99"/>
    <w:semiHidden/>
    <w:rsid w:val="009063E8"/>
    <w:rPr>
      <w:rFonts w:eastAsia="Times New Roman"/>
      <w:sz w:val="24"/>
      <w:szCs w:val="24"/>
    </w:rPr>
  </w:style>
  <w:style w:type="paragraph" w:customStyle="1" w:styleId="CLABioHeading">
    <w:name w:val="CLA Bio Heading"/>
    <w:qFormat/>
    <w:rsid w:val="00EE23EE"/>
    <w:pPr>
      <w:keepNext/>
      <w:spacing w:after="60"/>
    </w:pPr>
    <w:rPr>
      <w:rFonts w:ascii="Calibri" w:eastAsia="Times New Roman" w:hAnsi="Calibri"/>
      <w:b/>
      <w:color w:val="003767"/>
      <w:sz w:val="24"/>
      <w:szCs w:val="24"/>
    </w:rPr>
  </w:style>
  <w:style w:type="paragraph" w:customStyle="1" w:styleId="CLAProposalBulletedNumber">
    <w:name w:val="CLA Proposal Bulleted Number"/>
    <w:basedOn w:val="Normal"/>
    <w:rsid w:val="0017490C"/>
    <w:pPr>
      <w:spacing w:line="300" w:lineRule="exact"/>
    </w:pPr>
    <w:rPr>
      <w:rFonts w:asciiTheme="minorHAnsi" w:hAnsiTheme="minorHAnsi"/>
      <w:snapToGrid w:val="0"/>
      <w:color w:val="000000"/>
      <w:sz w:val="22"/>
      <w:szCs w:val="20"/>
    </w:rPr>
  </w:style>
  <w:style w:type="character" w:styleId="FollowedHyperlink">
    <w:name w:val="FollowedHyperlink"/>
    <w:basedOn w:val="DefaultParagraphFont"/>
    <w:uiPriority w:val="99"/>
    <w:semiHidden/>
    <w:unhideWhenUsed/>
    <w:rsid w:val="00C14289"/>
    <w:rPr>
      <w:color w:val="ED6F1E" w:themeColor="followedHyperlink"/>
      <w:u w:val="single"/>
    </w:rPr>
  </w:style>
  <w:style w:type="character" w:customStyle="1" w:styleId="CLAProNormalChar">
    <w:name w:val="CLA Pro Normal Char"/>
    <w:link w:val="CLAProNormal"/>
    <w:rsid w:val="00EF0A8C"/>
    <w:rPr>
      <w:rFonts w:ascii="Calibri" w:eastAsia="Times New Roman" w:hAnsi="Calibri"/>
      <w:sz w:val="22"/>
      <w:szCs w:val="52"/>
    </w:rPr>
  </w:style>
  <w:style w:type="paragraph" w:styleId="EndnoteText">
    <w:name w:val="endnote text"/>
    <w:basedOn w:val="Normal"/>
    <w:link w:val="EndnoteTextChar"/>
    <w:uiPriority w:val="99"/>
    <w:semiHidden/>
    <w:unhideWhenUsed/>
    <w:rsid w:val="00B36DF9"/>
    <w:pPr>
      <w:ind w:left="288"/>
    </w:pPr>
    <w:rPr>
      <w:sz w:val="20"/>
      <w:szCs w:val="20"/>
    </w:rPr>
  </w:style>
  <w:style w:type="character" w:customStyle="1" w:styleId="EndnoteTextChar">
    <w:name w:val="Endnote Text Char"/>
    <w:basedOn w:val="DefaultParagraphFont"/>
    <w:link w:val="EndnoteText"/>
    <w:uiPriority w:val="99"/>
    <w:semiHidden/>
    <w:rsid w:val="00B36DF9"/>
    <w:rPr>
      <w:rFonts w:eastAsia="Times New Roman"/>
    </w:rPr>
  </w:style>
  <w:style w:type="character" w:styleId="EndnoteReference">
    <w:name w:val="endnote reference"/>
    <w:basedOn w:val="DefaultParagraphFont"/>
    <w:semiHidden/>
    <w:unhideWhenUsed/>
    <w:rsid w:val="00C46193"/>
    <w:rPr>
      <w:vertAlign w:val="superscript"/>
    </w:rPr>
  </w:style>
  <w:style w:type="character" w:customStyle="1" w:styleId="CLALTRHiddenTextChar">
    <w:name w:val="CLA LTR Hidden Text Char"/>
    <w:basedOn w:val="CLALTRNormalChar"/>
    <w:link w:val="CLALTRHiddenText"/>
    <w:rsid w:val="00C46193"/>
    <w:rPr>
      <w:rFonts w:ascii="Calibri" w:eastAsia="Times" w:hAnsi="Calibri"/>
      <w:b/>
      <w:i/>
      <w:vanish/>
      <w:color w:val="FF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665450">
      <w:bodyDiv w:val="1"/>
      <w:marLeft w:val="0"/>
      <w:marRight w:val="0"/>
      <w:marTop w:val="0"/>
      <w:marBottom w:val="0"/>
      <w:divBdr>
        <w:top w:val="none" w:sz="0" w:space="0" w:color="auto"/>
        <w:left w:val="none" w:sz="0" w:space="0" w:color="auto"/>
        <w:bottom w:val="none" w:sz="0" w:space="0" w:color="auto"/>
        <w:right w:val="none" w:sz="0" w:space="0" w:color="auto"/>
      </w:divBdr>
    </w:div>
    <w:div w:id="559562488">
      <w:bodyDiv w:val="1"/>
      <w:marLeft w:val="0"/>
      <w:marRight w:val="0"/>
      <w:marTop w:val="0"/>
      <w:marBottom w:val="0"/>
      <w:divBdr>
        <w:top w:val="none" w:sz="0" w:space="0" w:color="auto"/>
        <w:left w:val="none" w:sz="0" w:space="0" w:color="auto"/>
        <w:bottom w:val="none" w:sz="0" w:space="0" w:color="auto"/>
        <w:right w:val="none" w:sz="0" w:space="0" w:color="auto"/>
      </w:divBdr>
    </w:div>
    <w:div w:id="586112638">
      <w:bodyDiv w:val="1"/>
      <w:marLeft w:val="0"/>
      <w:marRight w:val="0"/>
      <w:marTop w:val="0"/>
      <w:marBottom w:val="0"/>
      <w:divBdr>
        <w:top w:val="none" w:sz="0" w:space="0" w:color="auto"/>
        <w:left w:val="none" w:sz="0" w:space="0" w:color="auto"/>
        <w:bottom w:val="none" w:sz="0" w:space="0" w:color="auto"/>
        <w:right w:val="none" w:sz="0" w:space="0" w:color="auto"/>
      </w:divBdr>
      <w:divsChild>
        <w:div w:id="544342103">
          <w:marLeft w:val="0"/>
          <w:marRight w:val="0"/>
          <w:marTop w:val="0"/>
          <w:marBottom w:val="0"/>
          <w:divBdr>
            <w:top w:val="none" w:sz="0" w:space="0" w:color="auto"/>
            <w:left w:val="none" w:sz="0" w:space="0" w:color="auto"/>
            <w:bottom w:val="none" w:sz="0" w:space="0" w:color="auto"/>
            <w:right w:val="none" w:sz="0" w:space="0" w:color="auto"/>
          </w:divBdr>
          <w:divsChild>
            <w:div w:id="155072637">
              <w:marLeft w:val="0"/>
              <w:marRight w:val="0"/>
              <w:marTop w:val="0"/>
              <w:marBottom w:val="0"/>
              <w:divBdr>
                <w:top w:val="none" w:sz="0" w:space="0" w:color="auto"/>
                <w:left w:val="none" w:sz="0" w:space="0" w:color="auto"/>
                <w:bottom w:val="none" w:sz="0" w:space="0" w:color="auto"/>
                <w:right w:val="none" w:sz="0" w:space="0" w:color="auto"/>
              </w:divBdr>
              <w:divsChild>
                <w:div w:id="987518792">
                  <w:marLeft w:val="0"/>
                  <w:marRight w:val="0"/>
                  <w:marTop w:val="0"/>
                  <w:marBottom w:val="0"/>
                  <w:divBdr>
                    <w:top w:val="none" w:sz="0" w:space="0" w:color="auto"/>
                    <w:left w:val="none" w:sz="0" w:space="0" w:color="auto"/>
                    <w:bottom w:val="none" w:sz="0" w:space="0" w:color="auto"/>
                    <w:right w:val="none" w:sz="0" w:space="0" w:color="auto"/>
                  </w:divBdr>
                  <w:divsChild>
                    <w:div w:id="797337462">
                      <w:marLeft w:val="0"/>
                      <w:marRight w:val="0"/>
                      <w:marTop w:val="0"/>
                      <w:marBottom w:val="0"/>
                      <w:divBdr>
                        <w:top w:val="none" w:sz="0" w:space="0" w:color="auto"/>
                        <w:left w:val="none" w:sz="0" w:space="0" w:color="auto"/>
                        <w:bottom w:val="none" w:sz="0" w:space="0" w:color="auto"/>
                        <w:right w:val="none" w:sz="0" w:space="0" w:color="auto"/>
                      </w:divBdr>
                      <w:divsChild>
                        <w:div w:id="1178155066">
                          <w:marLeft w:val="0"/>
                          <w:marRight w:val="0"/>
                          <w:marTop w:val="187"/>
                          <w:marBottom w:val="0"/>
                          <w:divBdr>
                            <w:top w:val="none" w:sz="0" w:space="0" w:color="auto"/>
                            <w:left w:val="none" w:sz="0" w:space="0" w:color="auto"/>
                            <w:bottom w:val="none" w:sz="0" w:space="0" w:color="auto"/>
                            <w:right w:val="none" w:sz="0" w:space="0" w:color="auto"/>
                          </w:divBdr>
                          <w:divsChild>
                            <w:div w:id="388311785">
                              <w:marLeft w:val="0"/>
                              <w:marRight w:val="0"/>
                              <w:marTop w:val="0"/>
                              <w:marBottom w:val="0"/>
                              <w:divBdr>
                                <w:top w:val="none" w:sz="0" w:space="0" w:color="auto"/>
                                <w:left w:val="none" w:sz="0" w:space="0" w:color="auto"/>
                                <w:bottom w:val="none" w:sz="0" w:space="0" w:color="auto"/>
                                <w:right w:val="none" w:sz="0" w:space="0" w:color="auto"/>
                              </w:divBdr>
                              <w:divsChild>
                                <w:div w:id="1085570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85519117">
      <w:bodyDiv w:val="1"/>
      <w:marLeft w:val="0"/>
      <w:marRight w:val="0"/>
      <w:marTop w:val="0"/>
      <w:marBottom w:val="0"/>
      <w:divBdr>
        <w:top w:val="none" w:sz="0" w:space="0" w:color="auto"/>
        <w:left w:val="none" w:sz="0" w:space="0" w:color="auto"/>
        <w:bottom w:val="none" w:sz="0" w:space="0" w:color="auto"/>
        <w:right w:val="none" w:sz="0" w:space="0" w:color="auto"/>
      </w:divBdr>
    </w:div>
    <w:div w:id="1312713525">
      <w:bodyDiv w:val="1"/>
      <w:marLeft w:val="0"/>
      <w:marRight w:val="0"/>
      <w:marTop w:val="0"/>
      <w:marBottom w:val="0"/>
      <w:divBdr>
        <w:top w:val="none" w:sz="0" w:space="0" w:color="auto"/>
        <w:left w:val="none" w:sz="0" w:space="0" w:color="auto"/>
        <w:bottom w:val="none" w:sz="0" w:space="0" w:color="auto"/>
        <w:right w:val="none" w:sz="0" w:space="0" w:color="auto"/>
      </w:divBdr>
    </w:div>
    <w:div w:id="1685785450">
      <w:bodyDiv w:val="1"/>
      <w:marLeft w:val="0"/>
      <w:marRight w:val="0"/>
      <w:marTop w:val="0"/>
      <w:marBottom w:val="0"/>
      <w:divBdr>
        <w:top w:val="none" w:sz="0" w:space="0" w:color="auto"/>
        <w:left w:val="none" w:sz="0" w:space="0" w:color="auto"/>
        <w:bottom w:val="none" w:sz="0" w:space="0" w:color="auto"/>
        <w:right w:val="none" w:sz="0" w:space="0" w:color="auto"/>
      </w:divBdr>
    </w:div>
    <w:div w:id="21180153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Steven@onyxCFO.com"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2.xml"/></Relationships>
</file>

<file path=word/_rels/endnotes.xml.rels><?xml version='1.0' encoding='UTF-8' standalone='yes'?>
<Relationships xmlns="http://schemas.openxmlformats.org/package/2006/relationships"><Relationship Id="rId8" Type="http://schemas.openxmlformats.org/officeDocument/2006/relationships/image" Target="media/image10.png"/><Relationship Id="rId3" Type="http://schemas.openxmlformats.org/officeDocument/2006/relationships/image" Target="media/image5.png"/><Relationship Id="rId7" Type="http://schemas.openxmlformats.org/officeDocument/2006/relationships/image" Target="media/image9.png"/><Relationship Id="rId2" Type="http://schemas.openxmlformats.org/officeDocument/2006/relationships/image" Target="media/image4.png"/><Relationship Id="rId1" Type="http://schemas.openxmlformats.org/officeDocument/2006/relationships/image" Target="media/image3.png"/><Relationship Id="rId6" Type="http://schemas.openxmlformats.org/officeDocument/2006/relationships/image" Target="media/image8.png"/><Relationship Id="rId5" Type="http://schemas.openxmlformats.org/officeDocument/2006/relationships/image" Target="media/image7.png"/><Relationship Id="rId4" Type="http://schemas.openxmlformats.org/officeDocument/2006/relationships/image" Target="media/image6.png"/><Relationship Id="rId9" Type="http://schemas.openxmlformats.org/officeDocument/2006/relationships/image" Target="media/image11.pn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LarsonAllen colors">
      <a:dk1>
        <a:sysClr val="windowText" lastClr="000000"/>
      </a:dk1>
      <a:lt1>
        <a:sysClr val="window" lastClr="FFFFFF"/>
      </a:lt1>
      <a:dk2>
        <a:srgbClr val="473F30"/>
      </a:dk2>
      <a:lt2>
        <a:srgbClr val="ECE7DE"/>
      </a:lt2>
      <a:accent1>
        <a:srgbClr val="005595"/>
      </a:accent1>
      <a:accent2>
        <a:srgbClr val="F7EDC2"/>
      </a:accent2>
      <a:accent3>
        <a:srgbClr val="9EA374"/>
      </a:accent3>
      <a:accent4>
        <a:srgbClr val="B9B098"/>
      </a:accent4>
      <a:accent5>
        <a:srgbClr val="F2E18B"/>
      </a:accent5>
      <a:accent6>
        <a:srgbClr val="D89D8B"/>
      </a:accent6>
      <a:hlink>
        <a:srgbClr val="B55341"/>
      </a:hlink>
      <a:folHlink>
        <a:srgbClr val="ED6F1E"/>
      </a:folHlink>
    </a:clrScheme>
    <a:fontScheme name="LarsonAllen fonts">
      <a:majorFont>
        <a:latin typeface="Arial"/>
        <a:ea typeface=""/>
        <a:cs typeface=""/>
      </a:majorFont>
      <a:minorFont>
        <a:latin typeface="Times New Roman"/>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26ABE42-59B8-47F6-8E15-E1F8CB46D2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11</Pages>
  <Words>3968</Words>
  <Characters>21155</Characters>
  <Application>Microsoft Office Word</Application>
  <DocSecurity>0</DocSecurity>
  <Lines>346</Lines>
  <Paragraphs>176</Paragraphs>
  <ScaleCrop>false</ScaleCrop>
  <HeadingPairs>
    <vt:vector size="2" baseType="variant">
      <vt:variant>
        <vt:lpstr>Title</vt:lpstr>
      </vt:variant>
      <vt:variant>
        <vt:i4>1</vt:i4>
      </vt:variant>
    </vt:vector>
  </HeadingPairs>
  <TitlesOfParts>
    <vt:vector size="1" baseType="lpstr">
      <vt:lpstr/>
    </vt:vector>
  </TitlesOfParts>
  <Company>LarsonAllen</Company>
  <LinksUpToDate>false</LinksUpToDate>
  <CharactersWithSpaces>24947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dramsdel</dc:creator>
  <cp:lastModifiedBy>Josephine Mack</cp:lastModifiedBy>
  <cp:revision>7</cp:revision>
  <cp:lastPrinted>2015-12-07T15:03:00Z</cp:lastPrinted>
  <dcterms:created xsi:type="dcterms:W3CDTF">2025-07-08T23:32:00Z</dcterms:created>
  <dcterms:modified xsi:type="dcterms:W3CDTF">2026-03-18T18:19:00Z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ion">
    <vt:i4>40</vt:i4>
  </property>
  <property fmtid="{D5CDD505-2E9C-101B-9397-08002B2CF9AE}" pid="3" name="tabName">
    <vt:lpwstr>BizOps - Preparation Assistance - Not Independent.</vt:lpwstr>
  </property>
  <property fmtid="{D5CDD505-2E9C-101B-9397-08002B2CF9AE}" pid="4" name="tabIndex">
    <vt:lpwstr/>
  </property>
  <property fmtid="{D5CDD505-2E9C-101B-9397-08002B2CF9AE}" pid="5" name="workpaperIndex">
    <vt:lpwstr>0330.00</vt:lpwstr>
  </property>
</Properties>
</file>

<file path=userCustomization/customUI.xml><?xml version="1.0" encoding="utf-8"?>
<mso:customUI xmlns:doc="http://schemas.microsoft.com/office/2006/01/customui/currentDocument" xmlns:mso="http://schemas.microsoft.com/office/2006/01/customui">
  <mso:ribbon>
    <mso:qat>
      <mso:documentControls>
        <mso:separator idQ="doc:sep1" visible="true"/>
        <mso:control idQ="mso:ParagraphMarks" visible="true"/>
        <mso:control idQ="mso:Lock" visible="true"/>
        <mso:control idQ="mso:PrintOptionsMenuWord" visible="true"/>
        <mso:control idQ="mso:FieldShading" visible="true"/>
        <mso:control idQ="mso:TextHighlightColorPicker" visible="true"/>
      </mso:documentControls>
    </mso:qat>
  </mso:ribbon>
</mso:customUI>
</file>