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52B1" w14:textId="77777777" w:rsidR="000C011F" w:rsidRDefault="00B92DB9" w:rsidP="000C011F">
      <w:pPr>
        <w:pStyle w:val="CLAProNormal"/>
      </w:pPr>
      <w:r>
        <w:rPr>
          <w:noProof/>
        </w:rPr>
        <w:drawing>
          <wp:anchor distT="0" distB="0" distL="114300" distR="114300" simplePos="0" relativeHeight="251730944" behindDoc="0" locked="0" layoutInCell="1" allowOverlap="1" wp14:anchorId="08E38C4D" wp14:editId="2A31B630">
            <wp:simplePos x="0" y="0"/>
            <wp:positionH relativeFrom="column">
              <wp:posOffset>-922020</wp:posOffset>
            </wp:positionH>
            <wp:positionV relativeFrom="paragraph">
              <wp:posOffset>-3528060</wp:posOffset>
            </wp:positionV>
            <wp:extent cx="7778115" cy="2994660"/>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COVER-Group-Reviewing-Document.jpg"/>
                    <pic:cNvPicPr/>
                  </pic:nvPicPr>
                  <pic:blipFill>
                    <a:blip r:embed="rId8">
                      <a:extLst>
                        <a:ext uri="{28A0092B-C50C-407E-A947-70E740481C1C}">
                          <a14:useLocalDpi xmlns:a14="http://schemas.microsoft.com/office/drawing/2010/main" val="0"/>
                        </a:ext>
                      </a:extLst>
                    </a:blip>
                    <a:stretch>
                      <a:fillRect/>
                    </a:stretch>
                  </pic:blipFill>
                  <pic:spPr>
                    <a:xfrm>
                      <a:off x="0" y="0"/>
                      <a:ext cx="7778115" cy="2994660"/>
                    </a:xfrm>
                    <a:prstGeom prst="rect">
                      <a:avLst/>
                    </a:prstGeom>
                  </pic:spPr>
                </pic:pic>
              </a:graphicData>
            </a:graphic>
            <wp14:sizeRelH relativeFrom="margin">
              <wp14:pctWidth>0</wp14:pctWidth>
            </wp14:sizeRelH>
            <wp14:sizeRelV relativeFrom="margin">
              <wp14:pctHeight>0</wp14:pctHeight>
            </wp14:sizeRelV>
          </wp:anchor>
        </w:drawing>
      </w:r>
      <w:r w:rsidR="000C011F">
        <w:rPr>
          <w:noProof/>
        </w:rPr>
        <mc:AlternateContent>
          <mc:Choice Requires="wps">
            <w:drawing>
              <wp:anchor distT="0" distB="0" distL="114300" distR="114300" simplePos="0" relativeHeight="251660800" behindDoc="0" locked="0" layoutInCell="1" allowOverlap="1" wp14:anchorId="2AD18564" wp14:editId="2654A389">
                <wp:simplePos x="0" y="0"/>
                <wp:positionH relativeFrom="column">
                  <wp:posOffset>-914400</wp:posOffset>
                </wp:positionH>
                <wp:positionV relativeFrom="paragraph">
                  <wp:posOffset>-530860</wp:posOffset>
                </wp:positionV>
                <wp:extent cx="7778115" cy="133350"/>
                <wp:effectExtent l="0" t="0" r="0" b="0"/>
                <wp:wrapNone/>
                <wp:docPr id="27" name="Rectangle 27"/>
                <wp:cNvGraphicFramePr/>
                <a:graphic xmlns:a="http://schemas.openxmlformats.org/drawingml/2006/main">
                  <a:graphicData uri="http://schemas.microsoft.com/office/word/2010/wordprocessingShape">
                    <wps:wsp>
                      <wps:cNvSpPr/>
                      <wps:spPr>
                        <a:xfrm>
                          <a:off x="0" y="0"/>
                          <a:ext cx="7778115" cy="1333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8ECC87" id="Rectangle 27" o:spid="_x0000_s1026" style="position:absolute;margin-left:-1in;margin-top:-41.8pt;width:612.45pt;height:10.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" fillcolor="black [3213]" stroked="f" strokeweight="2pt"/>
            </w:pict>
          </mc:Fallback>
        </mc:AlternateContent>
      </w:r>
    </w:p>
    <w:p w14:paraId="5F121502" w14:textId="77777777" w:rsidR="000C011F" w:rsidRPr="009F7B4F" w:rsidRDefault="00B36DF9" w:rsidP="000C011F">
      <w:pPr>
        <w:pStyle w:val="CLAProNormal"/>
        <w:pBdr>
          <w:left w:val="single" w:sz="12" w:space="16" w:color="003767"/>
        </w:pBdr>
        <w:ind w:left="4140"/>
        <w:rPr>
          <w:rFonts w:ascii="Corbel" w:hAnsi="Corbel"/>
          <w:b/>
          <w:sz w:val="28"/>
        </w:rPr>
      </w:pPr>
      <w:r>
        <w:rPr>
          <w:noProof/>
        </w:rPr>
        <w:t>October 7, 2026</w:t>
      </w:r>
    </w:p>
    <w:p w14:paraId="53BCDD38" w14:textId="77777777" w:rsidR="000C011F" w:rsidRPr="00473C08" w:rsidRDefault="005A153F" w:rsidP="000C011F">
      <w:pPr>
        <w:pStyle w:val="CLAProSubtitle"/>
        <w:rPr>
          <w:szCs w:val="32"/>
        </w:rPr>
      </w:pPr>
      <w:r>
        <w:t xml:space="preserve">Engagement Proposal &amp; Agreement</w:t>
      </w:r>
      <w:r>
        <w:br/>
        <w:t xml:space="preserve">Prepared exclusively for</w:t>
      </w:r>
    </w:p>
    <w:p w14:paraId="0F7F91FA" w14:textId="77777777" w:rsidR="000C011F" w:rsidRPr="001E220F" w:rsidRDefault="00B36DF9" w:rsidP="000C011F">
      <w:pPr>
        <w:pStyle w:val="CLAProTitle"/>
        <w:rPr>
          <w:color w:val="660003"/>
        </w:rPr>
      </w:pPr>
      <w:bookmarkStart w:id="0" w:name="Text1"/>
      <w:r w:rsidRPr="00C53667">
        <w:rPr>
          <w:color w:val="auto"/>
        </w:rPr>
      </w:r>
      <w:r w:rsidRPr="00C53667">
        <w:rPr>
          <w:noProof/>
          <w:color w:val="auto"/>
        </w:rPr>
        <w:t>Arizona Center for Hand Surgery, P.C.</w:t>
      </w:r>
      <w:bookmarkEnd w:id="0"/>
    </w:p>
    <w:p w14:paraId="2C0FD520" w14:textId="77777777" w:rsidR="000C011F" w:rsidRPr="00B36DF9" w:rsidRDefault="000C011F" w:rsidP="000C011F">
      <w:pPr>
        <w:pStyle w:val="CLAProNormalNoSpaceAfter"/>
        <w:ind w:left="4140" w:hanging="4590"/>
      </w:pPr>
      <w:r>
        <w:rPr>
          <w:i/>
        </w:rPr>
        <w:t>The accounting department your business deserves</w:t>
      </w:r>
    </w:p>
    <w:p w14:paraId="2C0FD520" w14:textId="77777777" w:rsidR="000C011F" w:rsidRPr="00B36DF9" w:rsidRDefault="000C011F" w:rsidP="000C011F">
      <w:pPr>
        <w:pStyle w:val="CLAProNormalNoSpaceAfter"/>
        <w:ind w:left="4140" w:hanging="4590"/>
      </w:pPr>
      <w:r>
        <w:rPr>
          <w:i/>
        </w:rPr>
        <w:t>— without the cost and overhead of building one in-house.</w:t>
      </w:r>
    </w:p>
    <w:p>
      <w:pPr>
        <w:pStyle w:val="CLAProNormalNoSpaceAfter"/>
        <w:ind w:left="4140" w:hanging="4590"/>
      </w:pPr>
      <w:r>
        <w:t>·   Controller-led finance leadership</w:t>
      </w:r>
    </w:p>
    <w:p>
      <w:pPr>
        <w:pStyle w:val="CLAProNormalNoSpaceAfter"/>
        <w:ind w:left="4140" w:hanging="4590"/>
      </w:pPr>
      <w:r>
        <w:t>·   Monthly close &amp; physician reporting</w:t>
      </w:r>
    </w:p>
    <w:p>
      <w:pPr>
        <w:pStyle w:val="CLAProNormalNoSpaceAfter"/>
        <w:ind w:left="4140" w:hanging="4590"/>
      </w:pPr>
      <w:r>
        <w:t>·   Revenue-cycle &amp; board reporting</w:t>
      </w:r>
    </w:p>
    <w:p>
      <w:pPr>
        <w:pStyle w:val="CLAProNormalNoSpaceAfter"/>
        <w:ind w:left="4140" w:hanging="4590"/>
      </w:pPr>
      <w:r>
        <w:t>·   Fractional CFO support</w:t>
      </w:r>
    </w:p>
    <w:p w14:paraId="3FF1B4B8" w14:textId="77777777" w:rsidR="000C011F" w:rsidRPr="00B36DF9" w:rsidRDefault="000C011F" w:rsidP="000C011F">
      <w:pPr>
        <w:pStyle w:val="CLAProNormalNoSpaceAfter"/>
        <w:ind w:left="4140"/>
      </w:pPr>
    </w:p>
    <w:p w14:paraId="36AEBA35" w14:textId="77777777" w:rsidR="000C011F" w:rsidRPr="00962B68" w:rsidRDefault="000C011F" w:rsidP="000C011F">
      <w:pPr>
        <w:pStyle w:val="CLAProNormalNoSpaceAfter"/>
        <w:ind w:left="4140"/>
        <w:rPr>
          <w:i/>
        </w:rPr>
      </w:pPr>
      <w:r w:rsidRPr="00962B68">
        <w:rPr>
          <w:i/>
        </w:rPr>
        <w:t xml:space="preserve">Prepared by: </w:t>
      </w:r>
    </w:p>
    <w:p w14:paraId="682A420B" w14:textId="77777777" w:rsidR="00B36DF9" w:rsidRPr="00962B68" w:rsidRDefault="00C53667" w:rsidP="00B36DF9">
      <w:pPr>
        <w:pStyle w:val="CLAProNormalNoSpaceAfter"/>
        <w:ind w:left="4140"/>
        <w:rPr>
          <w:b/>
        </w:rPr>
      </w:pPr>
      <w:r>
        <w:rPr>
          <w:b/>
        </w:rPr>
        <w:t>Steven Nikolov</w:t>
      </w:r>
    </w:p>
    <w:p w14:paraId="38348214" w14:textId="77777777" w:rsidR="00B36DF9" w:rsidRPr="00F900CE" w:rsidRDefault="00C53667" w:rsidP="00B36DF9">
      <w:pPr>
        <w:pStyle w:val="CLAProNormalNoSpaceAfter"/>
        <w:ind w:left="4140"/>
        <w:rPr>
          <w:b/>
        </w:rPr>
      </w:pPr>
      <w:r>
        <w:t>Steven@OnyxCFO.com</w:t>
      </w:r>
    </w:p>
    <w:p w14:paraId="516F0A30" w14:textId="77777777" w:rsidR="004E0F3F" w:rsidRDefault="00B36DF9" w:rsidP="00B36DF9">
      <w:pPr>
        <w:pStyle w:val="CLAProNormalNoSpaceAfter"/>
        <w:ind w:left="4140"/>
      </w:pPr>
      <w:r w:rsidRPr="00F900CE">
        <w:t xml:space="preserve">direct </w:t>
      </w:r>
      <w:r w:rsidR="00C53667">
        <w:t>480-999-5509</w:t>
      </w:r>
      <w:r w:rsidRPr="00F900CE">
        <w:t xml:space="preserve"> | mobile </w:t>
      </w:r>
      <w:r w:rsidR="00C53667">
        <w:t>480-772-5612</w:t>
      </w:r>
    </w:p>
    <w:p w14:paraId="2BE6B3DF" w14:textId="77777777" w:rsidR="00780EB4" w:rsidRPr="00780EB4" w:rsidRDefault="00780EB4" w:rsidP="00780EB4">
      <w:pPr>
        <w:pStyle w:val="CLAProNormal"/>
      </w:pPr>
    </w:p>
    <w:p w14:paraId="5CEF5EC3" w14:textId="77777777" w:rsidR="00B33543" w:rsidRDefault="00B33543" w:rsidP="00B36DF9">
      <w:pPr>
        <w:pStyle w:val="CLAProNormal"/>
        <w:sectPr w:rsidR="00B33543" w:rsidSect="00F05C4E">
          <w:headerReference w:type="default" r:id="rId9"/>
          <w:footerReference w:type="default" r:id="rId10"/>
          <w:headerReference w:type="first" r:id="rId11"/>
          <w:pgSz w:w="12240" w:h="15840"/>
          <w:pgMar w:top="7488" w:right="1440" w:bottom="1440" w:left="1440" w:header="720" w:footer="720" w:gutter="0"/>
          <w:cols w:space="720"/>
          <w:titlePg/>
          <w:docGrid w:linePitch="360"/>
        </w:sectPr>
      </w:pPr>
    </w:p>
    <w:p w14:paraId="6613487D" w14:textId="77777777" w:rsidR="00B33543" w:rsidRDefault="00B33543" w:rsidP="00B36DF9">
      <w:pPr>
        <w:pStyle w:val="CLAProNormal"/>
      </w:pPr>
    </w:p>
    <w:p w14:paraId="0CD0C199" w14:textId="77777777" w:rsidR="00B36DF9" w:rsidRDefault="00B36DF9" w:rsidP="00B36DF9">
      <w:pPr>
        <w:pStyle w:val="CLAProNormal"/>
      </w:pPr>
    </w:p>
    <w:p w14:paraId="3F9FCA6C" w14:textId="77777777" w:rsidR="00780EB4" w:rsidRPr="00B36DF9" w:rsidRDefault="00780EB4" w:rsidP="00B36DF9">
      <w:pPr>
        <w:pStyle w:val="CLAProNormal"/>
        <w:sectPr w:rsidR="00780EB4" w:rsidRPr="00B36DF9" w:rsidSect="00B33543">
          <w:type w:val="continuous"/>
          <w:pgSz w:w="12240" w:h="15840"/>
          <w:pgMar w:top="7488" w:right="1440" w:bottom="1440" w:left="1440" w:header="720" w:footer="720" w:gutter="0"/>
          <w:cols w:space="720"/>
          <w:titlePg/>
          <w:docGrid w:linePitch="360"/>
        </w:sectPr>
      </w:pPr>
    </w:p>
    <w:p w14:paraId="02B033DA" w14:textId="77777777" w:rsidR="007C1374" w:rsidRDefault="007C1374" w:rsidP="007C1374">
      <w:pPr>
        <w:pStyle w:val="CLALTRNormal"/>
      </w:pPr>
      <w:r>
        <w:rPr>
          <w:noProof/>
        </w:rPr>
        <w:t>October 7, 2026</w:t>
      </w:r>
    </w:p>
    <w:p w14:paraId="3490F88E" w14:textId="77777777" w:rsidR="007C1374" w:rsidRDefault="007C1374" w:rsidP="007C1374">
      <w:pPr>
        <w:pStyle w:val="CLALTRAddressorSignature"/>
      </w:pPr>
      <w:r>
        <w:rPr>
          <w:noProof/>
        </w:rPr>
        <w:t>Arizona Center for Hand Surgery, P.C.</w:t>
      </w:r>
      <w:bookmarkEnd w:id="2"/>
    </w:p>
    <w:p w14:paraId="3490F88E" w14:textId="77777777" w:rsidR="007C1374" w:rsidRDefault="007C1374" w:rsidP="007C1374">
      <w:pPr>
        <w:pStyle w:val="CLALTRAddressorSignature"/>
      </w:pPr>
      <w:r>
        <w:t>Attn: Mark Williamson, Chief Financial Officer</w:t>
      </w:r>
      <w:bookmarkEnd w:id="2"/>
    </w:p>
    <w:p w14:paraId="389C2558" w14:textId="77777777" w:rsidR="007C1374" w:rsidRDefault="007C1374" w:rsidP="007C1374">
      <w:pPr>
        <w:pStyle w:val="CLALTRAddressorSignature"/>
      </w:pPr>
      <w:r>
        <w:t>370 E. Virginia Ave., Ste. 100</w:t>
      </w:r>
      <w:bookmarkStart w:id="3" w:name="Text11"/>
      <w:bookmarkEnd w:id="3"/>
    </w:p>
    <w:p w14:paraId="59517EED" w14:textId="77777777" w:rsidR="007C1374" w:rsidRDefault="007C1374" w:rsidP="007C1374">
      <w:pPr>
        <w:pStyle w:val="CLALTRAddressorSignature"/>
      </w:pPr>
      <w:r>
        <w:t>Phoenix, AZ 85004</w:t>
      </w:r>
      <w:bookmarkStart w:id="4" w:name="Text12"/>
      <w:bookmarkEnd w:id="4"/>
    </w:p>
    <w:p w14:paraId="267F41C3" w14:textId="77777777" w:rsidR="007C1374" w:rsidRDefault="007C1374" w:rsidP="007C1374">
      <w:pPr>
        <w:pStyle w:val="CLALTRAddressorSignature"/>
      </w:pPr>
    </w:p>
    <w:p w14:paraId="7B0A8C62" w14:textId="77777777" w:rsidR="007C1374" w:rsidRDefault="007C1374" w:rsidP="007C1374">
      <w:pPr>
        <w:pStyle w:val="CLALTRNormal"/>
      </w:pPr>
      <w:r>
        <w:t xml:space="preserve">Dear </w:t>
      </w:r>
      <w:bookmarkStart w:id="5" w:name="Text22"/>
      <w:r>
        <w:rPr>
          <w:noProof/>
        </w:rPr>
        <w:t>Mark</w:t>
      </w:r>
      <w:bookmarkEnd w:id="5"/>
      <w:r>
        <w:t>:</w:t>
      </w:r>
    </w:p>
    <w:p w14:paraId="5EB894CB" w14:textId="4773B955" w:rsidR="007C1374" w:rsidRDefault="008E3EF9" w:rsidP="00786782">
      <w:pPr>
        <w:pStyle w:val="CLALTRNormal"/>
        <w:jc w:val="both"/>
      </w:pPr>
      <w:r>
        <w:t>We appreciate your decision to retain Onyx Accounting Group, LLC (“ONYX”</w:t>
      </w:r>
      <w:r w:rsidR="00C0450E">
        <w:t xml:space="preserve">, “we”, </w:t>
      </w:r>
      <w:r w:rsidR="002460A9">
        <w:t>and/or “us” – as the context requires</w:t>
      </w:r>
      <w:r>
        <w:t xml:space="preserve">). </w:t>
      </w:r>
      <w:r w:rsidR="00C55784">
        <w:t xml:space="preserve">This letter </w:t>
      </w:r>
      <w:r w:rsidR="001026D4">
        <w:t xml:space="preserve">states </w:t>
      </w:r>
      <w:r w:rsidR="007C1374">
        <w:t xml:space="preserve">the terms and objectives of </w:t>
      </w:r>
      <w:r w:rsidR="00C0450E">
        <w:t>ONYX’s</w:t>
      </w:r>
      <w:r w:rsidR="00476913">
        <w:t xml:space="preserve"> </w:t>
      </w:r>
      <w:r w:rsidR="007C1374">
        <w:t xml:space="preserve">engagement and the nature and limitations of the services </w:t>
      </w:r>
      <w:r w:rsidR="00476913">
        <w:t>Onyx</w:t>
      </w:r>
      <w:r w:rsidR="007C1374">
        <w:t xml:space="preserve"> will provide for </w:t>
      </w:r>
      <w:r w:rsidR="007C1374">
        <w:rPr>
          <w:noProof/>
        </w:rPr>
        <w:t>Arizona Center for Hand Surgery, P.C.</w:t>
      </w:r>
      <w:r w:rsidR="007C1374">
        <w:t xml:space="preserve"> (“</w:t>
      </w:r>
      <w:r w:rsidR="00476913">
        <w:t>the Client</w:t>
      </w:r>
      <w:r w:rsidR="007C1374">
        <w:t>”</w:t>
      </w:r>
      <w:r w:rsidR="002460A9">
        <w:t xml:space="preserve">, “you”, and/or “your” – as </w:t>
      </w:r>
      <w:r w:rsidR="00110923">
        <w:t>the context requires</w:t>
      </w:r>
      <w:r w:rsidR="007C1374">
        <w:t xml:space="preserve">) </w:t>
      </w:r>
      <w:r w:rsidR="00E705EB">
        <w:t xml:space="preserve">starting in </w:t>
      </w:r>
      <w:r w:rsidR="00E705EB">
        <w:rPr>
          <w:noProof/>
        </w:rPr>
        <w:t>2026</w:t>
      </w:r>
      <w:r w:rsidR="00E705EB">
        <w:t xml:space="preserve"> </w:t>
      </w:r>
      <w:r w:rsidR="007C1374">
        <w:t>for the</w:t>
      </w:r>
      <w:r w:rsidR="00E705EB">
        <w:t xml:space="preserve"> fiscal year</w:t>
      </w:r>
      <w:r w:rsidR="007C1374">
        <w:t xml:space="preserve"> end</w:t>
      </w:r>
      <w:r w:rsidR="00786782">
        <w:t>ing</w:t>
      </w:r>
      <w:r w:rsidR="007C1374">
        <w:t xml:space="preserve"> </w:t>
      </w:r>
      <w:bookmarkStart w:id="6" w:name="Text47"/>
      <w:r w:rsidR="007C1374">
        <w:rPr>
          <w:noProof/>
        </w:rPr>
        <w:t>December 31, 2026</w:t>
      </w:r>
      <w:bookmarkEnd w:id="6"/>
      <w:r w:rsidR="00476913">
        <w:t xml:space="preserve"> (the “Initial Period”)</w:t>
      </w:r>
      <w:r w:rsidR="007C1374">
        <w:t xml:space="preserve">. The terms of our engagement </w:t>
      </w:r>
      <w:r w:rsidR="007C1374" w:rsidRPr="009A434F">
        <w:rPr>
          <w:b w:val="0"/>
        </w:rPr>
        <w:t xml:space="preserve">will apply to the </w:t>
      </w:r>
      <w:r w:rsidR="00762531">
        <w:rPr>
          <w:b w:val="0"/>
        </w:rPr>
        <w:t>I</w:t>
      </w:r>
      <w:r w:rsidR="007C1374" w:rsidRPr="009A434F">
        <w:rPr>
          <w:b w:val="0"/>
        </w:rPr>
        <w:t>nitial</w:t>
      </w:r>
      <w:r w:rsidR="00762531">
        <w:rPr>
          <w:b w:val="0"/>
        </w:rPr>
        <w:t xml:space="preserve"> Period</w:t>
      </w:r>
      <w:r w:rsidR="0056231A">
        <w:rPr>
          <w:b w:val="0"/>
        </w:rPr>
        <w:t>,</w:t>
      </w:r>
      <w:r w:rsidR="007C1374" w:rsidRPr="009A434F">
        <w:rPr>
          <w:b w:val="0"/>
        </w:rPr>
        <w:t xml:space="preserve"> and all subsequent </w:t>
      </w:r>
      <w:r w:rsidR="007C1374">
        <w:rPr>
          <w:b w:val="0"/>
        </w:rPr>
        <w:t>periods</w:t>
      </w:r>
      <w:r w:rsidR="007C1374" w:rsidRPr="009A434F">
        <w:rPr>
          <w:b w:val="0"/>
        </w:rPr>
        <w:t xml:space="preserve">, unless the </w:t>
      </w:r>
      <w:r w:rsidR="0056231A">
        <w:rPr>
          <w:b w:val="0"/>
        </w:rPr>
        <w:t>terms of our engagement are</w:t>
      </w:r>
      <w:r w:rsidR="007C1374" w:rsidRPr="009A434F">
        <w:rPr>
          <w:b w:val="0"/>
        </w:rPr>
        <w:t xml:space="preserve"> changed in a </w:t>
      </w:r>
      <w:r w:rsidR="00786782">
        <w:rPr>
          <w:b w:val="0"/>
        </w:rPr>
        <w:t xml:space="preserve">written </w:t>
      </w:r>
      <w:r w:rsidR="007C1374" w:rsidRPr="009A434F">
        <w:rPr>
          <w:b w:val="0"/>
        </w:rPr>
        <w:t xml:space="preserve">communication </w:t>
      </w:r>
      <w:r w:rsidR="00786782">
        <w:rPr>
          <w:b w:val="0"/>
        </w:rPr>
        <w:t>including by email, agreed to by both ONYX and the Client</w:t>
      </w:r>
      <w:r w:rsidR="007C1374" w:rsidRPr="000410BE">
        <w:t>.</w:t>
      </w:r>
    </w:p>
    <w:p>
      <w:pPr>
        <w:pStyle w:val="CLALTRHeading1"/>
        <w:pBdr>
          <w:top w:val="single" w:sz="8" w:space="10" w:color="auto"/>
          <w:bottom w:val="single" w:sz="8" w:space="10" w:color="auto"/>
        </w:pBdr>
        <w:spacing w:before="240" w:after="200"/>
        <w:jc w:val="both"/>
      </w:pPr>
      <w:r>
        <w:rPr>
          <w:caps/>
          <w:color w:val="7F7F7F"/>
          <w:sz w:val="18"/>
          <w:szCs w:val="18"/>
          <w:spacing w:val="60"/>
        </w:rPr>
        <w:t xml:space="preserve">Section 1</w:t>
      </w:r>
      <w:r>
        <w:br/>
      </w:r>
      <w:r>
        <w:rPr>
          <w:sz w:val="48"/>
          <w:szCs w:val="48"/>
        </w:rPr>
        <w:t xml:space="preserve">What we’ll do for you</w:t>
      </w:r>
    </w:p>
    <w:p w14:paraId="79A7EA5D" w14:textId="3D99C666" w:rsidR="007C1374" w:rsidRDefault="00F73F44" w:rsidP="004232B8">
      <w:pPr>
        <w:pStyle w:val="CLALTRNormal"/>
        <w:jc w:val="both"/>
      </w:pPr>
      <w:r>
        <w:t>ONYX provides consistent, controller-led finance leadership with CFO oversight, giving the physicians a senior point of contact that does not turn over. We work inside QuickBooks Online alongside your internal accounting team, support and supervise that team, and follow a perform-and-review approach so the person preparing a number is never the one approving it. The engagement covers Arizona Center for Hand Surgery, P.C. and its affiliated entities, the surgery center and Arizona Pharmacy Consultants. The services below are illustrative of what ONYX provides and are not a fixed or exhaustive list; the scope can be structured as full finance leadership, controller-led support, or staff augmentation, and adjusted as your needs change.</w:t>
      </w:r>
    </w:p>
    <w:p w14:paraId="39D6E8D9" w14:textId="77777777" w:rsidR="007C1374" w:rsidRDefault="007C1374" w:rsidP="004232B8">
      <w:pPr>
        <w:pStyle w:val="CLALTRHeading2"/>
        <w:jc w:val="both"/>
      </w:pPr>
      <w:proofErr w:type="gramStart"/>
      <w:r>
        <w:t>Ongoing</w:t>
      </w:r>
      <w:proofErr w:type="gramEnd"/>
      <w:r>
        <w:t xml:space="preserve"> normal accounting services:</w:t>
      </w:r>
    </w:p>
    <w:p w14:paraId="04AF9870" w14:textId="77777777" w:rsidR="007C1374" w:rsidRDefault="007C1374" w:rsidP="004232B8">
      <w:pPr>
        <w:pStyle w:val="CLALTRNormal"/>
        <w:numPr>
          <w:ilvl w:val="0"/>
          <w:numId w:val="8"/>
        </w:numPr>
        <w:jc w:val="both"/>
      </w:pPr>
      <w:r>
        <w:rPr/>
        <w:t>Day-to-day accounting across the three entities</w:t>
      </w:r>
    </w:p>
    <w:p>
      <w:pPr>
        <w:pStyle w:val="CLALTRNormal"/>
        <w:jc w:val="both"/>
      </w:pPr>
      <w:r>
        <w:rPr/>
        <w:t>Working with your internal accounting team, ONYX supports the recurring work that keeps the books accurate and close-ready across the practice, the surgery center, and Arizona Pharmacy Consultants:</w:t>
      </w:r>
    </w:p>
    <w:p w14:paraId="5F77BEBA" w14:textId="77777777" w:rsidR="007C1374" w:rsidRPr="0004094D" w:rsidRDefault="007C1374" w:rsidP="004232B8">
      <w:pPr>
        <w:pStyle w:val="CLALTRNormal"/>
        <w:numPr>
          <w:ilvl w:val="0"/>
          <w:numId w:val="9"/>
        </w:numPr>
        <w:jc w:val="both"/>
      </w:pPr>
      <w:r>
        <w:rPr/>
        <w:t>Support accounts payable in QuickBooks Online, including the approval workflow and the international AP resource.</w:t>
      </w:r>
    </w:p>
    <w:p w14:paraId="0FDCCEB3" w14:textId="77777777" w:rsidR="007C1374" w:rsidRDefault="007C1374" w:rsidP="004232B8">
      <w:pPr>
        <w:pStyle w:val="CLALTRNormal"/>
        <w:numPr>
          <w:ilvl w:val="0"/>
          <w:numId w:val="9"/>
        </w:numPr>
        <w:jc w:val="both"/>
      </w:pPr>
      <w:r>
        <w:rPr/>
        <w:t>Record and reconcile revenue-cycle activity from eClinicalWorks, including patient billing, collections, and cash posting.</w:t>
      </w:r>
    </w:p>
    <w:p w14:paraId="24F25670" w14:textId="77777777" w:rsidR="007C1374" w:rsidRDefault="007C1374" w:rsidP="004232B8">
      <w:pPr>
        <w:pStyle w:val="CLALTRNormal"/>
        <w:numPr>
          <w:ilvl w:val="0"/>
          <w:numId w:val="9"/>
        </w:numPr>
        <w:jc w:val="both"/>
      </w:pPr>
      <w:r>
        <w:rPr/>
        <w:t>Support biweekly payroll in Paylocity and the mid-month physician bonus process, including the payroll-to-GL entries.</w:t>
      </w:r>
    </w:p>
    <w:p w14:paraId="7FEABD02" w14:textId="77777777" w:rsidR="007C1374" w:rsidRDefault="007C1374" w:rsidP="004232B8">
      <w:pPr>
        <w:pStyle w:val="CLALTRNormal"/>
        <w:numPr>
          <w:ilvl w:val="0"/>
          <w:numId w:val="9"/>
        </w:numPr>
        <w:jc w:val="both"/>
      </w:pPr>
      <w:r>
        <w:rPr/>
        <w:t>Reconcile accounts and post journal entries each month across all three entities, keeping the books clean and close-ready.</w:t>
      </w:r>
    </w:p>
    <w:p w14:paraId="6B61EA03" w14:textId="77777777" w:rsidR="007C1374" w:rsidRDefault="007C1374" w:rsidP="004232B8">
      <w:pPr>
        <w:pStyle w:val="CLALTRNormal"/>
        <w:numPr>
          <w:ilvl w:val="0"/>
          <w:numId w:val="9"/>
        </w:numPr>
        <w:jc w:val="both"/>
      </w:pPr>
      <w:r>
        <w:rPr/>
        <w:t xml:space="preserve">Maintain depreciation schedules</w:t>
      </w:r>
    </w:p>
    <w:p w14:paraId="265B71B3" w14:textId="77777777" w:rsidR="007C1374" w:rsidRDefault="007C1374" w:rsidP="004232B8">
      <w:pPr>
        <w:pStyle w:val="CLALTRNormal"/>
        <w:numPr>
          <w:ilvl w:val="0"/>
          <w:numId w:val="9"/>
        </w:numPr>
        <w:jc w:val="both"/>
      </w:pPr>
      <w:r w:rsidRPr="00A43EB3">
        <w:rPr/>
        <w:t>Prepare the EMR-to-GL entries between eClinicalWorks and QuickBooks Online, with exception review.</w:t>
      </w:r>
    </w:p>
    <w:p w14:paraId="1D259634" w14:textId="77777777" w:rsidR="007C1374" w:rsidRDefault="007C1374" w:rsidP="004232B8">
      <w:pPr>
        <w:pStyle w:val="CLALTRNormal"/>
        <w:numPr>
          <w:ilvl w:val="0"/>
          <w:numId w:val="8"/>
        </w:numPr>
        <w:jc w:val="both"/>
      </w:pPr>
      <w:r>
        <w:rPr/>
        <w:t xml:space="preserve">Controller-level oversight and reporting</w:t>
      </w:r>
    </w:p>
    <w:p>
      <w:pPr>
        <w:pStyle w:val="CLALTRNormal"/>
        <w:jc w:val="both"/>
      </w:pPr>
      <w:r>
        <w:rPr/>
        <w:t xml:space="preserve">A second layer of review and reporting that turns clean books into insight, so management always has accurate, timely numbers to act on:</w:t>
      </w:r>
    </w:p>
    <w:p w14:paraId="460008E1" w14:textId="77777777" w:rsidR="007C1374" w:rsidRDefault="007C1374" w:rsidP="004232B8">
      <w:pPr>
        <w:pStyle w:val="CLALTRNormal"/>
        <w:numPr>
          <w:ilvl w:val="0"/>
          <w:numId w:val="10"/>
        </w:numPr>
        <w:jc w:val="both"/>
      </w:pPr>
      <w:r>
        <w:rPr/>
        <w:t>Review and approve the reconciliations and journal entries prepared by the internal team, adding a second layer of accuracy and control.</w:t>
      </w:r>
    </w:p>
    <w:p w14:paraId="0A617E3A" w14:textId="77777777" w:rsidR="007C1374" w:rsidRDefault="007C1374" w:rsidP="004232B8">
      <w:pPr>
        <w:pStyle w:val="CLALTRNormal"/>
        <w:numPr>
          <w:ilvl w:val="0"/>
          <w:numId w:val="10"/>
        </w:numPr>
        <w:jc w:val="both"/>
      </w:pPr>
      <w:r>
        <w:rPr/>
        <w:t xml:space="preserve">Reconcile complex accounts and prepare the related journal entries</w:t>
      </w:r>
    </w:p>
    <w:p w14:paraId="59342C6B" w14:textId="77777777" w:rsidR="007C1374" w:rsidRPr="00EE0520" w:rsidRDefault="007C1374" w:rsidP="004232B8">
      <w:pPr>
        <w:pStyle w:val="CLALTRNormal"/>
        <w:numPr>
          <w:ilvl w:val="0"/>
          <w:numId w:val="10"/>
        </w:numPr>
        <w:jc w:val="both"/>
      </w:pPr>
      <w:r>
        <w:rPr/>
        <w:t>Lead the monthly cash-basis close and produce management, departmental, and physician-level reporting.</w:t>
      </w:r>
    </w:p>
    <w:p w14:paraId="4198EB4C" w14:textId="77777777" w:rsidR="007C1374" w:rsidRPr="00EE0520" w:rsidRDefault="007C1374" w:rsidP="004232B8">
      <w:pPr>
        <w:pStyle w:val="CLALTRNormal"/>
        <w:numPr>
          <w:ilvl w:val="0"/>
          <w:numId w:val="10"/>
        </w:numPr>
        <w:jc w:val="both"/>
      </w:pPr>
      <w:r>
        <w:rPr/>
        <w:t>Prepare revenue-cycle analytics, including gross charges, collection rates, denials, and payer trends, with experienced human review.</w:t>
      </w:r>
    </w:p>
    <w:p w14:paraId="49474567" w14:textId="77777777" w:rsidR="007C1374" w:rsidRDefault="007C1374" w:rsidP="004232B8">
      <w:pPr>
        <w:pStyle w:val="CLALTRNormal"/>
        <w:numPr>
          <w:ilvl w:val="0"/>
          <w:numId w:val="10"/>
        </w:numPr>
        <w:jc w:val="both"/>
      </w:pPr>
      <w:r>
        <w:rPr/>
        <w:t>Document the practice’s accounting processes, the close checklist, and the physician-compensation and bonus procedures.</w:t>
      </w:r>
    </w:p>
    <w:p w14:paraId="4E3E6738" w14:textId="77777777" w:rsidR="007C1374" w:rsidRDefault="007C1374" w:rsidP="004232B8">
      <w:pPr>
        <w:pStyle w:val="CLALTRNormal"/>
        <w:numPr>
          <w:ilvl w:val="0"/>
          <w:numId w:val="10"/>
        </w:numPr>
        <w:jc w:val="both"/>
      </w:pPr>
      <w:r>
        <w:rPr/>
        <w:t>Supervise, mentor, and support the internal accounting team.</w:t>
      </w:r>
    </w:p>
    <w:p w14:paraId="4B0AB146" w14:textId="77777777" w:rsidR="007C1374" w:rsidRDefault="007C1374" w:rsidP="004232B8">
      <w:pPr>
        <w:pStyle w:val="CLALTRNormal"/>
        <w:numPr>
          <w:ilvl w:val="0"/>
          <w:numId w:val="10"/>
        </w:numPr>
        <w:jc w:val="both"/>
      </w:pPr>
      <w:r>
        <w:rPr/>
        <w:t xml:space="preserve">Monitor and manage cash flow so the Client always knows what’s coming in and going out</w:t>
      </w:r>
    </w:p>
    <w:p w14:paraId="743FB3C7" w14:textId="77777777" w:rsidR="007C1374" w:rsidRDefault="007C1374" w:rsidP="004232B8">
      <w:pPr>
        <w:pStyle w:val="CLALTRNormal"/>
        <w:numPr>
          <w:ilvl w:val="0"/>
          <w:numId w:val="10"/>
        </w:numPr>
        <w:jc w:val="both"/>
      </w:pPr>
      <w:r>
        <w:rPr/>
        <w:t>Prepare borrowing-base and lender reporting for Bank of Oklahoma / Bank of Arizona, and assist with routine bank requests.</w:t>
      </w:r>
    </w:p>
    <w:p w14:paraId="4AE0C1F8" w14:textId="3FBCFA1B" w:rsidR="007C1374" w:rsidRDefault="007C1374" w:rsidP="004232B8">
      <w:pPr>
        <w:pStyle w:val="CLALTRNormal"/>
        <w:numPr>
          <w:ilvl w:val="0"/>
          <w:numId w:val="10"/>
        </w:numPr>
        <w:jc w:val="both"/>
      </w:pPr>
      <w:r>
        <w:rPr/>
        <w:t>Gather and organize everything your tax team at CBIZ and your auditor need for the annual return and audit. ONYX does not prepare or file tax returns; CBIZ handles all tax filings.</w:t>
      </w:r>
    </w:p>
    <w:p>
      <w:pPr>
        <w:pStyle w:val="CLALTRNormal"/>
        <w:numPr>
          <w:ilvl w:val="0"/>
          <w:numId w:val="8"/>
        </w:numPr>
        <w:jc w:val="both"/>
      </w:pPr>
      <w:r>
        <w:rPr/>
        <w:t xml:space="preserve">CFO-level strategic support</w:t>
      </w:r>
    </w:p>
    <w:p>
      <w:pPr>
        <w:pStyle w:val="CLALTRNormal"/>
        <w:jc w:val="both"/>
      </w:pPr>
      <w:r>
        <w:rPr/>
        <w:t xml:space="preserve">On an as-needed or as-requested basis, ONYX serves as the Client’s strategic financial partner, providing the guidance, perspective, and forward-looking planning of a CFO without the full-time cost:</w:t>
      </w:r>
    </w:p>
    <w:p>
      <w:pPr>
        <w:pStyle w:val="CLALTRNormal"/>
        <w:numPr>
          <w:ilvl w:val="0"/>
          <w:numId w:val="10"/>
        </w:numPr>
        <w:jc w:val="both"/>
      </w:pPr>
      <w:r>
        <w:rPr/>
        <w:t>Serve as a consistent, senior financial partner to the physicians, shareholders, and the executive board.</w:t>
      </w:r>
    </w:p>
    <w:p>
      <w:pPr>
        <w:pStyle w:val="CLALTRNormal"/>
        <w:numPr>
          <w:ilvl w:val="0"/>
          <w:numId w:val="10"/>
        </w:numPr>
        <w:jc w:val="both"/>
      </w:pPr>
      <w:r>
        <w:rPr/>
        <w:t xml:space="preserve">Advise on financial reporting structure, management reporting, and accounting policy</w:t>
      </w:r>
    </w:p>
    <w:p>
      <w:pPr>
        <w:pStyle w:val="CLALTRNormal"/>
        <w:numPr>
          <w:ilvl w:val="0"/>
          <w:numId w:val="10"/>
        </w:numPr>
        <w:jc w:val="both"/>
      </w:pPr>
      <w:r>
        <w:rPr/>
        <w:t xml:space="preserve">Lead budgeting, forecasting, and long-term financial modeling to support growth and scenario planning</w:t>
      </w:r>
    </w:p>
    <w:p>
      <w:pPr>
        <w:pStyle w:val="CLALTRNormal"/>
        <w:numPr>
          <w:ilvl w:val="0"/>
          <w:numId w:val="10"/>
        </w:numPr>
        <w:jc w:val="both"/>
      </w:pPr>
      <w:r>
        <w:rPr/>
        <w:t>Support banking and lender relationships, including the lines of credit and borrowing-base reporting.</w:t>
      </w:r>
    </w:p>
    <w:p>
      <w:pPr>
        <w:pStyle w:val="CLALTRNormal"/>
        <w:numPr>
          <w:ilvl w:val="0"/>
          <w:numId w:val="10"/>
        </w:numPr>
        <w:jc w:val="both"/>
      </w:pPr>
      <w:r>
        <w:rPr/>
        <w:t>Prepare board and annual shareholder reporting, including the December shareholder meeting.</w:t>
      </w:r>
    </w:p>
    <w:p>
      <w:pPr>
        <w:pStyle w:val="CLALTRNormal"/>
        <w:numPr>
          <w:ilvl w:val="0"/>
          <w:numId w:val="10"/>
        </w:numPr>
        <w:jc w:val="both"/>
      </w:pPr>
      <w:r>
        <w:rPr/>
        <w:t>Build an automation roadmap for AP, payroll journals, EMR-to-GL activity, close checklists, and KPI dashboards, using automation and AI as controlled tools with human review of every material output.</w:t>
      </w:r>
    </w:p>
    <w:p w14:paraId="1DD15869" w14:textId="77777777" w:rsidR="007C1374" w:rsidRPr="005173C0" w:rsidRDefault="007C1374" w:rsidP="004232B8">
      <w:pPr>
        <w:pStyle w:val="CLALTRNormal"/>
        <w:numPr>
          <w:ilvl w:val="0"/>
          <w:numId w:val="8"/>
        </w:numPr>
        <w:jc w:val="both"/>
      </w:pPr>
      <w:r>
        <w:t xml:space="preserve">The following additional services are available and, when engaged, are described in the attached addendum(s):</w:t>
      </w:r>
    </w:p>
    <w:p w14:paraId="033984D9" w14:textId="77777777" w:rsidR="007C1374" w:rsidRDefault="007C1374" w:rsidP="004232B8">
      <w:pPr>
        <w:pStyle w:val="CLALTRNormal"/>
        <w:numPr>
          <w:ilvl w:val="0"/>
          <w:numId w:val="11"/>
        </w:numPr>
        <w:jc w:val="both"/>
      </w:pPr>
      <w:r>
        <w:rPr/>
        <w:t xml:space="preserve">Payroll preparation</w:t>
      </w:r>
    </w:p>
    <w:p w14:paraId="218FBFCA" w14:textId="77777777" w:rsidR="007C1374" w:rsidRDefault="007C1374" w:rsidP="004232B8">
      <w:pPr>
        <w:pStyle w:val="CLALTRNormal"/>
        <w:numPr>
          <w:ilvl w:val="0"/>
          <w:numId w:val="11"/>
        </w:numPr>
        <w:jc w:val="both"/>
      </w:pPr>
      <w:r>
        <w:rPr/>
        <w:t xml:space="preserve">Human resources</w:t>
      </w:r>
    </w:p>
    <w:p>
      <w:pPr>
        <w:pStyle w:val="CLALTRHeading2"/>
        <w:jc w:val="both"/>
      </w:pPr>
      <w:r>
        <w:t xml:space="preserve">Adjusting your services as your needs change</w:t>
      </w:r>
    </w:p>
    <w:p>
      <w:pPr>
        <w:pStyle w:val="CLALTRNormal"/>
        <w:jc w:val="both"/>
      </w:pPr>
      <w:r>
        <w:t>Your needs will evolve as your business grows, and this engagement is built to flex with them. Services can be added, reduced, or adjusted at any time by mutual written agreement, including by email, with no formal addendum or new engagement letter required. All other terms of this agreement remain in effect, so adding or removing a service never requires starting over.</w:t>
      </w:r>
    </w:p>
    <w:p w14:paraId="3A7EA000" w14:textId="4A2C317E" w:rsidR="007C1374" w:rsidRPr="00CA59AB" w:rsidRDefault="00155433" w:rsidP="004232B8">
      <w:pPr>
        <w:pStyle w:val="CLALTRHeading1"/>
        <w:jc w:val="both"/>
        <w:rPr/>
      </w:pPr>
      <w:r>
        <w:t xml:space="preserve">How we’ll work together</w:t>
      </w:r>
    </w:p>
    <w:p w14:paraId="26CCF220" w14:textId="184C9533" w:rsidR="007C1374" w:rsidRDefault="00155433" w:rsidP="004232B8">
      <w:pPr>
        <w:pStyle w:val="CLALTRNormal"/>
        <w:jc w:val="both"/>
      </w:pPr>
      <w:r>
        <w:rPr/>
        <w:t>Because ONYX works from the access and records the practice provides and does not have authority to move funds, a few responsibilities stay with the practice. All approvals should be documented in writing, whether electronically or manually:</w:t>
      </w:r>
    </w:p>
    <w:p w14:paraId="1F716C1A" w14:textId="77777777" w:rsidR="007C1374" w:rsidRPr="00D0294B" w:rsidRDefault="007C1374" w:rsidP="004232B8">
      <w:pPr>
        <w:pStyle w:val="CLALTRNormal"/>
        <w:numPr>
          <w:ilvl w:val="0"/>
          <w:numId w:val="21"/>
        </w:numPr>
        <w:jc w:val="both"/>
        <w:rPr/>
      </w:pPr>
      <w:r w:rsidRPr="00D0294B">
        <w:rPr/>
        <w:t>Provide ONYX with access to QuickBooks Online, eClinicalWorks reports, Paylocity, and view access to bank and loan accounts.</w:t>
      </w:r>
    </w:p>
    <w:p w14:paraId="5D4CD6F1" w14:textId="77777777" w:rsidR="007C1374" w:rsidRPr="00D0294B" w:rsidRDefault="007C1374" w:rsidP="004232B8">
      <w:pPr>
        <w:pStyle w:val="CLALTRNormal"/>
        <w:numPr>
          <w:ilvl w:val="0"/>
          <w:numId w:val="21"/>
        </w:numPr>
        <w:jc w:val="both"/>
        <w:rPr/>
      </w:pPr>
      <w:r w:rsidRPr="00D0294B">
        <w:rPr/>
        <w:t>Provide timely, accurate information and a primary point of contact, and keep the internal accounting team available to support the work.</w:t>
      </w:r>
    </w:p>
    <w:p w14:paraId="67DECFEA" w14:textId="77777777" w:rsidR="007C1374" w:rsidRPr="00D0294B" w:rsidRDefault="007C1374" w:rsidP="004232B8">
      <w:pPr>
        <w:pStyle w:val="CLALTRNormal"/>
        <w:numPr>
          <w:ilvl w:val="0"/>
          <w:numId w:val="21"/>
        </w:numPr>
        <w:jc w:val="both"/>
        <w:rPr/>
      </w:pPr>
      <w:r w:rsidRPr="00D0294B">
        <w:rPr/>
        <w:t>Retain approval authority over the practice’s own transactions, including invoices and payments, new vendors and customers, and payroll.</w:t>
      </w:r>
    </w:p>
    <w:p w14:paraId="69DB2137" w14:textId="77777777" w:rsidR="007C1374" w:rsidRPr="00D0294B" w:rsidRDefault="007C1374" w:rsidP="004232B8">
      <w:pPr>
        <w:pStyle w:val="CLALTRNormal"/>
        <w:numPr>
          <w:ilvl w:val="0"/>
          <w:numId w:val="21"/>
        </w:numPr>
        <w:jc w:val="both"/>
        <w:rPr/>
      </w:pPr>
      <w:r>
        <w:rPr/>
        <w:t>Review and approve (or delegate to the ONYX controller) bank and account reconciliations.</w:t>
      </w:r>
    </w:p>
    <w:p w14:paraId="169639B0" w14:textId="77777777" w:rsidR="007C1374" w:rsidRPr="00D0294B" w:rsidRDefault="007C1374" w:rsidP="004232B8">
      <w:pPr>
        <w:pStyle w:val="CLALTRNormal"/>
        <w:numPr>
          <w:ilvl w:val="0"/>
          <w:numId w:val="21"/>
        </w:numPr>
        <w:jc w:val="both"/>
        <w:rPr/>
      </w:pPr>
      <w:r>
        <w:rPr/>
        <w:t>Maintain responsibility for tax filings (through CBIZ) and for meeting the practice’s legal, lender, and benefit-plan obligations.</w:t>
      </w:r>
    </w:p>
    <w:p w14:paraId="5F1FD776" w14:textId="77777777" w:rsidR="007C1374" w:rsidRDefault="007C1374" w:rsidP="004232B8">
      <w:pPr>
        <w:pStyle w:val="CLALTRHeading1"/>
        <w:jc w:val="both"/>
      </w:pPr>
      <w:r>
        <w:t xml:space="preserve">Fees &amp; billing</w:t>
      </w:r>
    </w:p>
    <w:p w14:paraId="1ADC0964" w14:textId="77777777" w:rsidR="007C1374" w:rsidRPr="003B7E8F" w:rsidRDefault="007C1374" w:rsidP="004232B8">
      <w:pPr>
        <w:pStyle w:val="CLALTRHeading2"/>
        <w:jc w:val="both"/>
      </w:pPr>
      <w:r w:rsidRPr="003B7E8F">
        <w:t xml:space="preserve">Billing rates guaranteed through </w:t>
      </w:r>
      <w:r w:rsidRPr="003C0B6F">
        <w:rPr>
          <w:noProof/>
        </w:rPr>
        <w:t>December 31, 2026</w:t>
      </w:r>
      <w:r w:rsidRPr="003B7E8F">
        <w:t>:</w:t>
      </w:r>
    </w:p>
    <w:p w14:paraId="0660FCC0" w14:textId="77777777" w:rsidR="007C1374" w:rsidRDefault="007C1374" w:rsidP="004232B8">
      <w:pPr>
        <w:pStyle w:val="CLALTRNormal"/>
        <w:numPr>
          <w:ilvl w:val="0"/>
          <w:numId w:val="13"/>
        </w:numPr>
        <w:jc w:val="both"/>
      </w:pPr>
      <w:r w:rsidRPr="003B7E8F">
        <w:rPr/>
        <w:t>Services performed by Staff Accountant</w:t>
      </w:r>
      <w:r>
        <w:rPr/>
        <w:tab/>
      </w:r>
      <w:r w:rsidRPr="003B7E8F">
        <w:rPr/>
        <w:tab/>
      </w:r>
      <w:r w:rsidRPr="003B7E8F">
        <w:rPr/>
        <w:tab/>
      </w:r>
      <w:r w:rsidRPr="003B7E8F">
        <w:rPr/>
        <w:tab/>
      </w:r>
      <w:r w:rsidRPr="003B7E8F">
        <w:rPr/>
        <w:tab/>
      </w:r>
      <w:r w:rsidRPr="003B7E8F">
        <w:rPr/>
        <w:tab/>
      </w:r>
      <w:r w:rsidRPr="003B7E8F">
        <w:rPr/>
        <w:tab/>
      </w:r>
      <w:proofErr w:type="gramStart"/>
      <w:r w:rsidRPr="003B7E8F">
        <w:rPr/>
        <w:t>$100</w:t>
      </w:r>
      <w:proofErr w:type="gramEnd"/>
      <w:r w:rsidRPr="003B7E8F">
        <w:rPr/>
        <w:t xml:space="preserve"> per hour</w:t>
      </w:r>
    </w:p>
    <w:p w14:paraId="51CD06CC" w14:textId="77777777" w:rsidR="007C1374" w:rsidRDefault="007C1374" w:rsidP="004232B8">
      <w:pPr>
        <w:pStyle w:val="CLALTRNormal"/>
        <w:numPr>
          <w:ilvl w:val="0"/>
          <w:numId w:val="13"/>
        </w:numPr>
        <w:jc w:val="both"/>
      </w:pPr>
      <w:r w:rsidRPr="003B7E8F">
        <w:rPr/>
        <w:t>Services performed by Controller</w:t>
      </w:r>
      <w:r w:rsidRPr="003B7E8F">
        <w:rPr/>
        <w:tab/>
      </w:r>
      <w:r w:rsidRPr="003B7E8F">
        <w:rPr/>
        <w:tab/>
      </w:r>
      <w:r w:rsidRPr="003B7E8F">
        <w:rPr/>
        <w:tab/>
      </w:r>
      <w:r w:rsidRPr="003B7E8F">
        <w:rPr/>
        <w:tab/>
      </w:r>
      <w:r w:rsidRPr="003B7E8F">
        <w:rPr/>
        <w:tab/>
      </w:r>
      <w:r w:rsidRPr="003B7E8F">
        <w:rPr/>
        <w:tab/>
        <w:t>$185 per hour</w:t>
      </w:r>
    </w:p>
    <w:p w14:paraId="418AB107" w14:textId="77777777" w:rsidR="007C1374" w:rsidRDefault="007C1374" w:rsidP="004232B8">
      <w:pPr>
        <w:pStyle w:val="CLALTRNormal"/>
        <w:numPr>
          <w:ilvl w:val="0"/>
          <w:numId w:val="13"/>
        </w:numPr>
        <w:jc w:val="both"/>
      </w:pPr>
      <w:r w:rsidRPr="003B7E8F">
        <w:rPr/>
        <w:t xml:space="preserve">Services performed by </w:t>
      </w:r>
      <w:r>
        <w:rPr>
          <w:noProof/>
        </w:rPr>
        <w:t>CFO</w:t>
      </w:r>
      <w:r w:rsidRPr="003B7E8F">
        <w:rPr/>
        <w:t/>
      </w:r>
      <w:r w:rsidRPr="003B7E8F">
        <w:rPr/>
        <w:tab/>
      </w:r>
      <w:r w:rsidRPr="003B7E8F">
        <w:rPr/>
        <w:tab/>
      </w:r>
      <w:r w:rsidRPr="003B7E8F">
        <w:rPr/>
        <w:tab/>
        <w:t>$250 per hour</w:t>
      </w:r>
    </w:p>
    <w:p w14:paraId="00B6291F" w14:textId="4D048969" w:rsidR="007C1374" w:rsidRDefault="007C1374" w:rsidP="004232B8">
      <w:pPr>
        <w:pStyle w:val="CLALTRNormal"/>
        <w:jc w:val="both"/>
      </w:pPr>
      <w:proofErr w:type="gramStart"/>
      <w:r>
        <w:rPr/>
        <w:t>Subsequent to</w:t>
      </w:r>
      <w:proofErr w:type="gramEnd"/>
      <w:r>
        <w:rPr/>
        <w:t xml:space="preserve"> the billing rate guarantee date, the rates </w:t>
      </w:r>
      <w:r w:rsidRPr="008E719E">
        <w:rPr/>
        <w:t>may be adjusted</w:t>
      </w:r>
      <w:r w:rsidR="00CD0CCA">
        <w:rPr/>
        <w:t xml:space="preserve"> only</w:t>
      </w:r>
      <w:r w:rsidRPr="008E719E">
        <w:rPr/>
        <w:t xml:space="preserve"> as </w:t>
      </w:r>
      <w:r>
        <w:rPr/>
        <w:t>agreed</w:t>
      </w:r>
      <w:r w:rsidR="00CD0CCA">
        <w:rPr/>
        <w:t xml:space="preserve"> in writing</w:t>
      </w:r>
      <w:r>
        <w:rPr/>
        <w:t xml:space="preserve"> between </w:t>
      </w:r>
      <w:r w:rsidR="00B94063">
        <w:rPr/>
        <w:t xml:space="preserve">the Client </w:t>
      </w:r>
      <w:r>
        <w:rPr/>
        <w:t xml:space="preserve">and </w:t>
      </w:r>
      <w:r w:rsidR="003A2EF5">
        <w:rPr/>
        <w:t>ONYX</w:t>
      </w:r>
      <w:r w:rsidRPr="007956FE">
        <w:rPr/>
        <w:t xml:space="preserve"> </w:t>
      </w:r>
      <w:r>
        <w:rPr/>
        <w:t>through an addendum to this engagement letter</w:t>
      </w:r>
      <w:r w:rsidRPr="0065309C">
        <w:rPr/>
        <w:t>.</w:t>
      </w:r>
    </w:p>
    <w:p w14:paraId="675439FD" w14:textId="77777777" w:rsidR="007C1374" w:rsidRDefault="007C1374" w:rsidP="004232B8">
      <w:pPr>
        <w:pStyle w:val="CLALTRHeading2"/>
        <w:jc w:val="both"/>
      </w:pPr>
      <w:r>
        <w:t>Time estimates:</w:t>
      </w:r>
    </w:p>
    <w:p w14:paraId="254193CD" w14:textId="77777777" w:rsidR="007C1374" w:rsidRDefault="007C1374" w:rsidP="004232B8">
      <w:pPr>
        <w:pStyle w:val="CLALTRHeading2"/>
        <w:jc w:val="both"/>
      </w:pPr>
      <w:r w:rsidRPr="003B7E8F">
        <w:rPr>
          <w:b w:val="0"/>
          <w:u w:val="single"/>
        </w:rPr>
        <w:t>Onboarding and transition:</w:t>
      </w:r>
    </w:p>
    <w:p w14:paraId="5FCFEC33" w14:textId="77777777" w:rsidR="007C1374" w:rsidRDefault="007C1374" w:rsidP="004232B8">
      <w:pPr>
        <w:pStyle w:val="CLALTRNormal"/>
        <w:numPr>
          <w:ilvl w:val="0"/>
          <w:numId w:val="14"/>
        </w:numPr>
        <w:jc w:val="both"/>
      </w:pPr>
      <w:r w:rsidRPr="003B7E8F">
        <w:rPr/>
        <w:t>Billed hourly as incurred. ONYX will work with Mark to capture knowledge, stabilize the close, and confirm the right team mix, with weekly progress-and-budget updates during the first 90 days.</w:t>
      </w:r>
    </w:p>
    <w:p w14:paraId="2BC8C6AE" w14:textId="77777777" w:rsidR="007C1374" w:rsidRPr="003B7E8F" w:rsidRDefault="007C1374" w:rsidP="004232B8">
      <w:pPr>
        <w:pStyle w:val="CLALTRHeading2"/>
        <w:jc w:val="both"/>
        <w:rPr>
          <w:b w:val="0"/>
          <w:u w:val="single"/>
        </w:rPr>
      </w:pPr>
      <w:proofErr w:type="gramStart"/>
      <w:r w:rsidRPr="003B7E8F">
        <w:rPr>
          <w:b w:val="0"/>
          <w:u w:val="single"/>
        </w:rPr>
        <w:t>Ongoing finance services:</w:t>
      </w:r>
      <w:proofErr w:type="gramEnd"/>
    </w:p>
    <w:p w14:paraId="507ACF6F" w14:textId="77777777" w:rsidR="007C1374" w:rsidRDefault="007C1374" w:rsidP="004232B8">
      <w:pPr>
        <w:pStyle w:val="CLALTRNormal"/>
        <w:numPr>
          <w:ilvl w:val="0"/>
          <w:numId w:val="15"/>
        </w:numPr>
        <w:jc w:val="both"/>
      </w:pPr>
      <w:r w:rsidRPr="003B7E8F">
        <w:rPr/>
        <w:t>Billed hourly at the rates above. The engagement can be structured as full finance leadership, controller-led with CFO oversight, or staff augmentation, and the mix can be changed at any time by email.</w:t>
      </w:r>
      <w:proofErr w:type="gramStart"/>
      <w:proofErr w:type="gramEnd"/>
      <w:bookmarkStart w:id="7" w:name="Text49"/>
      <w:bookmarkEnd w:id="7"/>
    </w:p>
    <w:p w14:paraId="0C381B6E" w14:textId="6FE7FD06" w:rsidR="007C1374" w:rsidRDefault="007C1374" w:rsidP="004232B8">
      <w:pPr>
        <w:pStyle w:val="CLALTRNormal"/>
        <w:jc w:val="both"/>
      </w:pPr>
      <w:r>
        <w:rPr/>
        <w:t>Our fees for these services will be based on the time involved and the degree of responsibility and skill required, plus expenses, including internal and administrative charges. These estimates assume timely cooperation from the practice in providing requested records and access; if requested items are not available when needed or are inaccurate, the fee will likely be higher. Should unexpected circumstances require significant additional time, ONYX will advise the practice before undertaking any work that would substantially increase the fee estimate.</w:t>
      </w:r>
    </w:p>
    <w:p w14:paraId="34CB76F0" w14:textId="1C983FFC" w:rsidR="000679EF" w:rsidRDefault="00E4186A" w:rsidP="004232B8">
      <w:pPr>
        <w:pStyle w:val="CLALTRNormal"/>
        <w:jc w:val="both"/>
      </w:pPr>
      <w:r>
        <w:rPr/>
        <w:t xml:space="preserve"> </w:t>
      </w:r>
      <w:proofErr w:type="gramStart"/>
      <w:r>
        <w:rPr/>
        <w:t>During the course of</w:t>
      </w:r>
      <w:proofErr w:type="gramEnd"/>
      <w:r>
        <w:rPr/>
        <w:t xml:space="preserve"> our engagement, we may incur o</w:t>
      </w:r>
      <w:r w:rsidR="000679EF">
        <w:rPr/>
        <w:t xml:space="preserve">ut-of-pocket </w:t>
      </w:r>
      <w:r w:rsidR="00057067">
        <w:rPr/>
        <w:t xml:space="preserve">costs and </w:t>
      </w:r>
      <w:r w:rsidR="000679EF">
        <w:rPr/>
        <w:t>expenses</w:t>
      </w:r>
      <w:r>
        <w:rPr/>
        <w:t xml:space="preserve"> on your behalf. These costs and </w:t>
      </w:r>
      <w:r w:rsidR="00057067">
        <w:rPr/>
        <w:t xml:space="preserve">expenses, which you will be responsible </w:t>
      </w:r>
      <w:proofErr w:type="gramStart"/>
      <w:r w:rsidR="00057067">
        <w:rPr/>
        <w:t>to pay</w:t>
      </w:r>
      <w:proofErr w:type="gramEnd"/>
      <w:r w:rsidR="00057067">
        <w:rPr/>
        <w:t xml:space="preserve">, include, but are not necessarily limited </w:t>
      </w:r>
      <w:proofErr w:type="gramStart"/>
      <w:r w:rsidR="00057067">
        <w:rPr/>
        <w:t>to,</w:t>
      </w:r>
      <w:proofErr w:type="gramEnd"/>
      <w:r w:rsidR="000679EF">
        <w:rPr/>
        <w:t xml:space="preserve"> out-of-town travel, meals, and lodging</w:t>
      </w:r>
      <w:r w:rsidR="001D541D">
        <w:rPr/>
        <w:t>. These out-of-pocket costs and expenses</w:t>
      </w:r>
      <w:r w:rsidR="000679EF">
        <w:rPr/>
        <w:t xml:space="preserve"> will be billed at cost and are not included in the fees quoted above.</w:t>
      </w:r>
    </w:p>
    <w:p w14:paraId="653EA5FE" w14:textId="37F66B42" w:rsidR="007C1374" w:rsidRDefault="007C1374" w:rsidP="004232B8">
      <w:pPr>
        <w:pStyle w:val="CLALTRNormal"/>
        <w:jc w:val="both"/>
      </w:pPr>
      <w:r w:rsidRPr="00F13697">
        <w:t xml:space="preserve">Our invoices for these fees will be </w:t>
      </w:r>
      <w:proofErr w:type="gramStart"/>
      <w:r w:rsidRPr="00F13697">
        <w:t xml:space="preserve">rendered </w:t>
      </w:r>
      <w:r w:rsidR="00801237" w:rsidRPr="00801237">
        <w:rPr>
          <w:b/>
          <w:bCs/>
          <w:u w:val="single"/>
        </w:rPr>
        <w:t>bi</w:t>
      </w:r>
      <w:proofErr w:type="gramEnd"/>
      <w:r w:rsidR="00801237" w:rsidRPr="00801237">
        <w:rPr>
          <w:b/>
          <w:bCs/>
          <w:u w:val="single"/>
        </w:rPr>
        <w:t>-weekly</w:t>
      </w:r>
      <w:r w:rsidRPr="00F13697">
        <w:t xml:space="preserve"> as work progresses and are payable on presentation. </w:t>
      </w:r>
      <w:r w:rsidRPr="007441DE">
        <w:t xml:space="preserve">Terms of payment for services are </w:t>
      </w:r>
      <w:proofErr w:type="gramStart"/>
      <w:r w:rsidRPr="007441DE">
        <w:rPr>
          <w:b/>
          <w:u w:val="single"/>
        </w:rPr>
        <w:t>net</w:t>
      </w:r>
      <w:proofErr w:type="gramEnd"/>
      <w:r w:rsidR="0020163C">
        <w:rPr>
          <w:b/>
          <w:u w:val="single"/>
        </w:rPr>
        <w:t xml:space="preserve"> seven</w:t>
      </w:r>
      <w:r w:rsidRPr="007441DE">
        <w:rPr>
          <w:b/>
          <w:u w:val="single"/>
        </w:rPr>
        <w:t xml:space="preserve"> </w:t>
      </w:r>
      <w:r w:rsidR="0020163C">
        <w:rPr>
          <w:b/>
          <w:u w:val="single"/>
        </w:rPr>
        <w:t>(</w:t>
      </w:r>
      <w:r w:rsidR="007441DE">
        <w:rPr>
          <w:b/>
          <w:u w:val="single"/>
        </w:rPr>
        <w:t>7</w:t>
      </w:r>
      <w:r w:rsidR="0020163C">
        <w:rPr>
          <w:b/>
          <w:u w:val="single"/>
        </w:rPr>
        <w:t>)</w:t>
      </w:r>
      <w:r w:rsidRPr="007441DE">
        <w:rPr>
          <w:b/>
          <w:u w:val="single"/>
        </w:rPr>
        <w:t xml:space="preserve"> days</w:t>
      </w:r>
      <w:r w:rsidRPr="007441DE">
        <w:t>.</w:t>
      </w:r>
      <w:r w:rsidRPr="0045047B">
        <w:t xml:space="preserve"> </w:t>
      </w:r>
      <w:r w:rsidRPr="00F13697">
        <w:t xml:space="preserve">In accordance with our firm policies, work may be suspended if </w:t>
      </w:r>
      <w:r w:rsidR="002F6675">
        <w:t>the Client’s</w:t>
      </w:r>
      <w:r w:rsidR="002F6675" w:rsidRPr="00F13697">
        <w:t xml:space="preserve"> </w:t>
      </w:r>
      <w:r w:rsidRPr="00F13697">
        <w:t>account becomes</w:t>
      </w:r>
      <w:r w:rsidR="0020163C">
        <w:t xml:space="preserve"> thirty</w:t>
      </w:r>
      <w:r w:rsidRPr="00F13697">
        <w:t xml:space="preserve"> </w:t>
      </w:r>
      <w:r w:rsidR="0020163C">
        <w:t>(</w:t>
      </w:r>
      <w:r w:rsidR="007441DE">
        <w:t>30</w:t>
      </w:r>
      <w:r w:rsidR="0020163C">
        <w:t>)</w:t>
      </w:r>
      <w:r w:rsidRPr="00F13697">
        <w:rPr>
          <w:rStyle w:val="CLALTRHiddenTextChar"/>
        </w:rPr>
        <w:t xml:space="preserve"> </w:t>
      </w:r>
      <w:r w:rsidRPr="00F13697">
        <w:t xml:space="preserve"> days or more overdue and will not be resumed until </w:t>
      </w:r>
      <w:r w:rsidR="002F6675">
        <w:t>the Client’s</w:t>
      </w:r>
      <w:r w:rsidR="002F6675" w:rsidRPr="00F13697">
        <w:t xml:space="preserve"> </w:t>
      </w:r>
      <w:r w:rsidRPr="00F13697">
        <w:t xml:space="preserve">account is paid in full. If </w:t>
      </w:r>
      <w:r w:rsidR="002F6675">
        <w:t>ONYX</w:t>
      </w:r>
      <w:r w:rsidR="002F6675" w:rsidRPr="00F13697">
        <w:t xml:space="preserve"> </w:t>
      </w:r>
      <w:r w:rsidRPr="00F13697">
        <w:t>elect</w:t>
      </w:r>
      <w:r w:rsidR="002F6675">
        <w:t>s</w:t>
      </w:r>
      <w:r w:rsidRPr="00F13697">
        <w:t xml:space="preserve"> to terminate </w:t>
      </w:r>
      <w:r w:rsidR="002F6675">
        <w:t>its</w:t>
      </w:r>
      <w:r w:rsidRPr="00F13697">
        <w:t xml:space="preserve"> services for nonpayment, </w:t>
      </w:r>
      <w:r w:rsidR="002F6675">
        <w:t>ONYX’s</w:t>
      </w:r>
      <w:r w:rsidR="002F6675" w:rsidRPr="00F13697">
        <w:t xml:space="preserve"> </w:t>
      </w:r>
      <w:r w:rsidRPr="00F13697">
        <w:t xml:space="preserve">engagement will be deemed to have been completed even if </w:t>
      </w:r>
      <w:r w:rsidR="002F6675">
        <w:t>it has</w:t>
      </w:r>
      <w:r w:rsidRPr="00F13697">
        <w:t xml:space="preserve"> not </w:t>
      </w:r>
      <w:r>
        <w:t xml:space="preserve">provided </w:t>
      </w:r>
      <w:r w:rsidR="002F6675">
        <w:t xml:space="preserve">the Client </w:t>
      </w:r>
      <w:r>
        <w:t xml:space="preserve">with </w:t>
      </w:r>
      <w:r>
        <w:rPr>
          <w:noProof/>
        </w:rPr>
        <w:t>the books and supporting schedules</w:t>
      </w:r>
      <w:r w:rsidRPr="00F13697">
        <w:t xml:space="preserve">. </w:t>
      </w:r>
      <w:r w:rsidR="002F6675">
        <w:t>The Client</w:t>
      </w:r>
      <w:r w:rsidR="002F6675" w:rsidRPr="00F13697">
        <w:t xml:space="preserve"> </w:t>
      </w:r>
      <w:r w:rsidRPr="00F13697">
        <w:t xml:space="preserve">will be obligated to compensate </w:t>
      </w:r>
      <w:r w:rsidR="002F6675">
        <w:t>ONYX</w:t>
      </w:r>
      <w:r w:rsidR="002F6675" w:rsidRPr="00F13697">
        <w:t xml:space="preserve"> </w:t>
      </w:r>
      <w:r w:rsidRPr="00F13697">
        <w:t xml:space="preserve">for all time expended and to reimburse </w:t>
      </w:r>
      <w:r w:rsidR="002F6675">
        <w:t>ONYX</w:t>
      </w:r>
      <w:r w:rsidR="002F6675" w:rsidRPr="00F13697">
        <w:t xml:space="preserve"> </w:t>
      </w:r>
      <w:r w:rsidRPr="00F13697">
        <w:t>for all out-of-pocket expenditures through the date of termination.</w:t>
      </w:r>
    </w:p>
    <w:p w14:paraId="3B8130EC" w14:textId="351F9A7E" w:rsidR="00E817D0" w:rsidRDefault="00E817D0" w:rsidP="004232B8">
      <w:pPr>
        <w:pStyle w:val="CLALTRNormal"/>
        <w:jc w:val="both"/>
      </w:pPr>
      <w:r>
        <w:t xml:space="preserve">If the Client disputes or questions any charges on </w:t>
      </w:r>
      <w:r w:rsidR="006B3C5F">
        <w:t xml:space="preserve">any invoice, then the Client must notify </w:t>
      </w:r>
      <w:proofErr w:type="gramStart"/>
      <w:r w:rsidR="006B3C5F">
        <w:t>ONYX,</w:t>
      </w:r>
      <w:proofErr w:type="gramEnd"/>
      <w:r w:rsidR="006B3C5F">
        <w:t xml:space="preserve"> IN WRITING, listing the specific time entries or costs on the invoices the Client is disputing within thirty (30) days of the date shown on the invoice. If ONYX does not receive written notice of any such dispute or question within thirty (30) days of the date shown on the invoice, then ONYX will understand the Client’s silence to mean that the Client </w:t>
      </w:r>
      <w:r w:rsidR="00872C9F">
        <w:t xml:space="preserve">finds the billing statement, and </w:t>
      </w:r>
      <w:proofErr w:type="gramStart"/>
      <w:r w:rsidR="00872C9F">
        <w:t>all of</w:t>
      </w:r>
      <w:proofErr w:type="gramEnd"/>
      <w:r w:rsidR="00872C9F">
        <w:t xml:space="preserve"> its itemized charges and costs, acceptable and reasonable.</w:t>
      </w:r>
    </w:p>
    <w:p w14:paraId="66971ED3" w14:textId="77777777" w:rsidR="007C1374" w:rsidRPr="00A94F63" w:rsidRDefault="007C1374" w:rsidP="004232B8">
      <w:pPr>
        <w:pStyle w:val="CLALTRHeading2"/>
        <w:jc w:val="both"/>
      </w:pPr>
      <w:r w:rsidRPr="006370E4">
        <w:rPr/>
        <w:t>Retainer</w:t>
      </w:r>
    </w:p>
    <w:p w14:paraId="4E866157" w14:textId="1978B377" w:rsidR="007C1374" w:rsidRDefault="007C1374" w:rsidP="004232B8">
      <w:pPr>
        <w:pStyle w:val="CLALTRNormal"/>
        <w:jc w:val="both"/>
      </w:pPr>
      <w:r w:rsidRPr="000D38AB">
        <w:rPr/>
        <w:t xml:space="preserve">In connection with this engagement, </w:t>
      </w:r>
      <w:r w:rsidR="002F6675">
        <w:rPr/>
        <w:t>ONYX</w:t>
      </w:r>
      <w:r w:rsidR="002F6675" w:rsidRPr="000D38AB">
        <w:rPr/>
        <w:t xml:space="preserve"> </w:t>
      </w:r>
      <w:r w:rsidRPr="000D38AB">
        <w:rPr/>
        <w:t>must receive a retainer in the initial amount of</w:t>
      </w:r>
      <w:r>
        <w:rPr/>
        <w:t xml:space="preserve"> </w:t>
      </w:r>
      <w:r w:rsidRPr="000D38AB">
        <w:rPr/>
        <w:t>$</w:t>
      </w:r>
      <w:r w:rsidRPr="004F3EA8">
        <w:rPr>
          <w:b/>
          <w:i/>
        </w:rPr>
      </w:r>
      <w:r w:rsidRPr="004F3EA8">
        <w:rPr>
          <w:noProof/>
        </w:rPr>
        <w:t>3,000</w:t>
      </w:r>
      <w:r w:rsidR="00B139CD">
        <w:rPr>
          <w:bCs/>
          <w:iCs/>
        </w:rPr>
        <w:t xml:space="preserve"> (the “Retainer”)</w:t>
      </w:r>
      <w:r w:rsidRPr="000D38AB">
        <w:rPr/>
        <w:t>, payable prior to the commencement of any services.</w:t>
      </w:r>
      <w:r w:rsidRPr="004E19D8">
        <w:rPr/>
        <w:t xml:space="preserve"> </w:t>
      </w:r>
      <w:r w:rsidR="00474FC8">
        <w:rPr/>
        <w:t xml:space="preserve">The Client expressly grants ONYX a possessory security interest </w:t>
      </w:r>
      <w:r w:rsidR="00DE5CA9">
        <w:rPr/>
        <w:t>in the</w:t>
      </w:r>
      <w:r w:rsidR="00B139CD">
        <w:rPr/>
        <w:t xml:space="preserve"> Retainer</w:t>
      </w:r>
      <w:r w:rsidR="007738D8">
        <w:rPr/>
        <w:t xml:space="preserve"> to secure the payment of ONYX’s fees and costs. The Client also authorizes ONYX to withdraw from the Retainer any sums necessary to </w:t>
      </w:r>
      <w:r w:rsidR="00E57650">
        <w:rPr/>
        <w:t>pay fees charged, and costs incurred, from ONYX’s engagement.</w:t>
      </w:r>
      <w:r w:rsidR="00DE5CA9">
        <w:rPr/>
        <w:t xml:space="preserve"> </w:t>
      </w:r>
      <w:r w:rsidRPr="002D016D">
        <w:rPr/>
        <w:t>T</w:t>
      </w:r>
      <w:r w:rsidRPr="00901E7F">
        <w:rPr/>
        <w:t xml:space="preserve">he </w:t>
      </w:r>
      <w:r w:rsidR="00582DBB">
        <w:rPr/>
        <w:t>R</w:t>
      </w:r>
      <w:r w:rsidRPr="00901E7F">
        <w:rPr/>
        <w:t xml:space="preserve">etainer will be applied to </w:t>
      </w:r>
      <w:r w:rsidR="002F6675">
        <w:rPr/>
        <w:t>ONYX’s</w:t>
      </w:r>
      <w:r w:rsidR="002F6675" w:rsidRPr="00901E7F">
        <w:rPr/>
        <w:t xml:space="preserve"> </w:t>
      </w:r>
      <w:r w:rsidRPr="00901E7F">
        <w:rPr/>
        <w:t>final invoice</w:t>
      </w:r>
      <w:r w:rsidR="00582DBB">
        <w:rPr/>
        <w:t>. The Client must also still pay any remaining balance due to ONYX</w:t>
      </w:r>
      <w:r w:rsidR="00A66919">
        <w:rPr/>
        <w:t xml:space="preserve"> after the Retainer is applied to the final invoice. We will refund to the Client any unearned balance remaining from the Retainer when we conclude our engagement</w:t>
      </w:r>
      <w:r w:rsidRPr="00D85D47">
        <w:rPr/>
        <w:t>.</w:t>
      </w:r>
    </w:p>
    <w:p w14:paraId="14511489" w14:textId="77777777" w:rsidR="007C1374" w:rsidRDefault="007C1374" w:rsidP="004232B8">
      <w:pPr>
        <w:pStyle w:val="CLALTRHeading2"/>
        <w:jc w:val="both"/>
      </w:pPr>
      <w:r>
        <w:lastRenderedPageBreak/>
        <w:t>Other fees</w:t>
      </w:r>
    </w:p>
    <w:p w14:paraId="058D7BA7" w14:textId="56D8A4A3" w:rsidR="007C1374" w:rsidRDefault="002F6675" w:rsidP="004232B8">
      <w:pPr>
        <w:pStyle w:val="CLALTRNormal"/>
        <w:jc w:val="both"/>
      </w:pPr>
      <w:r>
        <w:t xml:space="preserve">The Client </w:t>
      </w:r>
      <w:r w:rsidR="007C1374">
        <w:t>also agree</w:t>
      </w:r>
      <w:r>
        <w:t>s</w:t>
      </w:r>
      <w:r w:rsidR="007C1374">
        <w:t xml:space="preserve"> to compensate </w:t>
      </w:r>
      <w:r>
        <w:t>ONYX</w:t>
      </w:r>
      <w:r w:rsidR="007C1374">
        <w:t xml:space="preserve"> for any time and expenses, including time and expenses of legal counsel, </w:t>
      </w:r>
      <w:r>
        <w:t xml:space="preserve">ONYX </w:t>
      </w:r>
      <w:r w:rsidR="007C1374">
        <w:t xml:space="preserve">may incur in responding to discovery requests or participating as a witness or otherwise in any legal, regulatory, or other proceedings that </w:t>
      </w:r>
      <w:r>
        <w:t xml:space="preserve">ONYX is </w:t>
      </w:r>
      <w:r w:rsidR="007C1374">
        <w:t xml:space="preserve">asked to respond to on </w:t>
      </w:r>
      <w:r>
        <w:t xml:space="preserve">the Client’s </w:t>
      </w:r>
      <w:r w:rsidR="007C1374">
        <w:t>behalf.</w:t>
      </w:r>
    </w:p>
    <w:p w14:paraId="1FCD6BC5" w14:textId="77777777" w:rsidR="007C1374" w:rsidRPr="00501D66" w:rsidRDefault="007C1374" w:rsidP="004232B8">
      <w:pPr>
        <w:pStyle w:val="CLALTRHeading2"/>
        <w:jc w:val="both"/>
      </w:pPr>
      <w:r w:rsidRPr="00501D66">
        <w:t>Finance charges and collection expenses</w:t>
      </w:r>
    </w:p>
    <w:p w14:paraId="26AC1D97" w14:textId="7FEE3B9F" w:rsidR="007C1374" w:rsidRDefault="002F6675" w:rsidP="004232B8">
      <w:pPr>
        <w:pStyle w:val="CLALTRNormal"/>
        <w:jc w:val="both"/>
      </w:pPr>
      <w:r>
        <w:t>The Client</w:t>
      </w:r>
      <w:r w:rsidRPr="00501D66">
        <w:t xml:space="preserve"> </w:t>
      </w:r>
      <w:r w:rsidR="007C1374" w:rsidRPr="00501D66">
        <w:t>agree</w:t>
      </w:r>
      <w:r>
        <w:t>s</w:t>
      </w:r>
      <w:r w:rsidR="007C1374" w:rsidRPr="00501D66">
        <w:t xml:space="preserve"> that if any statement is not paid within </w:t>
      </w:r>
      <w:r w:rsidR="00616098">
        <w:t>thirty (</w:t>
      </w:r>
      <w:r w:rsidR="007C1374" w:rsidRPr="00501D66">
        <w:t>30</w:t>
      </w:r>
      <w:r w:rsidR="00616098">
        <w:t>)</w:t>
      </w:r>
      <w:r w:rsidR="007C1374" w:rsidRPr="00501D66">
        <w:t xml:space="preserve"> days from its </w:t>
      </w:r>
      <w:r w:rsidR="007C1374">
        <w:t xml:space="preserve">billing </w:t>
      </w:r>
      <w:r w:rsidR="007C1374" w:rsidRPr="00501D66">
        <w:t xml:space="preserve">date, the unpaid balance shall accrue interest at the monthly rate of one and one-quarter percent (1.25%), which is an annual percentage rate of 15%. </w:t>
      </w:r>
      <w:proofErr w:type="gramStart"/>
      <w:r w:rsidR="007C1374" w:rsidRPr="00501D66">
        <w:t>In the event that</w:t>
      </w:r>
      <w:proofErr w:type="gramEnd"/>
      <w:r w:rsidR="007C1374" w:rsidRPr="00501D66">
        <w:t xml:space="preserve"> any collection action is required to collect unpaid balances </w:t>
      </w:r>
      <w:proofErr w:type="gramStart"/>
      <w:r w:rsidR="007C1374" w:rsidRPr="00501D66">
        <w:t>due</w:t>
      </w:r>
      <w:proofErr w:type="gramEnd"/>
      <w:r w:rsidR="007C1374" w:rsidRPr="00501D66">
        <w:t xml:space="preserve"> us, </w:t>
      </w:r>
      <w:r w:rsidR="00AD6268">
        <w:t xml:space="preserve">then the Client agrees that ONYX (or any attorney that ONYX may hire for this purpose) may also recover from the Client the </w:t>
      </w:r>
      <w:r w:rsidR="00584E17">
        <w:t xml:space="preserve">attorneys’ fees and costs to collect such sums, </w:t>
      </w:r>
      <w:proofErr w:type="gramStart"/>
      <w:r w:rsidR="00584E17">
        <w:t>whether or not</w:t>
      </w:r>
      <w:proofErr w:type="gramEnd"/>
      <w:r w:rsidR="00584E17">
        <w:t xml:space="preserve"> the Client contests the matter.</w:t>
      </w:r>
    </w:p>
    <w:p w14:paraId="1FAEB53B" w14:textId="77777777" w:rsidR="007C1374" w:rsidRDefault="007C1374" w:rsidP="004232B8">
      <w:pPr>
        <w:pStyle w:val="CLALTRHeading1"/>
        <w:jc w:val="both"/>
      </w:pPr>
      <w:r>
        <w:t xml:space="preserve">Our service commitment</w:t>
      </w:r>
    </w:p>
    <w:p w14:paraId="0C6B52CE" w14:textId="18ECCCBD" w:rsidR="007C1374" w:rsidRDefault="007C1374" w:rsidP="004232B8">
      <w:pPr>
        <w:pStyle w:val="CLALTRNormal"/>
        <w:jc w:val="both"/>
      </w:pPr>
      <w:r>
        <w:t xml:space="preserve">We stand behind our work. Upon full payment of our invoice, we will consider you satisfied with our services and our service commitment fulfilled.</w:t>
      </w:r>
    </w:p>
    <w:p w14:paraId="0C546F6C" w14:textId="29EA98E9" w:rsidR="007C1374" w:rsidRDefault="007C1374" w:rsidP="004232B8">
      <w:pPr>
        <w:pStyle w:val="CLALTRNormal"/>
        <w:jc w:val="both"/>
      </w:pPr>
      <w:r>
        <w:t xml:space="preserve">To ensure that ONYX’s services remain responsive to the Client’s needs, and fair to both parties, ONYX will meet with the Client throughout the term of this agreement and, as needs change, revise or adjust the scope of services and the related fees — without the need to re-execute this agreement. Such revisions or adjustments take effect once confirmed in writing, including by email, by both ONYX and the Client; no signature, formal addendum, or re-execution of this agreement is required.</w:t>
      </w:r>
    </w:p>
    <w:p w14:paraId="1E4339C2" w14:textId="08597DD5" w:rsidR="007C1374" w:rsidRDefault="007C1374" w:rsidP="004232B8">
      <w:pPr>
        <w:pStyle w:val="CLALTRNormal"/>
        <w:jc w:val="both"/>
      </w:pPr>
      <w:r>
        <w:t>Furthermore, it is understood that either party may terminate this agreement at any time, for any reason, by giving</w:t>
      </w:r>
      <w:r w:rsidR="00CD4E06">
        <w:t xml:space="preserve"> thirty</w:t>
      </w:r>
      <w:r>
        <w:t xml:space="preserve"> </w:t>
      </w:r>
      <w:r w:rsidR="00CD4E06">
        <w:t>(</w:t>
      </w:r>
      <w:r w:rsidRPr="00C770AF">
        <w:t>30</w:t>
      </w:r>
      <w:r w:rsidR="00CD4E06">
        <w:t>)</w:t>
      </w:r>
      <w:r w:rsidRPr="00C770AF">
        <w:t xml:space="preserve"> </w:t>
      </w:r>
      <w:proofErr w:type="gramStart"/>
      <w:r w:rsidRPr="00C770AF">
        <w:t>days</w:t>
      </w:r>
      <w:proofErr w:type="gramEnd"/>
      <w:r>
        <w:t xml:space="preserve"> written notice to the other party. In that event, the provisions of this agreement shall continue to apply to all services rendered prior to termination. It is understood that any unpaid fees that are owed or invoices that are outstanding at the date of termination are to be paid in accordance with the terms of this agreement.</w:t>
      </w:r>
    </w:p>
    <w:p>
      <w:pPr>
        <w:pStyle w:val="CLALTRHeading1"/>
        <w:pageBreakBefore/>
        <w:pBdr>
          <w:top w:val="single" w:sz="8" w:space="10" w:color="auto"/>
          <w:bottom w:val="single" w:sz="8" w:space="10" w:color="auto"/>
        </w:pBdr>
        <w:spacing w:before="240" w:after="200"/>
        <w:jc w:val="both"/>
      </w:pPr>
      <w:r>
        <w:rPr>
          <w:caps/>
          <w:color w:val="7F7F7F"/>
          <w:sz w:val="18"/>
          <w:szCs w:val="18"/>
          <w:spacing w:val="60"/>
        </w:rPr>
        <w:t xml:space="preserve">Section 2</w:t>
      </w:r>
      <w:r>
        <w:br/>
      </w:r>
      <w:r>
        <w:rPr>
          <w:sz w:val="48"/>
          <w:szCs w:val="48"/>
        </w:rPr>
        <w:t xml:space="preserve">Terms and Conditions</w:t>
      </w:r>
    </w:p>
    <w:p>
      <w:pPr>
        <w:pStyle w:val="CLALTRNormal"/>
        <w:jc w:val="both"/>
      </w:pPr>
      <w:r>
        <w:t xml:space="preserve">The following terms govern our engagement. They define each party’s responsibilities, allocate risk between us, and explain how any questions or disputes will be handled.</w:t>
      </w:r>
    </w:p>
    <w:p w14:paraId="58E69126" w14:textId="77777777" w:rsidR="007C1374" w:rsidRDefault="007C1374" w:rsidP="004232B8">
      <w:pPr>
        <w:pStyle w:val="CLALTRHeading1"/>
        <w:jc w:val="both"/>
      </w:pPr>
      <w:r>
        <w:t>Engagement objectives, limitations, and responsibilities</w:t>
      </w:r>
    </w:p>
    <w:p>
      <w:pPr>
        <w:pStyle w:val="CLALTRNormal"/>
        <w:jc w:val="both"/>
      </w:pPr>
      <w:r>
        <w:t xml:space="preserve">The objective of ONYX’s engagement is to assist the Client in the preparation of financial statements by providing the services identified above. ONYX has not been engaged to prepare financial statements, and financial statements will not be presented to the Client. Financial statements that may be generated from the Client’s accounting system have not been prepared, compiled, reviewed, or audited by ONYX and, accordingly, will not include an opinion or any other form of assurance. The financial statements will not be accompanied by a report, and ONYX should not be discussed or associated with them. Any analysis or presentation of financial information that ONYX provides to management is based on financial statements generated from the Client’s accounting system and does not constitute the preparation, compilation, review, or audit of financial statements by ONYX.</w:t>
      </w:r>
    </w:p>
    <w:p w14:paraId="67E374BD" w14:textId="2C45F098" w:rsidR="007C1374" w:rsidRDefault="007C1374" w:rsidP="004232B8">
      <w:pPr>
        <w:pStyle w:val="CLALTRNormal"/>
        <w:jc w:val="both"/>
        <w:rPr>
          <w:rStyle w:val="CLALTRNormalChar"/>
        </w:rPr>
      </w:pPr>
      <w:r w:rsidRPr="006B232D">
        <w:rPr>
          <w:rStyle w:val="CLALTRNormalChar"/>
        </w:rPr>
        <w:t>Material departures from accounting principles generally accepted in the United States of America (</w:t>
      </w:r>
      <w:r>
        <w:rPr>
          <w:rStyle w:val="CLALTRNormalChar"/>
        </w:rPr>
        <w:t xml:space="preserve">U.S. </w:t>
      </w:r>
      <w:r w:rsidRPr="006B232D">
        <w:rPr>
          <w:rStyle w:val="CLALTRNormalChar"/>
        </w:rPr>
        <w:t>GAAP) or a special purpose framework may exist</w:t>
      </w:r>
      <w:r w:rsidR="000E46C2">
        <w:rPr>
          <w:rStyle w:val="CLALTRNormalChar"/>
        </w:rPr>
        <w:t>,</w:t>
      </w:r>
      <w:r w:rsidRPr="006B232D">
        <w:rPr>
          <w:rStyle w:val="CLALTRNormalChar"/>
        </w:rPr>
        <w:t xml:space="preserve"> and the effects of those departures, if any, on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may not be disclosed. Because of the extent of material departures that may exist in, or required disclosures that may be omitted from,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w:t>
      </w:r>
      <w:r w:rsidR="000E46C2">
        <w:rPr>
          <w:rStyle w:val="CLALTRNormalChar"/>
        </w:rPr>
        <w:t>ONYX</w:t>
      </w:r>
      <w:r w:rsidR="000E46C2" w:rsidRPr="006B232D">
        <w:rPr>
          <w:rStyle w:val="CLALTRNormalChar"/>
        </w:rPr>
        <w:t xml:space="preserve"> </w:t>
      </w:r>
      <w:r w:rsidRPr="006B232D">
        <w:rPr>
          <w:rStyle w:val="CLALTRNormalChar"/>
        </w:rPr>
        <w:t>make</w:t>
      </w:r>
      <w:r w:rsidR="000E46C2">
        <w:rPr>
          <w:rStyle w:val="CLALTRNormalChar"/>
        </w:rPr>
        <w:t>s</w:t>
      </w:r>
      <w:r w:rsidRPr="006B232D">
        <w:rPr>
          <w:rStyle w:val="CLALTRNormalChar"/>
        </w:rPr>
        <w:t xml:space="preserve"> no representations regarding the appropriateness of such statements for </w:t>
      </w:r>
      <w:r w:rsidR="000E46C2">
        <w:rPr>
          <w:rStyle w:val="CLALTRNormalChar"/>
        </w:rPr>
        <w:t>the Client’s</w:t>
      </w:r>
      <w:r w:rsidR="000E46C2" w:rsidRPr="006B232D">
        <w:rPr>
          <w:rStyle w:val="CLALTRNormalChar"/>
        </w:rPr>
        <w:t xml:space="preserve"> </w:t>
      </w:r>
      <w:r w:rsidRPr="006B232D">
        <w:rPr>
          <w:rStyle w:val="CLALTRNormalChar"/>
        </w:rPr>
        <w:t xml:space="preserve">intended use or for any other purpose. Moreover, because of the nature of </w:t>
      </w:r>
      <w:r w:rsidR="000E46C2">
        <w:rPr>
          <w:rStyle w:val="CLALTRNormalChar"/>
        </w:rPr>
        <w:t>ONYX’s</w:t>
      </w:r>
      <w:r w:rsidR="000E46C2" w:rsidRPr="006B232D">
        <w:rPr>
          <w:rStyle w:val="CLALTRNormalChar"/>
        </w:rPr>
        <w:t xml:space="preserve"> </w:t>
      </w:r>
      <w:r w:rsidRPr="006B232D">
        <w:rPr>
          <w:rStyle w:val="CLALTRNormalChar"/>
        </w:rPr>
        <w:t xml:space="preserve">engagement, </w:t>
      </w:r>
      <w:r w:rsidR="000E46C2">
        <w:rPr>
          <w:rStyle w:val="CLALTRNormalChar"/>
        </w:rPr>
        <w:t>ONYX</w:t>
      </w:r>
      <w:r w:rsidR="000E46C2" w:rsidRPr="006B232D">
        <w:rPr>
          <w:rStyle w:val="CLALTRNormalChar"/>
        </w:rPr>
        <w:t xml:space="preserve"> </w:t>
      </w:r>
      <w:r w:rsidR="000E46C2">
        <w:rPr>
          <w:rStyle w:val="CLALTRNormalChar"/>
        </w:rPr>
        <w:t>is</w:t>
      </w:r>
      <w:r w:rsidRPr="006B232D">
        <w:rPr>
          <w:rStyle w:val="CLALTRNormalChar"/>
        </w:rPr>
        <w:t xml:space="preserve"> not responsible for communicating any such departures or omissions to </w:t>
      </w:r>
      <w:r w:rsidR="000E46C2">
        <w:rPr>
          <w:rStyle w:val="CLALTRNormalChar"/>
        </w:rPr>
        <w:t>the Client</w:t>
      </w:r>
      <w:r w:rsidRPr="006B232D">
        <w:rPr>
          <w:rStyle w:val="CLALTRNormalChar"/>
        </w:rPr>
        <w:t>.</w:t>
      </w:r>
    </w:p>
    <w:p w14:paraId="237D4625" w14:textId="2D9F240D" w:rsidR="007C1374" w:rsidRDefault="000E46C2" w:rsidP="004232B8">
      <w:pPr>
        <w:pStyle w:val="CLALTRNormal"/>
        <w:jc w:val="both"/>
      </w:pPr>
      <w:r>
        <w:t xml:space="preserve">ONYX’s </w:t>
      </w:r>
      <w:r w:rsidR="007C1374">
        <w:t xml:space="preserve">engagement cannot be relied upon to identify or disclose any financial statement misstatements, including those caused by fraud or error, or to identify or disclose any wrongdoing within </w:t>
      </w:r>
      <w:r>
        <w:t>the Client</w:t>
      </w:r>
      <w:r w:rsidR="007C1374">
        <w:t xml:space="preserve"> or noncompliance with laws and regulations. </w:t>
      </w:r>
      <w:r>
        <w:t>ONYX has</w:t>
      </w:r>
      <w:r w:rsidR="007C1374">
        <w:t xml:space="preserve"> no responsibility to identify and communicate deficiencies in </w:t>
      </w:r>
      <w:r>
        <w:t xml:space="preserve">the Client’s </w:t>
      </w:r>
      <w:r w:rsidR="007C1374">
        <w:t xml:space="preserve">internal control as part of </w:t>
      </w:r>
      <w:r>
        <w:t xml:space="preserve">ONYX’s </w:t>
      </w:r>
      <w:r w:rsidR="007C1374">
        <w:t xml:space="preserve">engagement. </w:t>
      </w:r>
      <w:r>
        <w:t>The Client</w:t>
      </w:r>
      <w:r w:rsidRPr="00AB3E66">
        <w:t xml:space="preserve"> </w:t>
      </w:r>
      <w:r w:rsidR="007C1374" w:rsidRPr="00AB3E66">
        <w:t>agree</w:t>
      </w:r>
      <w:r>
        <w:t>s</w:t>
      </w:r>
      <w:r w:rsidR="007C1374" w:rsidRPr="00AB3E66">
        <w:t xml:space="preserve"> that </w:t>
      </w:r>
      <w:r>
        <w:t>ONYX</w:t>
      </w:r>
      <w:r w:rsidRPr="00AB3E66">
        <w:t xml:space="preserve"> </w:t>
      </w:r>
      <w:r w:rsidR="007C1374" w:rsidRPr="00AB3E66">
        <w:t xml:space="preserve">shall not be responsible for any </w:t>
      </w:r>
      <w:proofErr w:type="gramStart"/>
      <w:r w:rsidR="007C1374" w:rsidRPr="00AB3E66">
        <w:t>misstatements</w:t>
      </w:r>
      <w:proofErr w:type="gramEnd"/>
      <w:r w:rsidR="007C1374" w:rsidRPr="00AB3E66">
        <w:t xml:space="preserve"> in the </w:t>
      </w:r>
      <w:r>
        <w:t>Client’s</w:t>
      </w:r>
      <w:r w:rsidRPr="00AB3E66">
        <w:t xml:space="preserve"> </w:t>
      </w:r>
      <w:r w:rsidR="007C1374" w:rsidRPr="00AB3E66">
        <w:t xml:space="preserve">financial statements that may </w:t>
      </w:r>
      <w:r w:rsidR="007C1374">
        <w:t>not be identified</w:t>
      </w:r>
      <w:r w:rsidR="007C1374" w:rsidRPr="00AB3E66">
        <w:t xml:space="preserve"> </w:t>
      </w:r>
      <w:proofErr w:type="gramStart"/>
      <w:r w:rsidR="007C1374" w:rsidRPr="00AB3E66">
        <w:t>as a result of</w:t>
      </w:r>
      <w:proofErr w:type="gramEnd"/>
      <w:r w:rsidR="007C1374" w:rsidRPr="00AB3E66">
        <w:t xml:space="preserve"> misrepresentations made to </w:t>
      </w:r>
      <w:r>
        <w:t>ONYX</w:t>
      </w:r>
      <w:r w:rsidRPr="00AB3E66">
        <w:t xml:space="preserve"> </w:t>
      </w:r>
      <w:r w:rsidR="007C1374" w:rsidRPr="00AB3E66">
        <w:t xml:space="preserve">by </w:t>
      </w:r>
      <w:r>
        <w:t>the Client</w:t>
      </w:r>
      <w:r w:rsidR="007C1374">
        <w:t>.</w:t>
      </w:r>
    </w:p>
    <w:p w14:paraId="17F8AFD8" w14:textId="4FAEBBF5" w:rsidR="007C1374" w:rsidRDefault="007C1374" w:rsidP="004232B8">
      <w:pPr>
        <w:pStyle w:val="CLALTRNormalIndent"/>
        <w:ind w:left="0"/>
        <w:jc w:val="both"/>
      </w:pPr>
      <w:r>
        <w:t xml:space="preserve">For all accounting services </w:t>
      </w:r>
      <w:r w:rsidR="000E46C2">
        <w:t xml:space="preserve">ONYX </w:t>
      </w:r>
      <w:r>
        <w:t xml:space="preserve">may provide to </w:t>
      </w:r>
      <w:r w:rsidR="000E46C2">
        <w:t>the Client</w:t>
      </w:r>
      <w:r>
        <w:t xml:space="preserve">, including assistance with the preparation of </w:t>
      </w:r>
      <w:r w:rsidR="000E46C2">
        <w:t xml:space="preserve">the Client’s </w:t>
      </w:r>
      <w:r>
        <w:t>financial statements, management agrees to assume all management responsibilities; oversee the services; evaluate the adequacy and results of the services; and accept responsibility for the results of the services.</w:t>
      </w:r>
    </w:p>
    <w:p w14:paraId="48154494" w14:textId="3C2647EB" w:rsidR="00592EB7" w:rsidRDefault="00592EB7" w:rsidP="00592EB7">
      <w:pPr>
        <w:pStyle w:val="CLALTRNormal"/>
        <w:jc w:val="both"/>
      </w:pPr>
      <w:r>
        <w:t xml:space="preserve">The Client understands that ONYX is only engaged by the Client. If the Client is a </w:t>
      </w:r>
      <w:r w:rsidR="00FC3660">
        <w:t>business entity</w:t>
      </w:r>
      <w:r>
        <w:t xml:space="preserve">, then ONYX does NOT also represent any of the Client’s individual partners, members, officers, directors or employees (as the case may be) or any other entities whose interests are represented by those </w:t>
      </w:r>
      <w:proofErr w:type="gramStart"/>
      <w:r>
        <w:t>persons</w:t>
      </w:r>
      <w:proofErr w:type="gramEnd"/>
      <w:r>
        <w:t>, unless ONYX agrees to do so in writing.</w:t>
      </w:r>
    </w:p>
    <w:p w14:paraId="423BE096" w14:textId="33AB8515" w:rsidR="00FC3660" w:rsidRPr="00592EB7" w:rsidRDefault="00FC3660" w:rsidP="008270E1">
      <w:pPr>
        <w:pStyle w:val="CLALTRNormal"/>
        <w:jc w:val="both"/>
      </w:pPr>
      <w:r>
        <w:t xml:space="preserve">If the Client is a business entity, </w:t>
      </w:r>
      <w:r w:rsidR="00C70BA9">
        <w:t>then, for the convenience of all involved, you have authorized the persons designated in this letter to act for you in a representative capacity in communicating your instructions to us.</w:t>
      </w:r>
    </w:p>
    <w:p>
      <w:pPr>
        <w:pStyle w:val="CLALTRHeading2"/>
        <w:jc w:val="both"/>
      </w:pPr>
      <w:r>
        <w:t xml:space="preserve">Client indemnification</w:t>
      </w:r>
    </w:p>
    <w:p>
      <w:pPr>
        <w:pStyle w:val="CLALTRNormal"/>
        <w:jc w:val="both"/>
      </w:pPr>
      <w:r>
        <w:t xml:space="preserve">Client shall indemnify, defend, and hold harmless ONYX, its partners, principals, directors, officers, employees, agents, subcontractors, and affiliates (collectively, the “ONYX Parties” and each an “ONYX Party”) from and against any and all third-party claims, demands, actions, damages, losses, liabilities, penalties, fines, judgments, costs, and expenses, including reasonable attorneys’ fees and defense costs, arising out of or relating to: (a) information, records, or data provided by Client that is inaccurate, incomplete, misleading, or untimely; (b) instructions, approvals, authorizations, or decisions made by Client or its representatives; (c) Client’s failure to maintain adequate internal controls, oversight, or segregation of duties; (d) payments, wire transfers, payroll transactions, vendor setups, customer setups, or other financial transactions approved by Client; (e) acts or omissions of Client’s employees, officers, owners, agents, contractors, or other service providers; or (f) Client’s violation of any applicable law, regulation, contract, or legal obligation. This indemnification obligation shall not apply to the extent a claim is finally determined by a court or arbitrator of competent jurisdiction to have resulted from the gross negligence or willful misconduct of an ONYX Party.</w:t>
      </w:r>
    </w:p>
    <w:p w14:paraId="33F7E619" w14:textId="77777777" w:rsidR="007C1374" w:rsidRDefault="007C1374" w:rsidP="004232B8">
      <w:pPr>
        <w:pStyle w:val="CLALTRHeading1"/>
        <w:jc w:val="both"/>
      </w:pPr>
      <w:r>
        <w:t>Limitation of remedies</w:t>
      </w:r>
    </w:p>
    <w:p>
      <w:pPr>
        <w:pStyle w:val="CLALTRNormal"/>
        <w:jc w:val="both"/>
      </w:pPr>
      <w:r>
        <w:t xml:space="preserve">ONYX’s role is strictly limited to the engagement described in this letter, and ONYX offers no assurance as to the results or ultimate outcomes of this engagement or of any decisions that the Client may make based on ONYX’s communications with the Client. The Client agrees that it is appropriate to limit the liability of the ONYX Parties.</w:t>
      </w:r>
    </w:p>
    <w:p w14:paraId="05D04A73" w14:textId="6A38FA52" w:rsidR="00416721" w:rsidRDefault="00416721" w:rsidP="004232B8">
      <w:pPr>
        <w:pStyle w:val="CLALTRNormal"/>
        <w:jc w:val="both"/>
      </w:pPr>
      <w:r>
        <w:t>If a dispute arises from or relates to this agreement or the breach thereof, and if the dispute cannot be settled through direct discussions, the parties agree to endeavor first to settle the dispute by mediation administered by the American Arbitration Association</w:t>
      </w:r>
      <w:r w:rsidR="00715BF2">
        <w:t xml:space="preserve"> in Maricopa County, Arizona</w:t>
      </w:r>
      <w:r>
        <w:t xml:space="preserve"> under its Commercial Mediation Procedures before resorting to arbitration. The parties further agree that any unresolved controversy or claim arising out of or relating to this agreement, or breach thereof, shall be settled by arbitration administered by the American Arbitration Association</w:t>
      </w:r>
      <w:r w:rsidR="00715BF2">
        <w:t xml:space="preserve"> in Maricopa County, Arizona</w:t>
      </w:r>
      <w:r>
        <w:t xml:space="preserve"> in accordance with its Commercial Arbitration Rules and judgment on the award rendered by the arbitrator(s) may be entered in any court having jurisdiction thereof.</w:t>
      </w:r>
    </w:p>
    <w:p w14:paraId="4843286B" w14:textId="5B30B26C" w:rsidR="007C1374" w:rsidRDefault="00CF3BBF" w:rsidP="004232B8">
      <w:pPr>
        <w:pStyle w:val="CLALTRNormal"/>
        <w:jc w:val="both"/>
      </w:pPr>
      <w:r>
        <w:t>Each person signing this letter agrees (1) that this agreement is entered into in the State of Arizona, (2) that Arizona law governs this agreement, and (</w:t>
      </w:r>
      <w:r w:rsidR="00CA1898">
        <w:t>3</w:t>
      </w:r>
      <w:r>
        <w:t>) each such person consents to the personal jurisdiction of the courts of Maricopa County, Arizona.</w:t>
      </w:r>
      <w:r w:rsidR="007C1374" w:rsidRPr="0080002E">
        <w:rPr>
          <w:rStyle w:val="CLALTRHiddenTextChar"/>
        </w:rPr>
        <w:t xml:space="preserve"> </w:t>
      </w:r>
      <w:r w:rsidR="007C1374">
        <w:rPr>
          <w:rStyle w:val="CLALTRHiddenTextChar"/>
        </w:rPr>
        <w:t xml:space="preserve">  </w:t>
      </w:r>
    </w:p>
    <w:p>
      <w:pPr>
        <w:pStyle w:val="CLALTRNormal"/>
        <w:jc w:val="both"/>
      </w:pPr>
      <w:r>
        <w:t xml:space="preserve">The Client further agrees that it will not hold ONYX or any other ONYX Party liable for any claim, cost, or damage, whether based on warranty, tort, contract, or other law, arising from or related to this agreement, the services provided under this agreement, the work product, or for any plans, actions, or results of this engagement, except to the extent authorized by this agreement.</w:t>
      </w:r>
    </w:p>
    <w:p>
      <w:pPr>
        <w:pStyle w:val="CLALTRNormal"/>
        <w:jc w:val="both"/>
      </w:pPr>
      <w:r>
        <w:t xml:space="preserve">To the fullest extent permitted by law, the aggregate liability of all ONYX Parties arising out of or relating to this agreement, the services provided under this agreement, or any work product delivered pursuant to this agreement, regardless of the form of action and whether based in contract, tort, negligence, strict liability, statute, fiduciary theory, or otherwise, shall not exceed the total fees actually paid by Client to ONYX under this agreement during the twelve (12) months immediately preceding the event giving rise to the claim.</w:t>
      </w:r>
    </w:p>
    <w:p>
      <w:pPr>
        <w:pStyle w:val="CLALTRNormal"/>
        <w:jc w:val="both"/>
      </w:pPr>
      <w:r>
        <w:t xml:space="preserve">In no event shall any ONYX Party be liable for any indirect, consequential, special, incidental, exemplary, enhanced, or punitive damages, including without limitation loss of profits, loss of revenue, loss of business opportunity, loss of anticipated savings, loss of data, loss of goodwill, business interruption losses, or attorneys’ fees and costs, regardless of the legal theory asserted and even if advised of the possibility of such damages.</w:t>
      </w:r>
    </w:p>
    <w:p w14:paraId="39328149" w14:textId="77777777" w:rsidR="00E45A6A" w:rsidRDefault="00E45A6A" w:rsidP="004232B8">
      <w:pPr>
        <w:pStyle w:val="CLALTRNormal"/>
        <w:jc w:val="both"/>
      </w:pPr>
    </w:p>
    <w:p w14:paraId="286BF09C" w14:textId="77777777" w:rsidR="00E45A6A" w:rsidRDefault="00E45A6A" w:rsidP="004232B8">
      <w:pPr>
        <w:pStyle w:val="CLALTRNormal"/>
        <w:jc w:val="both"/>
      </w:pPr>
    </w:p>
    <w:p w14:paraId="1BE0DCC1" w14:textId="77777777" w:rsidR="007C1374" w:rsidRDefault="007C1374" w:rsidP="004232B8">
      <w:pPr>
        <w:pStyle w:val="CLALTRHeading1"/>
        <w:jc w:val="both"/>
      </w:pPr>
      <w:r>
        <w:lastRenderedPageBreak/>
        <w:t>Time limitation</w:t>
      </w:r>
    </w:p>
    <w:p w14:paraId="1C81879F" w14:textId="4EA91225" w:rsidR="007C1374" w:rsidRDefault="007C1374" w:rsidP="004232B8">
      <w:pPr>
        <w:pStyle w:val="CLALTRNormal"/>
        <w:jc w:val="both"/>
      </w:pPr>
      <w:r>
        <w:t xml:space="preserve">The nature of our services makes it difficult, with the passage of time, to gather and present evidence that fully and fairly establishes the facts underlying any dispute that may arise between </w:t>
      </w:r>
      <w:r w:rsidR="002F6675">
        <w:t xml:space="preserve">the Client </w:t>
      </w:r>
      <w:r>
        <w:t xml:space="preserve">and any </w:t>
      </w:r>
      <w:r w:rsidR="003A2EF5">
        <w:t>ONYX</w:t>
      </w:r>
      <w:r>
        <w:t xml:space="preserve"> </w:t>
      </w:r>
      <w:r w:rsidR="002F6675">
        <w:t>P</w:t>
      </w:r>
      <w:r>
        <w:t xml:space="preserve">arty. The </w:t>
      </w:r>
      <w:r w:rsidR="002F6675">
        <w:t>Client and ONYX</w:t>
      </w:r>
      <w:r>
        <w:t xml:space="preserve"> agree that, notwithstanding any statute or law of limitations that might otherwise apply to a dispute, including one arising out of this agreement or the services performed under this agreement, for breach of contract or fiduciary duty, tort, fraud, misrepresentation or any other cause of action or remedy, any action or legal proceeding by </w:t>
      </w:r>
      <w:r w:rsidR="002F6675">
        <w:t xml:space="preserve">the Client </w:t>
      </w:r>
      <w:r>
        <w:t xml:space="preserve">against any </w:t>
      </w:r>
      <w:r w:rsidR="003A2EF5">
        <w:t>ONYX</w:t>
      </w:r>
      <w:r>
        <w:t xml:space="preserve"> </w:t>
      </w:r>
      <w:r w:rsidR="002F6675">
        <w:t>P</w:t>
      </w:r>
      <w:r>
        <w:t xml:space="preserve">arty must be commenced separately </w:t>
      </w:r>
      <w:r w:rsidRPr="0098092D">
        <w:t xml:space="preserve">within twenty-four (24) </w:t>
      </w:r>
      <w:r>
        <w:t xml:space="preserve">months after the date when </w:t>
      </w:r>
      <w:r w:rsidR="002F6675">
        <w:t xml:space="preserve">ONYX </w:t>
      </w:r>
      <w:r>
        <w:t>deliver</w:t>
      </w:r>
      <w:r w:rsidR="002F6675">
        <w:t>s</w:t>
      </w:r>
      <w:r>
        <w:t xml:space="preserve"> such services under this agreement to </w:t>
      </w:r>
      <w:r w:rsidR="002F6675">
        <w:t xml:space="preserve">the Client </w:t>
      </w:r>
      <w:r>
        <w:t>on which the dispute is based</w:t>
      </w:r>
      <w:r w:rsidR="00095922">
        <w:t xml:space="preserve"> (the “Limitation Period”)</w:t>
      </w:r>
      <w:r>
        <w:t xml:space="preserve">, regardless of whether any </w:t>
      </w:r>
      <w:r w:rsidR="003A2EF5">
        <w:t>ONYX</w:t>
      </w:r>
      <w:r>
        <w:t xml:space="preserve"> </w:t>
      </w:r>
      <w:r w:rsidR="002F6675">
        <w:t>P</w:t>
      </w:r>
      <w:r>
        <w:t xml:space="preserve">arty provides other services for </w:t>
      </w:r>
      <w:r w:rsidR="002F6675">
        <w:t xml:space="preserve">the Client </w:t>
      </w:r>
      <w:r>
        <w:t xml:space="preserve">under this agreement, or </w:t>
      </w:r>
      <w:r w:rsidR="002F6675">
        <w:t xml:space="preserve">the Client </w:t>
      </w:r>
      <w:r>
        <w:t>shall be forever barred from commencing a lawsuit or obtaining any legal or equitable relief or recovery</w:t>
      </w:r>
      <w:r w:rsidR="00095922">
        <w:t xml:space="preserve"> against any ONYX Party</w:t>
      </w:r>
      <w:r>
        <w:t>.</w:t>
      </w:r>
      <w:r w:rsidRPr="005A07F3">
        <w:t xml:space="preserve"> </w:t>
      </w:r>
    </w:p>
    <w:p w14:paraId="303C9862" w14:textId="4A812A7F" w:rsidR="007C1374" w:rsidRDefault="007C1374" w:rsidP="004232B8">
      <w:pPr>
        <w:pStyle w:val="CLALTRNormal"/>
        <w:jc w:val="both"/>
      </w:pPr>
      <w:r>
        <w:t xml:space="preserve">The Limitation Period applies and begins to run even if </w:t>
      </w:r>
      <w:r w:rsidR="002F6675">
        <w:t xml:space="preserve">the Client </w:t>
      </w:r>
      <w:r>
        <w:t>ha</w:t>
      </w:r>
      <w:r w:rsidR="002F6675">
        <w:t>s</w:t>
      </w:r>
      <w:r>
        <w:t xml:space="preserve"> not suffered any damage or loss or ha</w:t>
      </w:r>
      <w:r w:rsidR="00095922">
        <w:t>s</w:t>
      </w:r>
      <w:r>
        <w:t xml:space="preserve"> not become aware of the existence or possible existence of a dispute.</w:t>
      </w:r>
    </w:p>
    <w:p w14:paraId="140B91CF" w14:textId="77777777" w:rsidR="007C1374" w:rsidRDefault="007C1374" w:rsidP="004232B8">
      <w:pPr>
        <w:pStyle w:val="CLALTRHeading1"/>
        <w:jc w:val="both"/>
      </w:pPr>
      <w:r>
        <w:t>Other provisions</w:t>
      </w:r>
    </w:p>
    <w:p w14:paraId="1AE56CDF" w14:textId="3108C66B" w:rsidR="007C1374" w:rsidRDefault="007C1374" w:rsidP="004232B8">
      <w:pPr>
        <w:pStyle w:val="CLALTRNormal"/>
        <w:jc w:val="both"/>
      </w:pPr>
      <w:r w:rsidRPr="007466C6">
        <w:t>Except as permitted by the “Consent” section of this agreement,</w:t>
      </w:r>
      <w:r w:rsidRPr="00DD3393">
        <w:t xml:space="preserve"> </w:t>
      </w:r>
      <w:r w:rsidR="003A2EF5">
        <w:t>ONYX</w:t>
      </w:r>
      <w:r>
        <w:t xml:space="preserve"> will not disclose any confidential, proprietary, or privileged information of the entity to any persons without the </w:t>
      </w:r>
      <w:r w:rsidR="009E14AB">
        <w:t xml:space="preserve">Client’s </w:t>
      </w:r>
      <w:r>
        <w:t>authorization or unless required by law.</w:t>
      </w:r>
      <w:r w:rsidRPr="005067D8">
        <w:t xml:space="preserve"> </w:t>
      </w:r>
      <w:r>
        <w:t xml:space="preserve">This confidentiality provision does not prohibit </w:t>
      </w:r>
      <w:r w:rsidR="009E14AB">
        <w:t xml:space="preserve">ONYX </w:t>
      </w:r>
      <w:r>
        <w:t xml:space="preserve">from disclosing </w:t>
      </w:r>
      <w:r w:rsidR="009E14AB">
        <w:t xml:space="preserve">the Client’s </w:t>
      </w:r>
      <w:r>
        <w:t xml:space="preserve">information to one or more of our affiliated companies </w:t>
      </w:r>
      <w:proofErr w:type="gramStart"/>
      <w:r>
        <w:t>in order to</w:t>
      </w:r>
      <w:proofErr w:type="gramEnd"/>
      <w:r>
        <w:t xml:space="preserve"> provide services that </w:t>
      </w:r>
      <w:r w:rsidR="009E14AB">
        <w:t xml:space="preserve">the Client </w:t>
      </w:r>
      <w:r>
        <w:t>ha</w:t>
      </w:r>
      <w:r w:rsidR="009E14AB">
        <w:t>s</w:t>
      </w:r>
      <w:r>
        <w:t xml:space="preserve"> requested from </w:t>
      </w:r>
      <w:r w:rsidR="009E14AB">
        <w:t xml:space="preserve">ONYX </w:t>
      </w:r>
      <w:r>
        <w:t xml:space="preserve">or from any such affiliated company. Any such affiliated company shall be subject to the same restrictions on the use and disclosure of </w:t>
      </w:r>
      <w:r w:rsidR="009E14AB">
        <w:t xml:space="preserve">the Client’s </w:t>
      </w:r>
      <w:r>
        <w:t xml:space="preserve">information as apply to </w:t>
      </w:r>
      <w:r w:rsidR="009E14AB">
        <w:t>ONYX</w:t>
      </w:r>
      <w:r>
        <w:t>.</w:t>
      </w:r>
    </w:p>
    <w:p w14:paraId="3A4C7385" w14:textId="792FD0BD" w:rsidR="007C1374" w:rsidRDefault="009E14AB" w:rsidP="004232B8">
      <w:pPr>
        <w:pStyle w:val="CLALTRNormal"/>
        <w:jc w:val="both"/>
      </w:pPr>
      <w:r>
        <w:t xml:space="preserve">ONYX </w:t>
      </w:r>
      <w:r w:rsidR="007C1374">
        <w:t xml:space="preserve">will be responsible for </w:t>
      </w:r>
      <w:r>
        <w:t xml:space="preserve">its </w:t>
      </w:r>
      <w:r w:rsidR="007C1374">
        <w:t xml:space="preserve">property and casualty, general liability, and workers compensation insurance, taxes, professional training, and other personnel costs related to the operation of </w:t>
      </w:r>
      <w:r>
        <w:t xml:space="preserve">its </w:t>
      </w:r>
      <w:r w:rsidR="007C1374">
        <w:t xml:space="preserve">business. </w:t>
      </w:r>
    </w:p>
    <w:p w14:paraId="21F88F3C" w14:textId="62E9577F" w:rsidR="007C1374" w:rsidRDefault="007C1374" w:rsidP="004232B8">
      <w:pPr>
        <w:pStyle w:val="CLALTRNormal"/>
        <w:jc w:val="both"/>
      </w:pPr>
      <w:r>
        <w:t xml:space="preserve">When performing the services above, </w:t>
      </w:r>
      <w:r w:rsidR="009E14AB">
        <w:t xml:space="preserve">ONYX </w:t>
      </w:r>
      <w:r>
        <w:t xml:space="preserve">will utilize the resources available </w:t>
      </w:r>
      <w:r w:rsidR="009E14AB">
        <w:t xml:space="preserve">from </w:t>
      </w:r>
      <w:r>
        <w:t xml:space="preserve">the </w:t>
      </w:r>
      <w:r w:rsidR="009E14AB">
        <w:t xml:space="preserve">Client </w:t>
      </w:r>
      <w:r>
        <w:t xml:space="preserve">to the extent practical to continue development of </w:t>
      </w:r>
      <w:r w:rsidR="009E14AB">
        <w:t xml:space="preserve">the Client’s </w:t>
      </w:r>
      <w:r>
        <w:t xml:space="preserve">personnel. During a portion of </w:t>
      </w:r>
      <w:r w:rsidR="009E14AB">
        <w:t xml:space="preserve">ONYX’s </w:t>
      </w:r>
      <w:r>
        <w:t xml:space="preserve">work, </w:t>
      </w:r>
      <w:r w:rsidR="009E14AB">
        <w:t xml:space="preserve">ONYX </w:t>
      </w:r>
      <w:r>
        <w:t xml:space="preserve">may require the use of </w:t>
      </w:r>
      <w:r w:rsidR="009E14AB">
        <w:t xml:space="preserve">the Client’s </w:t>
      </w:r>
      <w:r>
        <w:t xml:space="preserve">computers. </w:t>
      </w:r>
      <w:r w:rsidR="009E14AB">
        <w:t xml:space="preserve">ONYX </w:t>
      </w:r>
      <w:r>
        <w:t>will try</w:t>
      </w:r>
      <w:r w:rsidR="00330014">
        <w:t>, but does not guarantee,</w:t>
      </w:r>
      <w:r>
        <w:t xml:space="preserve"> to give </w:t>
      </w:r>
      <w:r w:rsidR="009E14AB">
        <w:t xml:space="preserve">the Client </w:t>
      </w:r>
      <w:r>
        <w:t xml:space="preserve">advance notice and coordinate </w:t>
      </w:r>
      <w:r w:rsidR="00330014">
        <w:t xml:space="preserve">its </w:t>
      </w:r>
      <w:r>
        <w:t xml:space="preserve">use so it does not interfere with </w:t>
      </w:r>
      <w:r w:rsidR="00330014">
        <w:t xml:space="preserve">the Client’s </w:t>
      </w:r>
      <w:r>
        <w:t>employees.</w:t>
      </w:r>
    </w:p>
    <w:p w14:paraId="579BA313" w14:textId="2CCE9148" w:rsidR="007C1374" w:rsidRDefault="007C1374" w:rsidP="004232B8">
      <w:pPr>
        <w:pStyle w:val="CLALTRNormal"/>
        <w:jc w:val="both"/>
      </w:pPr>
      <w:r>
        <w:lastRenderedPageBreak/>
        <w:t xml:space="preserve">The relationship of </w:t>
      </w:r>
      <w:r w:rsidR="003A2EF5">
        <w:t>ONYX</w:t>
      </w:r>
      <w:r>
        <w:t xml:space="preserve"> </w:t>
      </w:r>
      <w:r w:rsidR="00330014">
        <w:t>with the Client</w:t>
      </w:r>
      <w:r>
        <w:t xml:space="preserve"> shall be solely that of an independent contractor</w:t>
      </w:r>
      <w:r w:rsidR="00330014">
        <w:t>,</w:t>
      </w:r>
      <w:r>
        <w:t xml:space="preserve"> and nothing in this agreement shall be construed to create or imply any relationship of employment, agency, partnership, or any relationship other than</w:t>
      </w:r>
      <w:r w:rsidR="00330014">
        <w:t xml:space="preserve"> that of</w:t>
      </w:r>
      <w:r>
        <w:t xml:space="preserve"> an independent contractor.</w:t>
      </w:r>
    </w:p>
    <w:p>
      <w:pPr>
        <w:pStyle w:val="CLALTRNormal"/>
        <w:jc w:val="both"/>
      </w:pPr>
      <w:r>
        <w:t xml:space="preserve">Accounting standards and procedures will be suggested that are consistent with those normally utilized in an entity of the Client’s size and nature. ONYX will require the Client to approve any changes in the application of accounting standards and procedures for the Client. Internal controls may be recommended relating to the safeguarding of the Client’s assets. If fraud is initiated by the Client’s employees or other service providers, any resulting losses shall be the Client’s responsibility, and the Client shall look first to its own insurance coverage.</w:t>
      </w:r>
    </w:p>
    <w:p w14:paraId="1D7B1DBA" w14:textId="27C1140B" w:rsidR="007C1374" w:rsidRDefault="007C1374" w:rsidP="004232B8">
      <w:pPr>
        <w:pStyle w:val="CLALTRNormal"/>
        <w:jc w:val="both"/>
      </w:pPr>
      <w:r>
        <w:t xml:space="preserve">The </w:t>
      </w:r>
      <w:r w:rsidR="009919E2">
        <w:t xml:space="preserve">Client </w:t>
      </w:r>
      <w:r>
        <w:t xml:space="preserve">agrees that </w:t>
      </w:r>
      <w:r w:rsidR="003A2EF5">
        <w:t>ONYX</w:t>
      </w:r>
      <w:r>
        <w:t xml:space="preserve"> will not be assuming any fiduciary responsibility on </w:t>
      </w:r>
      <w:r w:rsidR="009919E2">
        <w:t xml:space="preserve">the Client’s </w:t>
      </w:r>
      <w:r>
        <w:t xml:space="preserve">behalf </w:t>
      </w:r>
      <w:proofErr w:type="gramStart"/>
      <w:r>
        <w:t>during the course of</w:t>
      </w:r>
      <w:proofErr w:type="gramEnd"/>
      <w:r>
        <w:t xml:space="preserve"> this engagement.</w:t>
      </w:r>
    </w:p>
    <w:p w14:paraId="76E66D93" w14:textId="5B47C7C1" w:rsidR="0086240B" w:rsidRDefault="00977852" w:rsidP="004232B8">
      <w:pPr>
        <w:pStyle w:val="CLALTRNormal"/>
        <w:jc w:val="both"/>
      </w:pPr>
      <w:r>
        <w:t xml:space="preserve">The Client agrees that ONYX may communicate with the Client and its representatives (if the Client is a business entity) via electronic mail (“E-mail”) and text. The Client understands that ONYX will not encrypt or otherwise protect from interception and/or review by others E-mail </w:t>
      </w:r>
      <w:r w:rsidR="00555D21">
        <w:t>and text communications to and from the Client and ONYX unless the Client makes special arrangements with ONYX to do so. The Client consents to such communications.</w:t>
      </w:r>
    </w:p>
    <w:p w14:paraId="009E959E" w14:textId="4F6D3CC2" w:rsidR="004B1FDD" w:rsidRDefault="004B1FDD" w:rsidP="004232B8">
      <w:pPr>
        <w:pStyle w:val="CLALTRNormal"/>
        <w:jc w:val="both"/>
      </w:pPr>
      <w:r>
        <w:t>Each natural person who signs this letter in his or her individual capacity as a natural person or as a guarantor agrees to be jointly and severally liable with each other person signing this letter for the payment of ONYX’s fees and costs and personally guarantees the same. This provision does NOT apply to any natural person that signs this letter on behalf of any business entity other than a general partnership, unless the manner of signing shows that natural person’s intent to be bound individually or as a guarantor.</w:t>
      </w:r>
    </w:p>
    <w:p w14:paraId="51951EDB" w14:textId="7FA774A6" w:rsidR="000E00CC" w:rsidRDefault="000E00CC" w:rsidP="004232B8">
      <w:pPr>
        <w:pStyle w:val="CLALTRNormal"/>
        <w:jc w:val="both"/>
      </w:pPr>
      <w:r>
        <w:t xml:space="preserve">Each person that signs this letter on behalf of any Client that is a business entity, by doing so, personally represents and warrants </w:t>
      </w:r>
      <w:r w:rsidR="004D1C99">
        <w:t>to ONYX that he, she, or it has all requisite power and authority to engage ONYX and bind the business entity Client to the terms of this letter and that the Client on whose behalf the letter is signed has/have duly taken all necessary and proper corporate or other actions to engage ONYX pursuant to the terms of this letter.</w:t>
      </w:r>
    </w:p>
    <w:p>
      <w:pPr>
        <w:pStyle w:val="CLALTRNormal"/>
        <w:jc w:val="both"/>
      </w:pPr>
      <w:r>
        <w:rPr>
          <w:b/>
        </w:rPr>
        <w:t xml:space="preserve">Record retention.  </w:t>
      </w:r>
      <w:r>
        <w:t xml:space="preserve">ONYX will retain its working papers, supporting schedules, and other documentation prepared in connection with this engagement for a period of seven (7) years from the completion of the applicable services, after which ONYX may destroy or otherwise dispose of such records without further notice to the Client. Working papers and other documents prepared by ONYX in the course of the engagement remain the property of ONYX. Original records, source documents, and other materials furnished by the Client remain the property of the Client and will be returned upon written request. The Client is responsible for maintaining its own copies of its records and for meeting its own record-retention obligations. ONYX has no obligation to retain any records or data beyond the seven (7) year period and may maintain such records in electronic form.</w:t>
      </w:r>
    </w:p>
    <w:p w14:paraId="17301FF2" w14:textId="77777777" w:rsidR="007C1374" w:rsidRDefault="007C1374" w:rsidP="004232B8">
      <w:pPr>
        <w:pStyle w:val="CLALTRHeading1"/>
        <w:jc w:val="both"/>
      </w:pPr>
      <w:r>
        <w:t>Employment provision</w:t>
      </w:r>
    </w:p>
    <w:p w14:paraId="2C46434F" w14:textId="15D528C3" w:rsidR="007C1374" w:rsidRDefault="007C1374" w:rsidP="004232B8">
      <w:pPr>
        <w:pStyle w:val="CLALTRNormal"/>
        <w:jc w:val="both"/>
      </w:pPr>
      <w:proofErr w:type="gramStart"/>
      <w:r>
        <w:t>In the event that</w:t>
      </w:r>
      <w:proofErr w:type="gramEnd"/>
      <w:r>
        <w:t xml:space="preserve"> a</w:t>
      </w:r>
      <w:r w:rsidR="009919E2">
        <w:t>n</w:t>
      </w:r>
      <w:r>
        <w:t xml:space="preserve"> </w:t>
      </w:r>
      <w:r w:rsidR="003A2EF5">
        <w:t>ONYX</w:t>
      </w:r>
      <w:r>
        <w:t xml:space="preserve"> employee is solicited to work in a position as an employee of the </w:t>
      </w:r>
      <w:r w:rsidR="009919E2">
        <w:t>Client</w:t>
      </w:r>
      <w:r>
        <w:t xml:space="preserve">, and </w:t>
      </w:r>
      <w:proofErr w:type="gramStart"/>
      <w:r>
        <w:t>in the event that</w:t>
      </w:r>
      <w:proofErr w:type="gramEnd"/>
      <w:r>
        <w:t xml:space="preserve"> the </w:t>
      </w:r>
      <w:r w:rsidR="003A2EF5">
        <w:t>ONYX</w:t>
      </w:r>
      <w:r>
        <w:t xml:space="preserve"> employee accepts the position of employment with the entity, the following conditions will apply:</w:t>
      </w:r>
    </w:p>
    <w:p w14:paraId="1E90F09D" w14:textId="63FB1AA2" w:rsidR="007C1374" w:rsidRDefault="003A2EF5" w:rsidP="004232B8">
      <w:pPr>
        <w:pStyle w:val="CLALTRNormal"/>
        <w:numPr>
          <w:ilvl w:val="0"/>
          <w:numId w:val="16"/>
        </w:numPr>
        <w:jc w:val="both"/>
      </w:pPr>
      <w:r>
        <w:t>ONYX</w:t>
      </w:r>
      <w:r w:rsidR="007C1374">
        <w:t xml:space="preserve"> will require a four-week notice period </w:t>
      </w:r>
      <w:proofErr w:type="gramStart"/>
      <w:r w:rsidR="007C1374">
        <w:t>subsequent to</w:t>
      </w:r>
      <w:proofErr w:type="gramEnd"/>
      <w:r w:rsidR="007C1374">
        <w:t xml:space="preserve"> the employee’s written notice to </w:t>
      </w:r>
      <w:r>
        <w:t>ONYX</w:t>
      </w:r>
      <w:r w:rsidR="007C1374">
        <w:t>, and</w:t>
      </w:r>
    </w:p>
    <w:p w14:paraId="396B7261" w14:textId="2D896F4C" w:rsidR="007C1374" w:rsidRDefault="007C1374" w:rsidP="004232B8">
      <w:pPr>
        <w:pStyle w:val="CLALTRNormal"/>
        <w:numPr>
          <w:ilvl w:val="0"/>
          <w:numId w:val="16"/>
        </w:numPr>
        <w:jc w:val="both"/>
      </w:pPr>
      <w:r>
        <w:t xml:space="preserve">The </w:t>
      </w:r>
      <w:r w:rsidR="009919E2">
        <w:t xml:space="preserve">Client </w:t>
      </w:r>
      <w:r>
        <w:t xml:space="preserve">will be required to pay an employment fee of </w:t>
      </w:r>
      <w:r w:rsidRPr="00271CD6">
        <w:rPr/>
        <w:t>$200,000 for the CFO, $150,000 for the controller, and $100,000 for the staff</w:t>
      </w:r>
      <w:r>
        <w:t xml:space="preserve"> to </w:t>
      </w:r>
      <w:r w:rsidR="003A2EF5">
        <w:t>ONYX</w:t>
      </w:r>
      <w:r>
        <w:t xml:space="preserve"> immediately upon receipt of this notice.</w:t>
      </w:r>
    </w:p>
    <w:p w14:paraId="6A0FC7AE" w14:textId="0C7F81C4" w:rsidR="007C1374" w:rsidRDefault="007C1374" w:rsidP="004232B8">
      <w:pPr>
        <w:pStyle w:val="CLALTRNormal"/>
        <w:jc w:val="both"/>
      </w:pPr>
      <w:r>
        <w:t xml:space="preserve">If any former </w:t>
      </w:r>
      <w:r w:rsidR="003A2EF5">
        <w:t>ONYX</w:t>
      </w:r>
      <w:r>
        <w:t xml:space="preserve"> employee shall be hired as an employee</w:t>
      </w:r>
      <w:r w:rsidR="00A93B5D">
        <w:t xml:space="preserve"> of the </w:t>
      </w:r>
      <w:proofErr w:type="spellStart"/>
      <w:r w:rsidR="00A93B5D">
        <w:t>Client</w:t>
      </w:r>
      <w:proofErr w:type="spellEnd"/>
      <w:r>
        <w:t xml:space="preserve"> within</w:t>
      </w:r>
      <w:r w:rsidR="00065F5C">
        <w:t xml:space="preserve"> ninety</w:t>
      </w:r>
      <w:r>
        <w:t xml:space="preserve"> </w:t>
      </w:r>
      <w:r w:rsidR="00065F5C">
        <w:t>(</w:t>
      </w:r>
      <w:r>
        <w:t>90</w:t>
      </w:r>
      <w:r w:rsidR="00065F5C">
        <w:t>)</w:t>
      </w:r>
      <w:r>
        <w:t xml:space="preserve"> days of leaving </w:t>
      </w:r>
      <w:r w:rsidR="003A2EF5">
        <w:t>ONYX</w:t>
      </w:r>
      <w:r>
        <w:t xml:space="preserve">, there shall be a rebuttable presumption that the </w:t>
      </w:r>
      <w:r w:rsidR="003A2EF5">
        <w:t>ONYX</w:t>
      </w:r>
      <w:r>
        <w:t xml:space="preserve"> employee was solicited to work as an employee of the </w:t>
      </w:r>
      <w:r w:rsidR="00827BEB">
        <w:t xml:space="preserve">Client, </w:t>
      </w:r>
      <w:r>
        <w:t xml:space="preserve">and the above fee shall be payable to </w:t>
      </w:r>
      <w:r w:rsidR="003A2EF5">
        <w:t>ONYX</w:t>
      </w:r>
      <w:r w:rsidR="005D4884">
        <w:t xml:space="preserve"> from the Client</w:t>
      </w:r>
      <w:r>
        <w:t>.</w:t>
      </w:r>
    </w:p>
    <w:p w14:paraId="7A6C533F" w14:textId="77777777" w:rsidR="007C1374" w:rsidRPr="007466C6" w:rsidRDefault="007C1374" w:rsidP="004232B8">
      <w:pPr>
        <w:pStyle w:val="CLALTRHeading1"/>
        <w:jc w:val="both"/>
      </w:pPr>
      <w:r w:rsidRPr="007466C6">
        <w:lastRenderedPageBreak/>
        <w:t>Consent</w:t>
      </w:r>
    </w:p>
    <w:p w14:paraId="28C28D73" w14:textId="77777777" w:rsidR="007C1374" w:rsidRPr="007C62AB" w:rsidRDefault="007C1374" w:rsidP="004232B8">
      <w:pPr>
        <w:pStyle w:val="CLALTRHeading2"/>
        <w:jc w:val="both"/>
        <w:rPr/>
      </w:pPr>
      <w:r w:rsidRPr="007C62AB">
        <w:rPr/>
        <w:t>Subcontractors</w:t>
      </w:r>
      <w:r w:rsidRPr="005067D8">
        <w:rPr>
          <w:rStyle w:val="CLALTRHiddenTextChar"/>
        </w:rPr>
        <w:t xml:space="preserve">    </w:t>
      </w:r>
    </w:p>
    <w:p w14:paraId="42041554" w14:textId="6A85CB98" w:rsidR="007C1374" w:rsidRDefault="003A2EF5" w:rsidP="004232B8">
      <w:pPr>
        <w:pStyle w:val="CLALTRNormal"/>
        <w:jc w:val="both"/>
      </w:pPr>
      <w:r>
        <w:rPr/>
        <w:t>ONYX</w:t>
      </w:r>
      <w:r w:rsidR="007C1374" w:rsidRPr="007C62AB">
        <w:rPr/>
        <w:t xml:space="preserve"> may, at times, use subcontractors to perform services under this agreement, and </w:t>
      </w:r>
      <w:r w:rsidR="00174820">
        <w:rPr/>
        <w:t>said subcontractors</w:t>
      </w:r>
      <w:r w:rsidR="00174820" w:rsidRPr="007C62AB">
        <w:rPr/>
        <w:t xml:space="preserve"> </w:t>
      </w:r>
      <w:r w:rsidR="007C1374" w:rsidRPr="007C62AB">
        <w:rPr/>
        <w:t xml:space="preserve">may have access to </w:t>
      </w:r>
      <w:r w:rsidR="00174820">
        <w:rPr/>
        <w:t>the Client’s</w:t>
      </w:r>
      <w:r w:rsidR="00174820" w:rsidRPr="007C62AB">
        <w:rPr/>
        <w:t xml:space="preserve"> </w:t>
      </w:r>
      <w:r w:rsidR="007C1374" w:rsidRPr="007C62AB">
        <w:rPr/>
        <w:t xml:space="preserve">information and records. Any such subcontractors will be subject to the same restrictions on the use of such information and records as apply to </w:t>
      </w:r>
      <w:r>
        <w:rPr/>
        <w:t>ONYX</w:t>
      </w:r>
      <w:r w:rsidR="007C1374" w:rsidRPr="007C62AB">
        <w:rPr/>
        <w:t xml:space="preserve"> under this agreement.</w:t>
      </w:r>
    </w:p>
    <w:p w14:paraId="31B31926" w14:textId="77777777" w:rsidR="007C1374" w:rsidRDefault="007C1374" w:rsidP="004232B8">
      <w:pPr>
        <w:pStyle w:val="CLALTRHeading2"/>
        <w:jc w:val="both"/>
      </w:pPr>
      <w:r>
        <w:t>Technology</w:t>
      </w:r>
    </w:p>
    <w:p>
      <w:pPr>
        <w:pStyle w:val="CLALTRNormal"/>
        <w:jc w:val="both"/>
      </w:pPr>
      <w:r>
        <w:t xml:space="preserve">ONYX may use third-party software, cloud-based platforms, and advanced technologies, including automated data processing and artificial intelligence tools, to assist in delivering services under this agreement. The Client acknowledges and authorizes ONYX to share and process the Client’s data with such providers as necessary to perform the services. These providers may have access to the Client’s data solely for the purpose of supporting ONYX’s service delivery. ONYX uses commercially reasonable efforts to select and maintain service providers with appropriate data security and confidentiality standards.</w:t>
      </w:r>
    </w:p>
    <w:p>
      <w:pPr>
        <w:pStyle w:val="CLALTRNormal"/>
        <w:jc w:val="both"/>
      </w:pPr>
      <w:r>
        <w:t xml:space="preserve">The Client authorizes ONYX to sign on the Client’s behalf any vendor agreements applicable to such software applications, and ONYX shall provide a copy of the application agreement at the Client’s request.</w:t>
      </w:r>
    </w:p>
    <w:p>
      <w:pPr>
        <w:pStyle w:val="CLALTRNormal"/>
        <w:jc w:val="both"/>
      </w:pPr>
      <w:r>
        <w:t xml:space="preserve">Client acknowledges that ONYX may access Client’s accounting systems, banking platforms, payroll systems, software applications, cloud-based services, and other technology systems as reasonably necessary to perform the services described in this agreement. Client shall remain solely responsible for maintaining the security of its systems, credentials, access permissions, authentication controls, network infrastructure, and data.</w:t>
      </w:r>
    </w:p>
    <w:p>
      <w:pPr>
        <w:pStyle w:val="CLALTRNormal"/>
        <w:jc w:val="both"/>
      </w:pPr>
      <w:r>
        <w:t xml:space="preserve">Client acknowledges that cyber incidents, phishing attacks, social engineering events, credential compromise, malware, ransomware, unauthorized access, and failures of third-party technology providers may occur despite reasonable safeguards. Except to the extent resulting from ONYX’s gross negligence or willful misconduct, ONYX shall not be responsible for any loss, theft, alteration, corruption, disclosure, or unauthorized access to Client data, funds, systems, or information arising from such events.</w:t>
      </w:r>
    </w:p>
    <w:p>
      <w:pPr>
        <w:pStyle w:val="CLALTRNormal"/>
        <w:jc w:val="both"/>
      </w:pPr>
      <w:r>
        <w:t xml:space="preserve">Client further acknowledges that ONYX may rely upon electronic communications, system credentials, approvals, instructions, and authorizations reasonably believed by ONYX to have originated from authorized Client representatives, and ONYX shall have no liability for actions taken in reasonable reliance upon such communications or instructions.</w:t>
      </w:r>
    </w:p>
    <w:p w14:paraId="054F9563" w14:textId="65890C87" w:rsidR="007C1374" w:rsidRDefault="007C1374" w:rsidP="004232B8">
      <w:pPr>
        <w:pStyle w:val="CLALTRHeading1"/>
        <w:jc w:val="both"/>
      </w:pPr>
      <w:r>
        <w:t>Agreement</w:t>
      </w:r>
    </w:p>
    <w:p w14:paraId="5922A1AC" w14:textId="25F57959" w:rsidR="007C1374" w:rsidRDefault="007C1374" w:rsidP="004232B8">
      <w:pPr>
        <w:pStyle w:val="CLALTRNormal"/>
        <w:jc w:val="both"/>
      </w:pPr>
      <w:r>
        <w:t xml:space="preserve">We appreciate the opportunity to be of service to </w:t>
      </w:r>
      <w:r w:rsidR="00185868">
        <w:t xml:space="preserve">the Client </w:t>
      </w:r>
      <w:r>
        <w:t xml:space="preserve">and believe this letter accurately summarizes the significant terms of </w:t>
      </w:r>
      <w:r w:rsidR="00185868">
        <w:t xml:space="preserve">ONYX’s </w:t>
      </w:r>
      <w:r>
        <w:t xml:space="preserve">engagement. This letter constitutes the entire agreement regarding these services and supersedes all prior agreements (whether oral or written), understandings, negotiations, and discussions between </w:t>
      </w:r>
      <w:r w:rsidR="00185868">
        <w:t xml:space="preserve">the Client </w:t>
      </w:r>
      <w:r>
        <w:t xml:space="preserve">and </w:t>
      </w:r>
      <w:r w:rsidR="003A2EF5">
        <w:t>ONYX</w:t>
      </w:r>
      <w:r>
        <w:t xml:space="preserve">. If you have any questions, please let us know. If you agree with the terms of </w:t>
      </w:r>
      <w:r w:rsidR="00185868">
        <w:t xml:space="preserve">ONYX’s </w:t>
      </w:r>
      <w:r>
        <w:t xml:space="preserve">engagement as described in this letter, please sign, date, and return </w:t>
      </w:r>
      <w:r w:rsidR="001216A9">
        <w:t xml:space="preserve">a </w:t>
      </w:r>
      <w:r>
        <w:t>signed copy</w:t>
      </w:r>
      <w:r w:rsidR="00F662F4">
        <w:t xml:space="preserve"> of this letter</w:t>
      </w:r>
      <w:r>
        <w:t xml:space="preserve"> to </w:t>
      </w:r>
      <w:r w:rsidR="00661DB5">
        <w:t>our office</w:t>
      </w:r>
      <w:r>
        <w:t>.</w:t>
      </w:r>
    </w:p>
    <w:p w14:paraId="20A131DB" w14:textId="77777777" w:rsidR="007C1374" w:rsidRDefault="007C1374" w:rsidP="007C1374">
      <w:pPr>
        <w:pStyle w:val="CLALTRNormal"/>
      </w:pPr>
      <w:r>
        <w:t>Sincerely,</w:t>
      </w:r>
    </w:p>
    <w:p w14:paraId="63026763" w14:textId="77777777" w:rsidR="007C1374" w:rsidRDefault="004C42A1" w:rsidP="007C1374">
      <w:pPr>
        <w:pStyle w:val="CLALTRSignLine"/>
      </w:pPr>
      <w:r>
        <w:t>Onyx Accounting Group</w:t>
      </w:r>
    </w:p>
    <w:p w14:paraId="6E453015" w14:textId="77777777" w:rsidR="007C1374" w:rsidRDefault="007C1374" w:rsidP="007C1374">
      <w:pPr>
        <w:pStyle w:val="CLALTRAddressorSignature"/>
      </w:pPr>
    </w:p>
    <w:p w14:paraId="6F527DC7" w14:textId="77777777" w:rsidR="007C1374" w:rsidRDefault="007C1374" w:rsidP="007C1374">
      <w:pPr>
        <w:pStyle w:val="CLALTRAddressorSignature"/>
      </w:pPr>
    </w:p>
    <w:p w14:paraId="4AB027B7" w14:textId="77777777" w:rsidR="007C1374" w:rsidRDefault="007C1374" w:rsidP="007C1374">
      <w:pPr>
        <w:pStyle w:val="CLALTRAddressorSignature"/>
      </w:pPr>
    </w:p>
    <w:p w14:paraId="62F06B06" w14:textId="77777777" w:rsidR="007C1374" w:rsidRDefault="004C42A1" w:rsidP="007C1374">
      <w:pPr>
        <w:pStyle w:val="CLALTRAddressorSignature"/>
      </w:pPr>
      <w:r>
        <w:t>Steven Nikolov</w:t>
      </w:r>
    </w:p>
    <w:p w14:paraId="3C46B353" w14:textId="77777777" w:rsidR="007C1374" w:rsidRDefault="004C42A1" w:rsidP="007C1374">
      <w:pPr>
        <w:pStyle w:val="CLALTRAddressorSignature"/>
      </w:pPr>
      <w:r>
        <w:t>Principal</w:t>
      </w:r>
    </w:p>
    <w:p w14:paraId="7F5A5170" w14:textId="77777777" w:rsidR="007C1374" w:rsidRDefault="004C42A1" w:rsidP="007C1374">
      <w:pPr>
        <w:pStyle w:val="CLALTRAddressorSignature"/>
      </w:pPr>
      <w:r>
        <w:t>480-999-5509</w:t>
      </w:r>
    </w:p>
    <w:p w14:paraId="46F3312B" w14:textId="77777777" w:rsidR="007C1374" w:rsidRPr="004C42A1" w:rsidRDefault="004C42A1" w:rsidP="007C1374">
      <w:pPr>
        <w:pStyle w:val="CLALTRAddressorSignature"/>
      </w:pPr>
      <w:hyperlink r:id="rId12" w:history="1">
        <w:r w:rsidRPr="004C42A1">
          <w:rPr>
            <w:rStyle w:val="Hyperlink"/>
            <w:color w:val="auto"/>
          </w:rPr>
          <w:t>Steven@onyxCFO.com</w:t>
        </w:r>
      </w:hyperlink>
    </w:p>
    <w:p w14:paraId="7AB225A5" w14:textId="77777777" w:rsidR="007C1374" w:rsidRPr="00EE6E5B" w:rsidRDefault="007C1374" w:rsidP="007C1374">
      <w:pPr>
        <w:pStyle w:val="CLALTRAddressorSignature"/>
      </w:pPr>
    </w:p>
    <w:p w14:paraId="6F413F19" w14:textId="77777777" w:rsidR="00E45A6A" w:rsidRDefault="00E45A6A" w:rsidP="007C1374">
      <w:pPr>
        <w:pStyle w:val="CLALTRHeading1"/>
      </w:pPr>
    </w:p>
    <w:p w14:paraId="0D154C96" w14:textId="77777777" w:rsidR="00E45A6A" w:rsidRDefault="00E45A6A" w:rsidP="007C1374">
      <w:pPr>
        <w:pStyle w:val="CLALTRHeading1"/>
      </w:pPr>
    </w:p>
    <w:p w14:paraId="3B2B3C63" w14:textId="77777777" w:rsidR="00E45A6A" w:rsidRDefault="00E45A6A" w:rsidP="007C1374">
      <w:pPr>
        <w:pStyle w:val="CLALTRHeading1"/>
      </w:pPr>
    </w:p>
    <w:p w14:paraId="255E4654" w14:textId="77777777" w:rsidR="00E45A6A" w:rsidRDefault="00E45A6A" w:rsidP="007C1374">
      <w:pPr>
        <w:pStyle w:val="CLALTRHeading1"/>
      </w:pPr>
    </w:p>
    <w:p w14:paraId="680BA1B2" w14:textId="77777777" w:rsidR="00E45A6A" w:rsidRDefault="00E45A6A" w:rsidP="007C1374">
      <w:pPr>
        <w:pStyle w:val="CLALTRHeading1"/>
      </w:pPr>
    </w:p>
    <w:p w14:paraId="59101374" w14:textId="77777777" w:rsidR="00E45A6A" w:rsidRDefault="00E45A6A" w:rsidP="007C1374">
      <w:pPr>
        <w:pStyle w:val="CLALTRHeading1"/>
      </w:pPr>
    </w:p>
    <w:p w14:paraId="5A59A2FA" w14:textId="77777777" w:rsidR="00E45A6A" w:rsidRDefault="00E45A6A" w:rsidP="007C1374">
      <w:pPr>
        <w:pStyle w:val="CLALTRHeading1"/>
      </w:pPr>
    </w:p>
    <w:p w14:paraId="108CC59B" w14:textId="77777777" w:rsidR="00E45A6A" w:rsidRDefault="00E45A6A" w:rsidP="007C1374">
      <w:pPr>
        <w:pStyle w:val="CLALTRHeading1"/>
      </w:pPr>
    </w:p>
    <w:p w14:paraId="00C9F634" w14:textId="77777777" w:rsidR="00E45A6A" w:rsidRDefault="00E45A6A" w:rsidP="007C1374">
      <w:pPr>
        <w:pStyle w:val="CLALTRHeading1"/>
      </w:pPr>
    </w:p>
    <w:p w14:paraId="1D2A25A5" w14:textId="77777777" w:rsidR="00E45A6A" w:rsidRDefault="00E45A6A" w:rsidP="007C1374">
      <w:pPr>
        <w:pStyle w:val="CLALTRHeading1"/>
      </w:pPr>
    </w:p>
    <w:p w14:paraId="15051C1D" w14:textId="77777777" w:rsidR="00E45A6A" w:rsidRDefault="00E45A6A" w:rsidP="007C1374">
      <w:pPr>
        <w:pStyle w:val="CLALTRHeading1"/>
      </w:pPr>
    </w:p>
    <w:p w14:paraId="1F5B21C8" w14:textId="331DB067" w:rsidR="007C1374" w:rsidRDefault="007C1374" w:rsidP="007C1374">
      <w:pPr>
        <w:pStyle w:val="CLALTRHeading1"/>
      </w:pPr>
      <w:r>
        <w:lastRenderedPageBreak/>
        <w:t>Response:</w:t>
      </w:r>
    </w:p>
    <w:p w14:paraId="062BAC6F" w14:textId="77777777" w:rsidR="007C1374" w:rsidRDefault="007C1374" w:rsidP="007C1374">
      <w:pPr>
        <w:pStyle w:val="CLALTRNormal"/>
      </w:pPr>
      <w:r>
        <w:t>This letter correctly sets forth the understanding of Arizona Center for Hand Surgery, P.C.</w:t>
      </w:r>
    </w:p>
    <w:p w14:paraId="5DBD335C" w14:textId="77777777" w:rsidR="007C1374" w:rsidRDefault="007C1374" w:rsidP="007C1374">
      <w:pPr>
        <w:pStyle w:val="CLALTRNormal"/>
      </w:pPr>
    </w:p>
    <w:p w14:paraId="3E6843D0" w14:textId="553D1369" w:rsidR="007C1374" w:rsidRDefault="007C1374" w:rsidP="007C1374">
      <w:pPr>
        <w:pStyle w:val="CLALTRNormal"/>
      </w:pPr>
      <w:r>
        <w:t xml:space="preserve">Authorized </w:t>
      </w:r>
      <w:r w:rsidR="00E44855">
        <w:t xml:space="preserve">Client </w:t>
      </w:r>
      <w:r>
        <w:t xml:space="preserve">signature: </w:t>
      </w:r>
      <w:r w:rsidRPr="00EE6E5B">
        <w:rPr>
          <w:u w:val="single"/>
        </w:rPr>
        <w:tab/>
      </w:r>
      <w:r w:rsidRPr="00EE6E5B">
        <w:rPr>
          <w:u w:val="single"/>
        </w:rPr>
        <w:tab/>
      </w:r>
      <w:r w:rsidRPr="00EE6E5B">
        <w:rPr>
          <w:u w:val="single"/>
        </w:rPr>
        <w:tab/>
      </w:r>
      <w:r>
        <w:rPr>
          <w:u w:val="single"/>
        </w:rPr>
        <w:tab/>
      </w:r>
      <w:r w:rsidRPr="00EE6E5B">
        <w:rPr>
          <w:u w:val="single"/>
        </w:rPr>
        <w:tab/>
      </w:r>
      <w:r w:rsidRPr="00EE6E5B">
        <w:rPr>
          <w:u w:val="single"/>
        </w:rPr>
        <w:tab/>
      </w:r>
      <w:r w:rsidR="00214BB0">
        <w:rPr>
          <w:u w:val="single"/>
        </w:rPr>
        <w:tab/>
      </w:r>
      <w:r w:rsidRPr="00EE6E5B">
        <w:rPr>
          <w:u w:val="single"/>
        </w:rPr>
        <w:tab/>
      </w:r>
    </w:p>
    <w:p w14:paraId="77993F31" w14:textId="77777777" w:rsidR="007C1374" w:rsidRDefault="007C1374" w:rsidP="007C1374">
      <w:pPr>
        <w:pStyle w:val="CLALTRNormal"/>
      </w:pPr>
      <w:r>
        <w:t xml:space="preserve">Title: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4D1A3C0D" w14:textId="77777777" w:rsidR="007C1374" w:rsidRDefault="007C1374" w:rsidP="007C1374">
      <w:pPr>
        <w:pStyle w:val="CLALTRNormal"/>
        <w:rPr>
          <w:u w:val="single"/>
        </w:rPr>
      </w:pPr>
      <w:r>
        <w:t xml:space="preserve">Date: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027EA54E" w14:textId="77777777" w:rsidR="007C1374" w:rsidRPr="00E35680" w:rsidRDefault="007C1374" w:rsidP="00A05844">
      <w:pPr>
        <w:pStyle w:val="CLALTRHiddenText"/>
      </w:pPr>
    </w:p>
    <w:p w14:paraId="048F6B1A" w14:textId="77777777" w:rsidR="00E35680" w:rsidRDefault="00E35680" w:rsidP="00A05844">
      <w:pPr>
        <w:pStyle w:val="CLALTRHiddenText"/>
        <w:sectPr w:rsidR="00E35680" w:rsidSect="00E35680">
          <w:headerReference w:type="default" r:id="rId13"/>
          <w:footerReference w:type="default" r:id="rId14"/>
          <w:footerReference w:type="first" r:id="rId15"/>
          <w:endnotePr>
            <w:numFmt w:val="decimal"/>
          </w:endnotePr>
          <w:pgSz w:w="12240" w:h="15840" w:code="1"/>
          <w:pgMar w:top="2304" w:right="1080" w:bottom="1440" w:left="1080" w:header="720" w:footer="576" w:gutter="0"/>
          <w:cols w:space="720"/>
          <w:titlePg/>
          <w:docGrid w:linePitch="299"/>
        </w:sectPr>
      </w:pPr>
    </w:p>
    <w:p w14:paraId="0D0C723B" w14:textId="77777777" w:rsidR="00E35680" w:rsidRDefault="00E35680" w:rsidP="00E35680">
      <w:pPr>
        <w:pStyle w:val="CLALTRHiddenText"/>
      </w:pPr>
    </w:p>
    <w:sectPr w:rsidR="00E35680" w:rsidRPr="00EE6E5B" w:rsidSect="00E35680">
      <w:headerReference w:type="default" r:id="rId16"/>
      <w:endnotePr>
        <w:numFmt w:val="decimal"/>
      </w:endnotePr>
      <w:pgSz w:w="12240" w:h="15840" w:code="1"/>
      <w:pgMar w:top="1440" w:right="1440" w:bottom="1440" w:left="1440" w:header="720" w:footer="57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1480" w14:textId="77777777" w:rsidR="006A0726" w:rsidRPr="00B33CEA" w:rsidRDefault="006A0726" w:rsidP="00B33CEA">
      <w:pPr>
        <w:pStyle w:val="CLALTRHiddenText"/>
      </w:pPr>
    </w:p>
  </w:endnote>
  <w:endnote w:type="continuationSeparator" w:id="0">
    <w:p w14:paraId="7F3D584F" w14:textId="77777777" w:rsidR="006A0726" w:rsidRDefault="006A0726" w:rsidP="005F17E8">
      <w:pPr>
        <w:pStyle w:val="CLALTRHiddenText"/>
      </w:pPr>
    </w:p>
  </w:endnote>
  <w:endnote w:type="continuationNotice" w:id="1">
    <w:p w14:paraId="7E5A2BCC" w14:textId="77777777" w:rsidR="006A0726" w:rsidRPr="00B33CEA" w:rsidRDefault="006A0726" w:rsidP="005F17E8">
      <w:pPr>
        <w:pStyle w:val="CLALTRHidden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B1C6" w14:textId="77777777" w:rsidR="0075719D" w:rsidRDefault="0075719D" w:rsidP="00093643">
    <w:pPr>
      <w:pStyle w:val="CLAProFooter"/>
    </w:pPr>
    <w:r w:rsidRPr="0088412E">
      <w:rPr>
        <w:rFonts w:ascii="Arial" w:hAnsi="Arial" w:cs="Arial"/>
        <w:sz w:val="15"/>
        <w:szCs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B6D0" w14:textId="77777777" w:rsidR="00F35FA7" w:rsidRPr="0061743D" w:rsidRDefault="00F35FA7" w:rsidP="006174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0CF8" w14:textId="77777777" w:rsidR="00F35FA7" w:rsidRPr="007C1374" w:rsidRDefault="00F35FA7" w:rsidP="007C13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7FA21" w14:textId="77777777" w:rsidR="006A0726" w:rsidRDefault="006A0726" w:rsidP="0088412E">
      <w:r>
        <w:separator/>
      </w:r>
    </w:p>
  </w:footnote>
  <w:footnote w:type="continuationSeparator" w:id="0">
    <w:p w14:paraId="6350E00F" w14:textId="77777777" w:rsidR="006A0726" w:rsidRDefault="006A0726" w:rsidP="00884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6B00"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30CEA7D5"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03095F23" w14:textId="77777777" w:rsidR="007B4260" w:rsidRDefault="00B75DEC" w:rsidP="00B75DEC">
    <w:pPr>
      <w:pStyle w:val="CLALTRHeaderorFooter"/>
    </w:pPr>
    <w:r w:rsidRPr="00D31720">
      <w:t xml:space="preserve">Page </w:t>
    </w:r>
    <w:r>
      <w:fldChar w:fldCharType="begin"/>
    </w:r>
    <w:r>
      <w:instrText xml:space="preserve"> PAGE </w:instrText>
    </w:r>
    <w:r>
      <w:fldChar w:fldCharType="separate"/>
    </w:r>
    <w:r w:rsidR="00C53667">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1C95" w14:textId="77777777" w:rsidR="00B92DB9" w:rsidRDefault="00B92DB9" w:rsidP="00B92DB9">
    <w:pPr>
      <w:pStyle w:val="Header"/>
      <w:jc w:val="center"/>
    </w:pPr>
    <w:r>
      <w:rPr>
        <w:noProof/>
      </w:rPr>
      <w:drawing>
        <wp:inline distT="0" distB="0" distL="0" distR="0" wp14:anchorId="7A3DE566" wp14:editId="339671B7">
          <wp:extent cx="1848734" cy="8763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848734" cy="8763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F75B"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79340FE2"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5D524949" w14:textId="77777777" w:rsidR="00F35FA7" w:rsidRPr="0088631F" w:rsidRDefault="007C1374" w:rsidP="007C1374">
    <w:pPr>
      <w:pStyle w:val="CLALTRHeaderorFooter"/>
    </w:pPr>
    <w:r w:rsidRPr="00D31720">
      <w:t xml:space="preserve">Page </w:t>
    </w:r>
    <w:r>
      <w:fldChar w:fldCharType="begin"/>
    </w:r>
    <w:r>
      <w:instrText xml:space="preserve"> PAGE </w:instrText>
    </w:r>
    <w:r>
      <w:fldChar w:fldCharType="separate"/>
    </w:r>
    <w:r w:rsidR="004C42A1">
      <w:rPr>
        <w:noProof/>
      </w:rPr>
      <w:t>10</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23CD" w14:textId="77777777" w:rsidR="00E35680" w:rsidRPr="00E35680" w:rsidRDefault="00E35680" w:rsidP="00E35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91"/>
    <w:multiLevelType w:val="hybridMultilevel"/>
    <w:tmpl w:val="6944F4C2"/>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574087"/>
    <w:multiLevelType w:val="hybridMultilevel"/>
    <w:tmpl w:val="8FE25778"/>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F72F40"/>
    <w:multiLevelType w:val="hybridMultilevel"/>
    <w:tmpl w:val="FE56BA12"/>
    <w:lvl w:ilvl="0" w:tplc="079A11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F4D87"/>
    <w:multiLevelType w:val="hybridMultilevel"/>
    <w:tmpl w:val="E6D4F0EE"/>
    <w:lvl w:ilvl="0" w:tplc="C3CAAB3E">
      <w:numFmt w:val="bullet"/>
      <w:lvlText w:val="•"/>
      <w:lvlJc w:val="left"/>
      <w:pPr>
        <w:ind w:left="1080" w:hanging="72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B1F6B"/>
    <w:multiLevelType w:val="hybridMultilevel"/>
    <w:tmpl w:val="E6D633C8"/>
    <w:lvl w:ilvl="0" w:tplc="04090019">
      <w:start w:val="1"/>
      <w:numFmt w:val="lowerLetter"/>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5" w15:restartNumberingAfterBreak="0">
    <w:nsid w:val="18F34D48"/>
    <w:multiLevelType w:val="hybridMultilevel"/>
    <w:tmpl w:val="078CE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D33D5"/>
    <w:multiLevelType w:val="hybridMultilevel"/>
    <w:tmpl w:val="7B4C7BF4"/>
    <w:lvl w:ilvl="0" w:tplc="DE14445E">
      <w:start w:val="1"/>
      <w:numFmt w:val="bullet"/>
      <w:pStyle w:val="CLAProposalBulletedTextBodyLeft05"/>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2761F9"/>
    <w:multiLevelType w:val="hybridMultilevel"/>
    <w:tmpl w:val="01D6E028"/>
    <w:lvl w:ilvl="0" w:tplc="FEC0C436">
      <w:numFmt w:val="bullet"/>
      <w:lvlText w:val="•"/>
      <w:lvlJc w:val="left"/>
      <w:pPr>
        <w:ind w:left="1440" w:hanging="720"/>
      </w:pPr>
      <w:rPr>
        <w:rFonts w:ascii="Calibri" w:eastAsia="Times"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5F2B3B"/>
    <w:multiLevelType w:val="hybridMultilevel"/>
    <w:tmpl w:val="C9C8B750"/>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80717"/>
    <w:multiLevelType w:val="hybridMultilevel"/>
    <w:tmpl w:val="F7FE6EBA"/>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C5547C"/>
    <w:multiLevelType w:val="hybridMultilevel"/>
    <w:tmpl w:val="A316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94786"/>
    <w:multiLevelType w:val="hybridMultilevel"/>
    <w:tmpl w:val="031E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B009DE"/>
    <w:multiLevelType w:val="hybridMultilevel"/>
    <w:tmpl w:val="64A0DDC0"/>
    <w:lvl w:ilvl="0" w:tplc="F4A4F6B6">
      <w:numFmt w:val="bullet"/>
      <w:lvlText w:val="•"/>
      <w:lvlJc w:val="left"/>
      <w:pPr>
        <w:ind w:left="720" w:hanging="36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5180F"/>
    <w:multiLevelType w:val="hybridMultilevel"/>
    <w:tmpl w:val="33CC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011E56"/>
    <w:multiLevelType w:val="hybridMultilevel"/>
    <w:tmpl w:val="12A0F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FA77D50"/>
    <w:multiLevelType w:val="hybridMultilevel"/>
    <w:tmpl w:val="A4E46D7C"/>
    <w:lvl w:ilvl="0" w:tplc="A89CFB5E">
      <w:start w:val="2"/>
      <w:numFmt w:val="bullet"/>
      <w:lvlText w:val="•"/>
      <w:lvlJc w:val="left"/>
      <w:pPr>
        <w:ind w:left="720" w:hanging="360"/>
      </w:pPr>
      <w:rPr>
        <w:rFonts w:ascii="Calibri" w:eastAsia="Times"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50050"/>
    <w:multiLevelType w:val="hybridMultilevel"/>
    <w:tmpl w:val="2E2CC2B6"/>
    <w:lvl w:ilvl="0" w:tplc="75C81FAA">
      <w:start w:val="1"/>
      <w:numFmt w:val="bullet"/>
      <w:lvlText w:val=""/>
      <w:lvlJc w:val="left"/>
      <w:pPr>
        <w:tabs>
          <w:tab w:val="num" w:pos="720"/>
        </w:tabs>
        <w:ind w:left="720" w:hanging="360"/>
      </w:pPr>
      <w:rPr>
        <w:rFonts w:ascii="Symbol" w:hAnsi="Symbol" w:hint="default"/>
      </w:rPr>
    </w:lvl>
    <w:lvl w:ilvl="1" w:tplc="3EEAF54E">
      <w:start w:val="1"/>
      <w:numFmt w:val="bullet"/>
      <w:pStyle w:val="ProposalBulletStyle-Indent1"/>
      <w:lvlText w:val="─"/>
      <w:lvlJc w:val="left"/>
      <w:pPr>
        <w:tabs>
          <w:tab w:val="num" w:pos="1440"/>
        </w:tabs>
        <w:ind w:left="1440" w:hanging="360"/>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B087F7E"/>
    <w:multiLevelType w:val="hybridMultilevel"/>
    <w:tmpl w:val="B830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9F0E9A"/>
    <w:multiLevelType w:val="hybridMultilevel"/>
    <w:tmpl w:val="D062DB4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DE6972"/>
    <w:multiLevelType w:val="hybridMultilevel"/>
    <w:tmpl w:val="9C46D0D0"/>
    <w:lvl w:ilvl="0" w:tplc="75C81FAA">
      <w:start w:val="1"/>
      <w:numFmt w:val="bullet"/>
      <w:pStyle w:val="ProposalBulletStyle"/>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5AF1103"/>
    <w:multiLevelType w:val="hybridMultilevel"/>
    <w:tmpl w:val="815C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5324888">
    <w:abstractNumId w:val="19"/>
  </w:num>
  <w:num w:numId="2" w16cid:durableId="866144293">
    <w:abstractNumId w:val="16"/>
  </w:num>
  <w:num w:numId="3" w16cid:durableId="1547796069">
    <w:abstractNumId w:val="6"/>
  </w:num>
  <w:num w:numId="4" w16cid:durableId="1631546858">
    <w:abstractNumId w:val="14"/>
  </w:num>
  <w:num w:numId="5" w16cid:durableId="902377835">
    <w:abstractNumId w:val="18"/>
  </w:num>
  <w:num w:numId="6" w16cid:durableId="1215317090">
    <w:abstractNumId w:val="11"/>
  </w:num>
  <w:num w:numId="7" w16cid:durableId="1977561710">
    <w:abstractNumId w:val="3"/>
  </w:num>
  <w:num w:numId="8" w16cid:durableId="886649546">
    <w:abstractNumId w:val="12"/>
  </w:num>
  <w:num w:numId="9" w16cid:durableId="883176083">
    <w:abstractNumId w:val="8"/>
  </w:num>
  <w:num w:numId="10" w16cid:durableId="1961064041">
    <w:abstractNumId w:val="9"/>
  </w:num>
  <w:num w:numId="11" w16cid:durableId="35664820">
    <w:abstractNumId w:val="1"/>
  </w:num>
  <w:num w:numId="12" w16cid:durableId="1169060358">
    <w:abstractNumId w:val="7"/>
  </w:num>
  <w:num w:numId="13" w16cid:durableId="534120819">
    <w:abstractNumId w:val="5"/>
  </w:num>
  <w:num w:numId="14" w16cid:durableId="1774285268">
    <w:abstractNumId w:val="13"/>
  </w:num>
  <w:num w:numId="15" w16cid:durableId="398600758">
    <w:abstractNumId w:val="10"/>
  </w:num>
  <w:num w:numId="16" w16cid:durableId="1562596715">
    <w:abstractNumId w:val="2"/>
  </w:num>
  <w:num w:numId="17" w16cid:durableId="1928035845">
    <w:abstractNumId w:val="15"/>
  </w:num>
  <w:num w:numId="18" w16cid:durableId="1925723154">
    <w:abstractNumId w:val="4"/>
  </w:num>
  <w:num w:numId="19" w16cid:durableId="568273914">
    <w:abstractNumId w:val="20"/>
  </w:num>
  <w:num w:numId="20" w16cid:durableId="403334221">
    <w:abstractNumId w:val="0"/>
  </w:num>
  <w:num w:numId="21" w16cid:durableId="1749186467">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04"/>
    <w:rsid w:val="0000381A"/>
    <w:rsid w:val="00006262"/>
    <w:rsid w:val="00015BAB"/>
    <w:rsid w:val="00015EFB"/>
    <w:rsid w:val="000168D1"/>
    <w:rsid w:val="000217CC"/>
    <w:rsid w:val="000220AA"/>
    <w:rsid w:val="00022C6A"/>
    <w:rsid w:val="000423BF"/>
    <w:rsid w:val="000435E3"/>
    <w:rsid w:val="00044D1D"/>
    <w:rsid w:val="000476AD"/>
    <w:rsid w:val="00053289"/>
    <w:rsid w:val="000548D1"/>
    <w:rsid w:val="00057067"/>
    <w:rsid w:val="00064D82"/>
    <w:rsid w:val="000654B4"/>
    <w:rsid w:val="00065F5C"/>
    <w:rsid w:val="000679EF"/>
    <w:rsid w:val="00073CE9"/>
    <w:rsid w:val="00084A8D"/>
    <w:rsid w:val="00093643"/>
    <w:rsid w:val="00094EF9"/>
    <w:rsid w:val="00095922"/>
    <w:rsid w:val="000A0BF3"/>
    <w:rsid w:val="000A1BFA"/>
    <w:rsid w:val="000A626A"/>
    <w:rsid w:val="000B6116"/>
    <w:rsid w:val="000C011F"/>
    <w:rsid w:val="000C65E6"/>
    <w:rsid w:val="000E00CC"/>
    <w:rsid w:val="000E46C2"/>
    <w:rsid w:val="000F2BBA"/>
    <w:rsid w:val="000F3C5E"/>
    <w:rsid w:val="000F4527"/>
    <w:rsid w:val="000F4DA9"/>
    <w:rsid w:val="00100B08"/>
    <w:rsid w:val="001026D4"/>
    <w:rsid w:val="001060B6"/>
    <w:rsid w:val="00110923"/>
    <w:rsid w:val="00117F66"/>
    <w:rsid w:val="001216A9"/>
    <w:rsid w:val="0012397E"/>
    <w:rsid w:val="0012532A"/>
    <w:rsid w:val="001361A6"/>
    <w:rsid w:val="00136A87"/>
    <w:rsid w:val="001511AA"/>
    <w:rsid w:val="00153BBA"/>
    <w:rsid w:val="00155433"/>
    <w:rsid w:val="00174820"/>
    <w:rsid w:val="0017490C"/>
    <w:rsid w:val="00182523"/>
    <w:rsid w:val="00182875"/>
    <w:rsid w:val="00185868"/>
    <w:rsid w:val="0019521D"/>
    <w:rsid w:val="001A04A3"/>
    <w:rsid w:val="001A48D8"/>
    <w:rsid w:val="001B02CE"/>
    <w:rsid w:val="001B2681"/>
    <w:rsid w:val="001B3FF8"/>
    <w:rsid w:val="001C377E"/>
    <w:rsid w:val="001D541D"/>
    <w:rsid w:val="001E220F"/>
    <w:rsid w:val="001E73B8"/>
    <w:rsid w:val="001E73FD"/>
    <w:rsid w:val="001F5103"/>
    <w:rsid w:val="0020163C"/>
    <w:rsid w:val="002133A7"/>
    <w:rsid w:val="00214BB0"/>
    <w:rsid w:val="00214D43"/>
    <w:rsid w:val="00215209"/>
    <w:rsid w:val="002175BC"/>
    <w:rsid w:val="00226308"/>
    <w:rsid w:val="00240614"/>
    <w:rsid w:val="002460A9"/>
    <w:rsid w:val="00252076"/>
    <w:rsid w:val="00257579"/>
    <w:rsid w:val="00275CEB"/>
    <w:rsid w:val="00275DD0"/>
    <w:rsid w:val="002930BA"/>
    <w:rsid w:val="00293D9C"/>
    <w:rsid w:val="00294B58"/>
    <w:rsid w:val="002A0C5A"/>
    <w:rsid w:val="002A3E9A"/>
    <w:rsid w:val="002A7309"/>
    <w:rsid w:val="002B2F07"/>
    <w:rsid w:val="002B7008"/>
    <w:rsid w:val="002C15E9"/>
    <w:rsid w:val="002C197D"/>
    <w:rsid w:val="002C4AF8"/>
    <w:rsid w:val="002C5D46"/>
    <w:rsid w:val="002D5F17"/>
    <w:rsid w:val="002E1300"/>
    <w:rsid w:val="002F6675"/>
    <w:rsid w:val="0030310B"/>
    <w:rsid w:val="003108F3"/>
    <w:rsid w:val="003113CE"/>
    <w:rsid w:val="00326F0F"/>
    <w:rsid w:val="00330014"/>
    <w:rsid w:val="00334492"/>
    <w:rsid w:val="00336305"/>
    <w:rsid w:val="00337017"/>
    <w:rsid w:val="00343A94"/>
    <w:rsid w:val="00357951"/>
    <w:rsid w:val="003627F1"/>
    <w:rsid w:val="003637F4"/>
    <w:rsid w:val="0036461A"/>
    <w:rsid w:val="00366873"/>
    <w:rsid w:val="00366A33"/>
    <w:rsid w:val="00367226"/>
    <w:rsid w:val="00367273"/>
    <w:rsid w:val="003861D8"/>
    <w:rsid w:val="00387B3E"/>
    <w:rsid w:val="00390615"/>
    <w:rsid w:val="00394A6E"/>
    <w:rsid w:val="003A1095"/>
    <w:rsid w:val="003A21D3"/>
    <w:rsid w:val="003A2EF5"/>
    <w:rsid w:val="003C7DAB"/>
    <w:rsid w:val="003D46E8"/>
    <w:rsid w:val="003E2394"/>
    <w:rsid w:val="00413E30"/>
    <w:rsid w:val="0041621D"/>
    <w:rsid w:val="00416721"/>
    <w:rsid w:val="004232B8"/>
    <w:rsid w:val="004263B8"/>
    <w:rsid w:val="00436877"/>
    <w:rsid w:val="004407DE"/>
    <w:rsid w:val="004407FC"/>
    <w:rsid w:val="00440E21"/>
    <w:rsid w:val="0045742E"/>
    <w:rsid w:val="004579B4"/>
    <w:rsid w:val="0046090C"/>
    <w:rsid w:val="00465958"/>
    <w:rsid w:val="00473C08"/>
    <w:rsid w:val="00474FC8"/>
    <w:rsid w:val="00476913"/>
    <w:rsid w:val="00487ED3"/>
    <w:rsid w:val="00491004"/>
    <w:rsid w:val="004A31CE"/>
    <w:rsid w:val="004B0A32"/>
    <w:rsid w:val="004B1FDD"/>
    <w:rsid w:val="004C2A93"/>
    <w:rsid w:val="004C42A1"/>
    <w:rsid w:val="004C4F18"/>
    <w:rsid w:val="004D017F"/>
    <w:rsid w:val="004D1C99"/>
    <w:rsid w:val="004D54F9"/>
    <w:rsid w:val="004D61BB"/>
    <w:rsid w:val="004D6ECB"/>
    <w:rsid w:val="004E0F3F"/>
    <w:rsid w:val="004E1DDC"/>
    <w:rsid w:val="004E64B7"/>
    <w:rsid w:val="004F4D80"/>
    <w:rsid w:val="005002B8"/>
    <w:rsid w:val="005023F0"/>
    <w:rsid w:val="005051B1"/>
    <w:rsid w:val="00513CA5"/>
    <w:rsid w:val="005147FF"/>
    <w:rsid w:val="005173C0"/>
    <w:rsid w:val="00524D8F"/>
    <w:rsid w:val="00535B1A"/>
    <w:rsid w:val="00555D21"/>
    <w:rsid w:val="0055608E"/>
    <w:rsid w:val="0056231A"/>
    <w:rsid w:val="005660B0"/>
    <w:rsid w:val="00570080"/>
    <w:rsid w:val="00574ED3"/>
    <w:rsid w:val="00582DBB"/>
    <w:rsid w:val="00584E17"/>
    <w:rsid w:val="0058521A"/>
    <w:rsid w:val="00592EB7"/>
    <w:rsid w:val="00594B8E"/>
    <w:rsid w:val="005A0921"/>
    <w:rsid w:val="005A153F"/>
    <w:rsid w:val="005B01C5"/>
    <w:rsid w:val="005B0D7C"/>
    <w:rsid w:val="005B1D7D"/>
    <w:rsid w:val="005B49DB"/>
    <w:rsid w:val="005B4B9B"/>
    <w:rsid w:val="005B6A6E"/>
    <w:rsid w:val="005C041A"/>
    <w:rsid w:val="005C5AE8"/>
    <w:rsid w:val="005C6B2B"/>
    <w:rsid w:val="005D4884"/>
    <w:rsid w:val="005D5920"/>
    <w:rsid w:val="005F17E8"/>
    <w:rsid w:val="005F35D1"/>
    <w:rsid w:val="00600EAB"/>
    <w:rsid w:val="00601502"/>
    <w:rsid w:val="006022AF"/>
    <w:rsid w:val="006077A7"/>
    <w:rsid w:val="006154DD"/>
    <w:rsid w:val="00616098"/>
    <w:rsid w:val="00616B5A"/>
    <w:rsid w:val="00616CB4"/>
    <w:rsid w:val="00624EFB"/>
    <w:rsid w:val="00624F48"/>
    <w:rsid w:val="00626420"/>
    <w:rsid w:val="006268C5"/>
    <w:rsid w:val="00630862"/>
    <w:rsid w:val="00630A78"/>
    <w:rsid w:val="00635C99"/>
    <w:rsid w:val="006369E2"/>
    <w:rsid w:val="00645D78"/>
    <w:rsid w:val="006478B7"/>
    <w:rsid w:val="00653ED1"/>
    <w:rsid w:val="00661DB5"/>
    <w:rsid w:val="00664D93"/>
    <w:rsid w:val="006671EF"/>
    <w:rsid w:val="00674743"/>
    <w:rsid w:val="00675125"/>
    <w:rsid w:val="006944C2"/>
    <w:rsid w:val="006A0726"/>
    <w:rsid w:val="006A19DB"/>
    <w:rsid w:val="006A2B2E"/>
    <w:rsid w:val="006A5297"/>
    <w:rsid w:val="006B3C5F"/>
    <w:rsid w:val="006B5681"/>
    <w:rsid w:val="006C0004"/>
    <w:rsid w:val="006D64D2"/>
    <w:rsid w:val="006E1F28"/>
    <w:rsid w:val="006E40A4"/>
    <w:rsid w:val="006E5DD4"/>
    <w:rsid w:val="006F0D28"/>
    <w:rsid w:val="00715BF2"/>
    <w:rsid w:val="00715F6F"/>
    <w:rsid w:val="00722DD6"/>
    <w:rsid w:val="00723646"/>
    <w:rsid w:val="00725439"/>
    <w:rsid w:val="00730F7E"/>
    <w:rsid w:val="007350AB"/>
    <w:rsid w:val="007352A0"/>
    <w:rsid w:val="0073634A"/>
    <w:rsid w:val="0074250F"/>
    <w:rsid w:val="007441DE"/>
    <w:rsid w:val="00753230"/>
    <w:rsid w:val="00753F0C"/>
    <w:rsid w:val="007560CA"/>
    <w:rsid w:val="0075719D"/>
    <w:rsid w:val="007572AB"/>
    <w:rsid w:val="007608CA"/>
    <w:rsid w:val="00761283"/>
    <w:rsid w:val="0076171C"/>
    <w:rsid w:val="00762531"/>
    <w:rsid w:val="007738D8"/>
    <w:rsid w:val="00776857"/>
    <w:rsid w:val="007771AC"/>
    <w:rsid w:val="00777A73"/>
    <w:rsid w:val="00780EB4"/>
    <w:rsid w:val="0078662A"/>
    <w:rsid w:val="00786782"/>
    <w:rsid w:val="00792B1E"/>
    <w:rsid w:val="007A00EA"/>
    <w:rsid w:val="007B0CDB"/>
    <w:rsid w:val="007B277C"/>
    <w:rsid w:val="007B4260"/>
    <w:rsid w:val="007B552C"/>
    <w:rsid w:val="007C1374"/>
    <w:rsid w:val="007C2445"/>
    <w:rsid w:val="007D0C29"/>
    <w:rsid w:val="007D1792"/>
    <w:rsid w:val="007E3F5E"/>
    <w:rsid w:val="007E5093"/>
    <w:rsid w:val="007F0F75"/>
    <w:rsid w:val="007F18F3"/>
    <w:rsid w:val="007F39FB"/>
    <w:rsid w:val="007F686B"/>
    <w:rsid w:val="007F7DC1"/>
    <w:rsid w:val="00800568"/>
    <w:rsid w:val="008009C9"/>
    <w:rsid w:val="00801237"/>
    <w:rsid w:val="00802948"/>
    <w:rsid w:val="008044FB"/>
    <w:rsid w:val="0081619A"/>
    <w:rsid w:val="0081738A"/>
    <w:rsid w:val="00821B85"/>
    <w:rsid w:val="00823814"/>
    <w:rsid w:val="008239C5"/>
    <w:rsid w:val="008270E1"/>
    <w:rsid w:val="00827BEB"/>
    <w:rsid w:val="00827D4A"/>
    <w:rsid w:val="00830F46"/>
    <w:rsid w:val="00832214"/>
    <w:rsid w:val="008348FE"/>
    <w:rsid w:val="00837D36"/>
    <w:rsid w:val="00842997"/>
    <w:rsid w:val="00846494"/>
    <w:rsid w:val="0085010A"/>
    <w:rsid w:val="0086240B"/>
    <w:rsid w:val="00864E9B"/>
    <w:rsid w:val="00872C9F"/>
    <w:rsid w:val="0087380E"/>
    <w:rsid w:val="0088412E"/>
    <w:rsid w:val="00884AAC"/>
    <w:rsid w:val="00885BBC"/>
    <w:rsid w:val="008C7A1E"/>
    <w:rsid w:val="008D340C"/>
    <w:rsid w:val="008D40F3"/>
    <w:rsid w:val="008E1793"/>
    <w:rsid w:val="008E3EF9"/>
    <w:rsid w:val="008E476E"/>
    <w:rsid w:val="008E4B14"/>
    <w:rsid w:val="008E5AEC"/>
    <w:rsid w:val="008F4D61"/>
    <w:rsid w:val="009063E8"/>
    <w:rsid w:val="00910C6E"/>
    <w:rsid w:val="00911CD6"/>
    <w:rsid w:val="00917FA4"/>
    <w:rsid w:val="009321DA"/>
    <w:rsid w:val="00936D57"/>
    <w:rsid w:val="00942609"/>
    <w:rsid w:val="0094619F"/>
    <w:rsid w:val="00952254"/>
    <w:rsid w:val="00961388"/>
    <w:rsid w:val="00961A83"/>
    <w:rsid w:val="00962B68"/>
    <w:rsid w:val="00965849"/>
    <w:rsid w:val="009660BB"/>
    <w:rsid w:val="0096727B"/>
    <w:rsid w:val="00977852"/>
    <w:rsid w:val="009919E2"/>
    <w:rsid w:val="00997AFC"/>
    <w:rsid w:val="009B1615"/>
    <w:rsid w:val="009C0042"/>
    <w:rsid w:val="009C1F8C"/>
    <w:rsid w:val="009C2BD6"/>
    <w:rsid w:val="009C713F"/>
    <w:rsid w:val="009D46AC"/>
    <w:rsid w:val="009E14AB"/>
    <w:rsid w:val="009F0519"/>
    <w:rsid w:val="009F1C59"/>
    <w:rsid w:val="00A05844"/>
    <w:rsid w:val="00A173A1"/>
    <w:rsid w:val="00A21783"/>
    <w:rsid w:val="00A256B1"/>
    <w:rsid w:val="00A268EB"/>
    <w:rsid w:val="00A26FCE"/>
    <w:rsid w:val="00A31EEA"/>
    <w:rsid w:val="00A324F9"/>
    <w:rsid w:val="00A34359"/>
    <w:rsid w:val="00A410E2"/>
    <w:rsid w:val="00A548BC"/>
    <w:rsid w:val="00A5555C"/>
    <w:rsid w:val="00A57BC4"/>
    <w:rsid w:val="00A61E86"/>
    <w:rsid w:val="00A62DCE"/>
    <w:rsid w:val="00A659F7"/>
    <w:rsid w:val="00A66919"/>
    <w:rsid w:val="00A7177E"/>
    <w:rsid w:val="00A71D2A"/>
    <w:rsid w:val="00A7272E"/>
    <w:rsid w:val="00A7451D"/>
    <w:rsid w:val="00A749EC"/>
    <w:rsid w:val="00A81F71"/>
    <w:rsid w:val="00A8440C"/>
    <w:rsid w:val="00A93B5D"/>
    <w:rsid w:val="00AA182F"/>
    <w:rsid w:val="00AA33CD"/>
    <w:rsid w:val="00AB0ED8"/>
    <w:rsid w:val="00AB4733"/>
    <w:rsid w:val="00AB6094"/>
    <w:rsid w:val="00AC5565"/>
    <w:rsid w:val="00AC5806"/>
    <w:rsid w:val="00AD1FB2"/>
    <w:rsid w:val="00AD6268"/>
    <w:rsid w:val="00AD6E1C"/>
    <w:rsid w:val="00AE4781"/>
    <w:rsid w:val="00AF0BEE"/>
    <w:rsid w:val="00B0361E"/>
    <w:rsid w:val="00B05469"/>
    <w:rsid w:val="00B10467"/>
    <w:rsid w:val="00B139CD"/>
    <w:rsid w:val="00B14AC3"/>
    <w:rsid w:val="00B16BD8"/>
    <w:rsid w:val="00B25E74"/>
    <w:rsid w:val="00B33543"/>
    <w:rsid w:val="00B33CEA"/>
    <w:rsid w:val="00B3501B"/>
    <w:rsid w:val="00B35286"/>
    <w:rsid w:val="00B36DF9"/>
    <w:rsid w:val="00B37848"/>
    <w:rsid w:val="00B37F68"/>
    <w:rsid w:val="00B44A02"/>
    <w:rsid w:val="00B4731A"/>
    <w:rsid w:val="00B4770A"/>
    <w:rsid w:val="00B5019A"/>
    <w:rsid w:val="00B56AAF"/>
    <w:rsid w:val="00B60CC0"/>
    <w:rsid w:val="00B705D5"/>
    <w:rsid w:val="00B71B5E"/>
    <w:rsid w:val="00B72B8F"/>
    <w:rsid w:val="00B75DEC"/>
    <w:rsid w:val="00B767A8"/>
    <w:rsid w:val="00B8175B"/>
    <w:rsid w:val="00B853C2"/>
    <w:rsid w:val="00B92DB9"/>
    <w:rsid w:val="00B939C4"/>
    <w:rsid w:val="00B94063"/>
    <w:rsid w:val="00B95879"/>
    <w:rsid w:val="00BA6AFD"/>
    <w:rsid w:val="00BB0180"/>
    <w:rsid w:val="00BB1946"/>
    <w:rsid w:val="00BB4A98"/>
    <w:rsid w:val="00BB6473"/>
    <w:rsid w:val="00BC5093"/>
    <w:rsid w:val="00BC5654"/>
    <w:rsid w:val="00BE0881"/>
    <w:rsid w:val="00BE40F0"/>
    <w:rsid w:val="00BE4270"/>
    <w:rsid w:val="00BE5C07"/>
    <w:rsid w:val="00BF20BE"/>
    <w:rsid w:val="00BF581A"/>
    <w:rsid w:val="00C0450E"/>
    <w:rsid w:val="00C14289"/>
    <w:rsid w:val="00C1752D"/>
    <w:rsid w:val="00C26520"/>
    <w:rsid w:val="00C32830"/>
    <w:rsid w:val="00C403BD"/>
    <w:rsid w:val="00C44983"/>
    <w:rsid w:val="00C46193"/>
    <w:rsid w:val="00C4620D"/>
    <w:rsid w:val="00C464D9"/>
    <w:rsid w:val="00C46A5A"/>
    <w:rsid w:val="00C52E92"/>
    <w:rsid w:val="00C53667"/>
    <w:rsid w:val="00C538D9"/>
    <w:rsid w:val="00C55784"/>
    <w:rsid w:val="00C57DC3"/>
    <w:rsid w:val="00C6009E"/>
    <w:rsid w:val="00C652A3"/>
    <w:rsid w:val="00C6530F"/>
    <w:rsid w:val="00C65E22"/>
    <w:rsid w:val="00C70BA9"/>
    <w:rsid w:val="00C71F50"/>
    <w:rsid w:val="00C74ADF"/>
    <w:rsid w:val="00C9122D"/>
    <w:rsid w:val="00C94B88"/>
    <w:rsid w:val="00C94FA8"/>
    <w:rsid w:val="00CA1898"/>
    <w:rsid w:val="00CA57C1"/>
    <w:rsid w:val="00CB04D4"/>
    <w:rsid w:val="00CB5DCB"/>
    <w:rsid w:val="00CC2AD6"/>
    <w:rsid w:val="00CC4022"/>
    <w:rsid w:val="00CD0C72"/>
    <w:rsid w:val="00CD0CCA"/>
    <w:rsid w:val="00CD34E7"/>
    <w:rsid w:val="00CD4E06"/>
    <w:rsid w:val="00CE0421"/>
    <w:rsid w:val="00CE0822"/>
    <w:rsid w:val="00CE176B"/>
    <w:rsid w:val="00CF17EC"/>
    <w:rsid w:val="00CF2370"/>
    <w:rsid w:val="00CF2ACD"/>
    <w:rsid w:val="00CF3BBF"/>
    <w:rsid w:val="00CF42A2"/>
    <w:rsid w:val="00CF502C"/>
    <w:rsid w:val="00D03956"/>
    <w:rsid w:val="00D03D77"/>
    <w:rsid w:val="00D07A1A"/>
    <w:rsid w:val="00D104D3"/>
    <w:rsid w:val="00D12FCF"/>
    <w:rsid w:val="00D17097"/>
    <w:rsid w:val="00D2024E"/>
    <w:rsid w:val="00D24D91"/>
    <w:rsid w:val="00D274C6"/>
    <w:rsid w:val="00D4012B"/>
    <w:rsid w:val="00D47270"/>
    <w:rsid w:val="00D53CB1"/>
    <w:rsid w:val="00D56892"/>
    <w:rsid w:val="00D61CCB"/>
    <w:rsid w:val="00D64459"/>
    <w:rsid w:val="00D86572"/>
    <w:rsid w:val="00D90264"/>
    <w:rsid w:val="00D90CF9"/>
    <w:rsid w:val="00D9566F"/>
    <w:rsid w:val="00DA0318"/>
    <w:rsid w:val="00DA1C84"/>
    <w:rsid w:val="00DA1DA4"/>
    <w:rsid w:val="00DA3A0C"/>
    <w:rsid w:val="00DA7D63"/>
    <w:rsid w:val="00DB06A9"/>
    <w:rsid w:val="00DB392A"/>
    <w:rsid w:val="00DB4909"/>
    <w:rsid w:val="00DC3E6A"/>
    <w:rsid w:val="00DC625A"/>
    <w:rsid w:val="00DD08CC"/>
    <w:rsid w:val="00DE09F0"/>
    <w:rsid w:val="00DE4F10"/>
    <w:rsid w:val="00DE5CA9"/>
    <w:rsid w:val="00DE790C"/>
    <w:rsid w:val="00E040C7"/>
    <w:rsid w:val="00E0497B"/>
    <w:rsid w:val="00E117EE"/>
    <w:rsid w:val="00E1651A"/>
    <w:rsid w:val="00E20F26"/>
    <w:rsid w:val="00E24B5E"/>
    <w:rsid w:val="00E35680"/>
    <w:rsid w:val="00E4013B"/>
    <w:rsid w:val="00E40645"/>
    <w:rsid w:val="00E4186A"/>
    <w:rsid w:val="00E44855"/>
    <w:rsid w:val="00E45A6A"/>
    <w:rsid w:val="00E57650"/>
    <w:rsid w:val="00E62D18"/>
    <w:rsid w:val="00E650DD"/>
    <w:rsid w:val="00E705EB"/>
    <w:rsid w:val="00E74171"/>
    <w:rsid w:val="00E76C4C"/>
    <w:rsid w:val="00E817D0"/>
    <w:rsid w:val="00E82C7A"/>
    <w:rsid w:val="00E921EE"/>
    <w:rsid w:val="00EA2CCE"/>
    <w:rsid w:val="00EB250B"/>
    <w:rsid w:val="00EB263E"/>
    <w:rsid w:val="00EC79FD"/>
    <w:rsid w:val="00EC7B6E"/>
    <w:rsid w:val="00ED317D"/>
    <w:rsid w:val="00EE23EE"/>
    <w:rsid w:val="00EF0A8C"/>
    <w:rsid w:val="00EF6094"/>
    <w:rsid w:val="00EF7FBD"/>
    <w:rsid w:val="00F05C4E"/>
    <w:rsid w:val="00F05FF1"/>
    <w:rsid w:val="00F07636"/>
    <w:rsid w:val="00F1143C"/>
    <w:rsid w:val="00F16DB0"/>
    <w:rsid w:val="00F17905"/>
    <w:rsid w:val="00F20E05"/>
    <w:rsid w:val="00F21FB5"/>
    <w:rsid w:val="00F27BA9"/>
    <w:rsid w:val="00F30138"/>
    <w:rsid w:val="00F3018C"/>
    <w:rsid w:val="00F35FA7"/>
    <w:rsid w:val="00F36042"/>
    <w:rsid w:val="00F40E2A"/>
    <w:rsid w:val="00F42F2B"/>
    <w:rsid w:val="00F54D8A"/>
    <w:rsid w:val="00F662F4"/>
    <w:rsid w:val="00F73F44"/>
    <w:rsid w:val="00F74EFD"/>
    <w:rsid w:val="00F84823"/>
    <w:rsid w:val="00FA2B36"/>
    <w:rsid w:val="00FA44D8"/>
    <w:rsid w:val="00FB0225"/>
    <w:rsid w:val="00FB081A"/>
    <w:rsid w:val="00FB1555"/>
    <w:rsid w:val="00FB1C25"/>
    <w:rsid w:val="00FB2986"/>
    <w:rsid w:val="00FB5FE3"/>
    <w:rsid w:val="00FB6DF5"/>
    <w:rsid w:val="00FB777B"/>
    <w:rsid w:val="00FC2BA1"/>
    <w:rsid w:val="00FC3660"/>
    <w:rsid w:val="00FC4698"/>
    <w:rsid w:val="00FC77DE"/>
    <w:rsid w:val="00FD2EEB"/>
    <w:rsid w:val="00FD3327"/>
    <w:rsid w:val="00FD64A8"/>
    <w:rsid w:val="00FD677B"/>
    <w:rsid w:val="00FE1CC7"/>
    <w:rsid w:val="00FE3CEF"/>
    <w:rsid w:val="00FE78F3"/>
    <w:rsid w:val="00FF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20F00"/>
  <w15:docId w15:val="{4A56A12B-9551-410D-B0C2-619131C7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ACD"/>
    <w:rPr>
      <w:rFonts w:eastAsia="Times New Roman"/>
      <w:sz w:val="24"/>
      <w:szCs w:val="24"/>
    </w:rPr>
  </w:style>
  <w:style w:type="paragraph" w:styleId="Heading1">
    <w:name w:val="heading 1"/>
    <w:basedOn w:val="CLAProNormal"/>
    <w:next w:val="Normal"/>
    <w:link w:val="Heading1Char"/>
    <w:uiPriority w:val="9"/>
    <w:rsid w:val="00FB1555"/>
    <w:pPr>
      <w:outlineLvl w:val="0"/>
    </w:pPr>
  </w:style>
  <w:style w:type="paragraph" w:styleId="Heading2">
    <w:name w:val="heading 2"/>
    <w:basedOn w:val="CLAProNormal"/>
    <w:next w:val="Normal"/>
    <w:link w:val="Heading2Char"/>
    <w:uiPriority w:val="9"/>
    <w:unhideWhenUsed/>
    <w:rsid w:val="00FB1555"/>
    <w:pPr>
      <w:outlineLvl w:val="1"/>
    </w:pPr>
  </w:style>
  <w:style w:type="paragraph" w:styleId="Heading3">
    <w:name w:val="heading 3"/>
    <w:basedOn w:val="Normal"/>
    <w:next w:val="Normal"/>
    <w:link w:val="Heading3Char"/>
    <w:uiPriority w:val="9"/>
    <w:unhideWhenUsed/>
    <w:rsid w:val="00022C6A"/>
    <w:pPr>
      <w:keepNext/>
      <w:keepLines/>
      <w:spacing w:before="200"/>
      <w:outlineLvl w:val="2"/>
    </w:pPr>
    <w:rPr>
      <w:rFonts w:ascii="Arial" w:eastAsiaTheme="majorEastAsia" w:hAnsi="Arial" w:cstheme="majorBidi"/>
      <w:b/>
      <w:bCs/>
      <w:color w:val="005595" w:themeColor="accent1"/>
    </w:rPr>
  </w:style>
  <w:style w:type="paragraph" w:styleId="Heading4">
    <w:name w:val="heading 4"/>
    <w:basedOn w:val="Normal"/>
    <w:next w:val="Normal"/>
    <w:link w:val="Heading4Char"/>
    <w:uiPriority w:val="9"/>
    <w:unhideWhenUsed/>
    <w:rsid w:val="00022C6A"/>
    <w:pPr>
      <w:keepNext/>
      <w:keepLines/>
      <w:spacing w:before="200"/>
      <w:outlineLvl w:val="3"/>
    </w:pPr>
    <w:rPr>
      <w:rFonts w:ascii="Arial" w:eastAsiaTheme="majorEastAsia" w:hAnsi="Arial" w:cstheme="majorBidi"/>
      <w:b/>
      <w:bCs/>
      <w:i/>
      <w:iCs/>
      <w:color w:val="005595" w:themeColor="accent1"/>
    </w:rPr>
  </w:style>
  <w:style w:type="paragraph" w:styleId="Heading5">
    <w:name w:val="heading 5"/>
    <w:basedOn w:val="Normal"/>
    <w:next w:val="Normal"/>
    <w:link w:val="Heading5Char"/>
    <w:uiPriority w:val="9"/>
    <w:semiHidden/>
    <w:unhideWhenUsed/>
    <w:rsid w:val="00022C6A"/>
    <w:pPr>
      <w:keepNext/>
      <w:keepLines/>
      <w:spacing w:before="200"/>
      <w:outlineLvl w:val="4"/>
    </w:pPr>
    <w:rPr>
      <w:rFonts w:asciiTheme="majorHAnsi" w:eastAsiaTheme="majorEastAsia" w:hAnsiTheme="majorHAnsi" w:cstheme="majorBidi"/>
      <w:color w:val="002A4A" w:themeColor="accent1" w:themeShade="7F"/>
    </w:rPr>
  </w:style>
  <w:style w:type="paragraph" w:styleId="Heading6">
    <w:name w:val="heading 6"/>
    <w:basedOn w:val="Normal"/>
    <w:next w:val="Normal"/>
    <w:link w:val="Heading6Char"/>
    <w:uiPriority w:val="9"/>
    <w:semiHidden/>
    <w:unhideWhenUsed/>
    <w:rsid w:val="00022C6A"/>
    <w:pPr>
      <w:keepNext/>
      <w:keepLines/>
      <w:spacing w:before="200"/>
      <w:outlineLvl w:val="5"/>
    </w:pPr>
    <w:rPr>
      <w:rFonts w:asciiTheme="majorHAnsi" w:eastAsiaTheme="majorEastAsia" w:hAnsiTheme="majorHAnsi" w:cstheme="majorBidi"/>
      <w:i/>
      <w:iCs/>
      <w:color w:val="002A4A" w:themeColor="accent1" w:themeShade="7F"/>
    </w:rPr>
  </w:style>
  <w:style w:type="paragraph" w:styleId="Heading7">
    <w:name w:val="heading 7"/>
    <w:basedOn w:val="Normal"/>
    <w:next w:val="Normal"/>
    <w:link w:val="Heading7Char"/>
    <w:uiPriority w:val="9"/>
    <w:semiHidden/>
    <w:unhideWhenUsed/>
    <w:rsid w:val="00022C6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022C6A"/>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rsid w:val="00022C6A"/>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C6A"/>
    <w:pPr>
      <w:pBdr>
        <w:bottom w:val="single" w:sz="8" w:space="4" w:color="005595" w:themeColor="accent1"/>
      </w:pBdr>
      <w:spacing w:after="300"/>
      <w:contextualSpacing/>
    </w:pPr>
    <w:rPr>
      <w:rFonts w:ascii="Arial" w:eastAsiaTheme="majorEastAsia" w:hAnsi="Arial" w:cstheme="majorBidi"/>
      <w:color w:val="352F24" w:themeColor="text2" w:themeShade="BF"/>
      <w:spacing w:val="5"/>
      <w:kern w:val="28"/>
      <w:sz w:val="52"/>
      <w:szCs w:val="52"/>
    </w:rPr>
  </w:style>
  <w:style w:type="character" w:customStyle="1" w:styleId="TitleChar">
    <w:name w:val="Title Char"/>
    <w:basedOn w:val="DefaultParagraphFont"/>
    <w:link w:val="Title"/>
    <w:uiPriority w:val="10"/>
    <w:rsid w:val="00022C6A"/>
    <w:rPr>
      <w:rFonts w:ascii="Arial" w:eastAsiaTheme="majorEastAsia" w:hAnsi="Arial" w:cstheme="majorBidi"/>
      <w:color w:val="352F24" w:themeColor="text2" w:themeShade="BF"/>
      <w:spacing w:val="5"/>
      <w:kern w:val="28"/>
      <w:sz w:val="52"/>
      <w:szCs w:val="52"/>
    </w:rPr>
  </w:style>
  <w:style w:type="character" w:customStyle="1" w:styleId="Heading2Char">
    <w:name w:val="Heading 2 Char"/>
    <w:basedOn w:val="DefaultParagraphFont"/>
    <w:link w:val="Heading2"/>
    <w:uiPriority w:val="9"/>
    <w:rsid w:val="00FB1555"/>
    <w:rPr>
      <w:rFonts w:ascii="Calibri" w:eastAsia="Times New Roman" w:hAnsi="Calibri"/>
      <w:sz w:val="22"/>
      <w:szCs w:val="52"/>
    </w:rPr>
  </w:style>
  <w:style w:type="character" w:customStyle="1" w:styleId="Heading3Char">
    <w:name w:val="Heading 3 Char"/>
    <w:basedOn w:val="DefaultParagraphFont"/>
    <w:link w:val="Heading3"/>
    <w:uiPriority w:val="9"/>
    <w:rsid w:val="00022C6A"/>
    <w:rPr>
      <w:rFonts w:ascii="Arial" w:eastAsiaTheme="majorEastAsia" w:hAnsi="Arial" w:cstheme="majorBidi"/>
      <w:b/>
      <w:bCs/>
      <w:color w:val="005595" w:themeColor="accent1"/>
    </w:rPr>
  </w:style>
  <w:style w:type="paragraph" w:styleId="Subtitle">
    <w:name w:val="Subtitle"/>
    <w:basedOn w:val="Normal"/>
    <w:next w:val="Normal"/>
    <w:link w:val="SubtitleChar"/>
    <w:uiPriority w:val="11"/>
    <w:qFormat/>
    <w:rsid w:val="00022C6A"/>
    <w:pPr>
      <w:numPr>
        <w:ilvl w:val="1"/>
      </w:numPr>
    </w:pPr>
    <w:rPr>
      <w:rFonts w:ascii="Arial" w:eastAsiaTheme="majorEastAsia" w:hAnsi="Arial" w:cstheme="majorBidi"/>
      <w:i/>
      <w:iCs/>
      <w:color w:val="005595" w:themeColor="accent1"/>
      <w:spacing w:val="15"/>
    </w:rPr>
  </w:style>
  <w:style w:type="character" w:customStyle="1" w:styleId="SubtitleChar">
    <w:name w:val="Subtitle Char"/>
    <w:basedOn w:val="DefaultParagraphFont"/>
    <w:link w:val="Subtitle"/>
    <w:uiPriority w:val="11"/>
    <w:rsid w:val="00022C6A"/>
    <w:rPr>
      <w:rFonts w:ascii="Arial" w:eastAsiaTheme="majorEastAsia" w:hAnsi="Arial" w:cstheme="majorBidi"/>
      <w:i/>
      <w:iCs/>
      <w:color w:val="005595" w:themeColor="accent1"/>
      <w:spacing w:val="15"/>
      <w:sz w:val="24"/>
      <w:szCs w:val="24"/>
    </w:rPr>
  </w:style>
  <w:style w:type="paragraph" w:styleId="Quote">
    <w:name w:val="Quote"/>
    <w:basedOn w:val="Normal"/>
    <w:next w:val="Normal"/>
    <w:link w:val="QuoteChar"/>
    <w:uiPriority w:val="29"/>
    <w:qFormat/>
    <w:rsid w:val="00022C6A"/>
    <w:rPr>
      <w:rFonts w:ascii="Arial" w:hAnsi="Arial"/>
      <w:i/>
      <w:iCs/>
      <w:color w:val="000000" w:themeColor="text1"/>
    </w:rPr>
  </w:style>
  <w:style w:type="character" w:customStyle="1" w:styleId="QuoteChar">
    <w:name w:val="Quote Char"/>
    <w:basedOn w:val="DefaultParagraphFont"/>
    <w:link w:val="Quote"/>
    <w:uiPriority w:val="29"/>
    <w:rsid w:val="00022C6A"/>
    <w:rPr>
      <w:rFonts w:ascii="Arial" w:hAnsi="Arial"/>
      <w:i/>
      <w:iCs/>
      <w:color w:val="000000" w:themeColor="text1"/>
    </w:rPr>
  </w:style>
  <w:style w:type="paragraph" w:styleId="IntenseQuote">
    <w:name w:val="Intense Quote"/>
    <w:basedOn w:val="Normal"/>
    <w:next w:val="Normal"/>
    <w:link w:val="IntenseQuoteChar"/>
    <w:uiPriority w:val="30"/>
    <w:qFormat/>
    <w:rsid w:val="00022C6A"/>
    <w:pPr>
      <w:pBdr>
        <w:bottom w:val="single" w:sz="4" w:space="4" w:color="005595" w:themeColor="accent1"/>
      </w:pBdr>
      <w:spacing w:before="200" w:after="280"/>
      <w:ind w:left="936" w:right="936"/>
    </w:pPr>
    <w:rPr>
      <w:rFonts w:ascii="Arial" w:hAnsi="Arial"/>
      <w:b/>
      <w:bCs/>
      <w:i/>
      <w:iCs/>
      <w:color w:val="005595" w:themeColor="accent1"/>
    </w:rPr>
  </w:style>
  <w:style w:type="character" w:customStyle="1" w:styleId="IntenseQuoteChar">
    <w:name w:val="Intense Quote Char"/>
    <w:basedOn w:val="DefaultParagraphFont"/>
    <w:link w:val="IntenseQuote"/>
    <w:uiPriority w:val="30"/>
    <w:rsid w:val="00022C6A"/>
    <w:rPr>
      <w:rFonts w:ascii="Arial" w:hAnsi="Arial"/>
      <w:b/>
      <w:bCs/>
      <w:i/>
      <w:iCs/>
      <w:color w:val="005595" w:themeColor="accent1"/>
    </w:rPr>
  </w:style>
  <w:style w:type="character" w:customStyle="1" w:styleId="Heading1Char">
    <w:name w:val="Heading 1 Char"/>
    <w:basedOn w:val="DefaultParagraphFont"/>
    <w:link w:val="Heading1"/>
    <w:uiPriority w:val="9"/>
    <w:rsid w:val="00FB1555"/>
    <w:rPr>
      <w:rFonts w:ascii="Calibri" w:eastAsia="Times New Roman" w:hAnsi="Calibri"/>
      <w:sz w:val="22"/>
      <w:szCs w:val="52"/>
    </w:rPr>
  </w:style>
  <w:style w:type="character" w:customStyle="1" w:styleId="Heading4Char">
    <w:name w:val="Heading 4 Char"/>
    <w:basedOn w:val="DefaultParagraphFont"/>
    <w:link w:val="Heading4"/>
    <w:uiPriority w:val="9"/>
    <w:rsid w:val="00022C6A"/>
    <w:rPr>
      <w:rFonts w:ascii="Arial" w:eastAsiaTheme="majorEastAsia" w:hAnsi="Arial" w:cstheme="majorBidi"/>
      <w:b/>
      <w:bCs/>
      <w:i/>
      <w:iCs/>
      <w:color w:val="005595" w:themeColor="accent1"/>
    </w:rPr>
  </w:style>
  <w:style w:type="character" w:customStyle="1" w:styleId="Heading5Char">
    <w:name w:val="Heading 5 Char"/>
    <w:basedOn w:val="DefaultParagraphFont"/>
    <w:link w:val="Heading5"/>
    <w:uiPriority w:val="9"/>
    <w:semiHidden/>
    <w:rsid w:val="00022C6A"/>
    <w:rPr>
      <w:rFonts w:asciiTheme="majorHAnsi" w:eastAsiaTheme="majorEastAsia" w:hAnsiTheme="majorHAnsi" w:cstheme="majorBidi"/>
      <w:color w:val="002A4A" w:themeColor="accent1" w:themeShade="7F"/>
    </w:rPr>
  </w:style>
  <w:style w:type="paragraph" w:styleId="NoSpacing">
    <w:name w:val="No Spacing"/>
    <w:uiPriority w:val="1"/>
    <w:qFormat/>
    <w:rsid w:val="00022C6A"/>
  </w:style>
  <w:style w:type="paragraph" w:styleId="BalloonText">
    <w:name w:val="Balloon Text"/>
    <w:basedOn w:val="Normal"/>
    <w:link w:val="BalloonTextChar"/>
    <w:uiPriority w:val="99"/>
    <w:semiHidden/>
    <w:unhideWhenUsed/>
    <w:rsid w:val="00CD34E7"/>
    <w:rPr>
      <w:rFonts w:ascii="Tahoma" w:hAnsi="Tahoma" w:cs="Tahoma"/>
      <w:sz w:val="16"/>
      <w:szCs w:val="16"/>
    </w:rPr>
  </w:style>
  <w:style w:type="character" w:customStyle="1" w:styleId="BalloonTextChar">
    <w:name w:val="Balloon Text Char"/>
    <w:basedOn w:val="DefaultParagraphFont"/>
    <w:link w:val="BalloonText"/>
    <w:uiPriority w:val="99"/>
    <w:semiHidden/>
    <w:rsid w:val="00CD34E7"/>
    <w:rPr>
      <w:rFonts w:ascii="Tahoma" w:hAnsi="Tahoma" w:cs="Tahoma"/>
      <w:sz w:val="16"/>
      <w:szCs w:val="16"/>
    </w:rPr>
  </w:style>
  <w:style w:type="character" w:customStyle="1" w:styleId="Heading6Char">
    <w:name w:val="Heading 6 Char"/>
    <w:basedOn w:val="DefaultParagraphFont"/>
    <w:link w:val="Heading6"/>
    <w:uiPriority w:val="9"/>
    <w:semiHidden/>
    <w:rsid w:val="00022C6A"/>
    <w:rPr>
      <w:rFonts w:asciiTheme="majorHAnsi" w:eastAsiaTheme="majorEastAsia" w:hAnsiTheme="majorHAnsi" w:cstheme="majorBidi"/>
      <w:i/>
      <w:iCs/>
      <w:color w:val="002A4A" w:themeColor="accent1" w:themeShade="7F"/>
    </w:rPr>
  </w:style>
  <w:style w:type="character" w:customStyle="1" w:styleId="Heading7Char">
    <w:name w:val="Heading 7 Char"/>
    <w:basedOn w:val="DefaultParagraphFont"/>
    <w:link w:val="Heading7"/>
    <w:uiPriority w:val="9"/>
    <w:semiHidden/>
    <w:rsid w:val="00022C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22C6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22C6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22C6A"/>
    <w:rPr>
      <w:b/>
      <w:bCs/>
      <w:color w:val="005595" w:themeColor="accent1"/>
      <w:sz w:val="18"/>
      <w:szCs w:val="18"/>
    </w:rPr>
  </w:style>
  <w:style w:type="character" w:styleId="Strong">
    <w:name w:val="Strong"/>
    <w:uiPriority w:val="22"/>
    <w:qFormat/>
    <w:rsid w:val="00022C6A"/>
    <w:rPr>
      <w:b/>
      <w:bCs/>
    </w:rPr>
  </w:style>
  <w:style w:type="character" w:styleId="Emphasis">
    <w:name w:val="Emphasis"/>
    <w:uiPriority w:val="20"/>
    <w:qFormat/>
    <w:rsid w:val="00022C6A"/>
    <w:rPr>
      <w:i/>
      <w:iCs/>
    </w:rPr>
  </w:style>
  <w:style w:type="paragraph" w:styleId="ListParagraph">
    <w:name w:val="List Paragraph"/>
    <w:basedOn w:val="Normal"/>
    <w:uiPriority w:val="34"/>
    <w:qFormat/>
    <w:rsid w:val="00022C6A"/>
    <w:pPr>
      <w:ind w:left="720"/>
      <w:contextualSpacing/>
    </w:pPr>
  </w:style>
  <w:style w:type="character" w:styleId="SubtleEmphasis">
    <w:name w:val="Subtle Emphasis"/>
    <w:uiPriority w:val="19"/>
    <w:qFormat/>
    <w:rsid w:val="00022C6A"/>
    <w:rPr>
      <w:i/>
      <w:iCs/>
      <w:color w:val="808080" w:themeColor="text1" w:themeTint="7F"/>
    </w:rPr>
  </w:style>
  <w:style w:type="character" w:styleId="IntenseEmphasis">
    <w:name w:val="Intense Emphasis"/>
    <w:uiPriority w:val="21"/>
    <w:qFormat/>
    <w:rsid w:val="00022C6A"/>
    <w:rPr>
      <w:b/>
      <w:bCs/>
      <w:i/>
      <w:iCs/>
      <w:color w:val="005595" w:themeColor="accent1"/>
    </w:rPr>
  </w:style>
  <w:style w:type="character" w:styleId="SubtleReference">
    <w:name w:val="Subtle Reference"/>
    <w:uiPriority w:val="31"/>
    <w:qFormat/>
    <w:rsid w:val="00022C6A"/>
    <w:rPr>
      <w:smallCaps/>
      <w:color w:val="F7EDC2" w:themeColor="accent2"/>
      <w:u w:val="single"/>
    </w:rPr>
  </w:style>
  <w:style w:type="character" w:styleId="IntenseReference">
    <w:name w:val="Intense Reference"/>
    <w:uiPriority w:val="32"/>
    <w:qFormat/>
    <w:rsid w:val="00022C6A"/>
    <w:rPr>
      <w:b/>
      <w:bCs/>
      <w:smallCaps/>
      <w:color w:val="F7EDC2" w:themeColor="accent2"/>
      <w:spacing w:val="5"/>
      <w:u w:val="single"/>
    </w:rPr>
  </w:style>
  <w:style w:type="character" w:styleId="BookTitle">
    <w:name w:val="Book Title"/>
    <w:uiPriority w:val="33"/>
    <w:qFormat/>
    <w:rsid w:val="00022C6A"/>
    <w:rPr>
      <w:b/>
      <w:bCs/>
      <w:smallCaps/>
      <w:spacing w:val="5"/>
    </w:rPr>
  </w:style>
  <w:style w:type="paragraph" w:styleId="TOCHeading">
    <w:name w:val="TOC Heading"/>
    <w:basedOn w:val="Heading1"/>
    <w:next w:val="Normal"/>
    <w:uiPriority w:val="39"/>
    <w:unhideWhenUsed/>
    <w:qFormat/>
    <w:rsid w:val="00022C6A"/>
    <w:pPr>
      <w:outlineLvl w:val="9"/>
    </w:pPr>
    <w:rPr>
      <w:rFonts w:asciiTheme="majorHAnsi" w:hAnsiTheme="majorHAnsi"/>
    </w:rPr>
  </w:style>
  <w:style w:type="paragraph" w:customStyle="1" w:styleId="CLAphoneandweb">
    <w:name w:val="CLA phone and web"/>
    <w:qFormat/>
    <w:rsid w:val="00CF2ACD"/>
    <w:pPr>
      <w:spacing w:before="60"/>
    </w:pPr>
    <w:rPr>
      <w:rFonts w:ascii="Arial Narrow" w:eastAsia="Times New Roman" w:hAnsi="Arial Narrow" w:cs="Arial"/>
      <w:color w:val="003767"/>
      <w:sz w:val="18"/>
      <w:szCs w:val="18"/>
    </w:rPr>
  </w:style>
  <w:style w:type="paragraph" w:customStyle="1" w:styleId="CLALTRNormal">
    <w:name w:val="CLA LTR Normal"/>
    <w:link w:val="CLALTRNormalChar"/>
    <w:qFormat/>
    <w:rsid w:val="00D56892"/>
    <w:pPr>
      <w:spacing w:after="240"/>
    </w:pPr>
    <w:rPr>
      <w:rFonts w:ascii="Calibri" w:eastAsia="Times" w:hAnsi="Calibri"/>
      <w:sz w:val="22"/>
    </w:rPr>
  </w:style>
  <w:style w:type="character" w:customStyle="1" w:styleId="CLALTRNormalChar">
    <w:name w:val="CLA LTR Normal Char"/>
    <w:basedOn w:val="DefaultParagraphFont"/>
    <w:link w:val="CLALTRNormal"/>
    <w:rsid w:val="00D56892"/>
    <w:rPr>
      <w:rFonts w:ascii="Calibri" w:eastAsia="Times" w:hAnsi="Calibri"/>
      <w:sz w:val="22"/>
    </w:rPr>
  </w:style>
  <w:style w:type="paragraph" w:customStyle="1" w:styleId="CLALTRAddressorSignature">
    <w:name w:val="CLA LTR Address or Signature"/>
    <w:basedOn w:val="CLALTRNormal"/>
    <w:next w:val="CLALTRNormal"/>
    <w:rsid w:val="00D56892"/>
    <w:pPr>
      <w:spacing w:after="0"/>
    </w:pPr>
  </w:style>
  <w:style w:type="paragraph" w:customStyle="1" w:styleId="CLALTRHeaderorFooter">
    <w:name w:val="CLA LTR Header or Footer"/>
    <w:basedOn w:val="CLALTRNormal"/>
    <w:qFormat/>
    <w:rsid w:val="00D56892"/>
    <w:pPr>
      <w:spacing w:after="0"/>
    </w:pPr>
    <w:rPr>
      <w:rFonts w:cstheme="minorHAnsi"/>
      <w:color w:val="808080"/>
      <w:sz w:val="18"/>
      <w:szCs w:val="22"/>
    </w:rPr>
  </w:style>
  <w:style w:type="paragraph" w:customStyle="1" w:styleId="CLALTRHeading1">
    <w:name w:val="CLA LTR Heading 1"/>
    <w:basedOn w:val="CLALTRNormal"/>
    <w:qFormat/>
    <w:rsid w:val="00D56892"/>
    <w:pPr>
      <w:spacing w:after="60"/>
    </w:pPr>
    <w:rPr>
      <w:b/>
    </w:rPr>
  </w:style>
  <w:style w:type="paragraph" w:customStyle="1" w:styleId="CLALTRHeading2">
    <w:name w:val="CLA LTR Heading 2"/>
    <w:basedOn w:val="CLALTRHeading1"/>
    <w:next w:val="CLALTRNormal"/>
    <w:qFormat/>
    <w:rsid w:val="00D56892"/>
    <w:rPr>
      <w:i/>
    </w:rPr>
  </w:style>
  <w:style w:type="paragraph" w:customStyle="1" w:styleId="CLALTRHeading3">
    <w:name w:val="CLA LTR Heading 3"/>
    <w:basedOn w:val="CLALTRNormal"/>
    <w:next w:val="CLALTRNormal"/>
    <w:qFormat/>
    <w:rsid w:val="00D56892"/>
    <w:pPr>
      <w:spacing w:after="60"/>
      <w:ind w:left="720"/>
    </w:pPr>
    <w:rPr>
      <w:b/>
    </w:rPr>
  </w:style>
  <w:style w:type="paragraph" w:customStyle="1" w:styleId="CLALTRHeading4">
    <w:name w:val="CLA LTR Heading 4"/>
    <w:basedOn w:val="CLALTRNormal"/>
    <w:next w:val="CLALTRNormal"/>
    <w:qFormat/>
    <w:rsid w:val="00D56892"/>
    <w:pPr>
      <w:spacing w:after="60"/>
      <w:ind w:left="720"/>
    </w:pPr>
    <w:rPr>
      <w:b/>
      <w:i/>
    </w:rPr>
  </w:style>
  <w:style w:type="paragraph" w:customStyle="1" w:styleId="CLALTRNormalIndent">
    <w:name w:val="CLA LTR Normal Indent"/>
    <w:basedOn w:val="CLALTRNormal"/>
    <w:next w:val="CLALTRNormal"/>
    <w:qFormat/>
    <w:rsid w:val="00D56892"/>
    <w:pPr>
      <w:ind w:left="720"/>
    </w:pPr>
  </w:style>
  <w:style w:type="paragraph" w:customStyle="1" w:styleId="CLALTRCircular230">
    <w:name w:val="CLA LTR Circular 230"/>
    <w:basedOn w:val="CLALTRNormal"/>
    <w:next w:val="CLALTRNormal"/>
    <w:qFormat/>
    <w:rsid w:val="00D56892"/>
    <w:rPr>
      <w:color w:val="7F7F7F" w:themeColor="text1" w:themeTint="80"/>
    </w:rPr>
  </w:style>
  <w:style w:type="paragraph" w:customStyle="1" w:styleId="CLALTRDate">
    <w:name w:val="CLA LTR Date"/>
    <w:basedOn w:val="CLALTRNormal"/>
    <w:next w:val="CLALTRAddressorSignature"/>
    <w:qFormat/>
    <w:rsid w:val="00D56892"/>
    <w:pPr>
      <w:spacing w:before="480"/>
    </w:pPr>
  </w:style>
  <w:style w:type="paragraph" w:customStyle="1" w:styleId="CLALTRSignLine">
    <w:name w:val="CLA LTR Sign Line"/>
    <w:basedOn w:val="CLALTRNormal"/>
    <w:next w:val="CLALTRNormal"/>
    <w:qFormat/>
    <w:rsid w:val="00D56892"/>
    <w:rPr>
      <w:rFonts w:cstheme="minorHAnsi"/>
      <w:b/>
    </w:rPr>
  </w:style>
  <w:style w:type="paragraph" w:customStyle="1" w:styleId="CLALTRHiddenText">
    <w:name w:val="CLA LTR Hidden Text"/>
    <w:basedOn w:val="CLALTRNormal"/>
    <w:next w:val="CLALTRNormal"/>
    <w:link w:val="CLALTRHiddenTextChar"/>
    <w:qFormat/>
    <w:rsid w:val="00D56892"/>
    <w:rPr>
      <w:b/>
      <w:i/>
      <w:vanish/>
      <w:color w:val="FF0000"/>
    </w:rPr>
  </w:style>
  <w:style w:type="paragraph" w:styleId="Header">
    <w:name w:val="header"/>
    <w:basedOn w:val="Normal"/>
    <w:link w:val="HeaderChar"/>
    <w:uiPriority w:val="99"/>
    <w:unhideWhenUsed/>
    <w:rsid w:val="0088412E"/>
    <w:pPr>
      <w:tabs>
        <w:tab w:val="center" w:pos="4680"/>
        <w:tab w:val="right" w:pos="9360"/>
      </w:tabs>
    </w:pPr>
  </w:style>
  <w:style w:type="character" w:customStyle="1" w:styleId="HeaderChar">
    <w:name w:val="Header Char"/>
    <w:basedOn w:val="DefaultParagraphFont"/>
    <w:link w:val="Header"/>
    <w:uiPriority w:val="99"/>
    <w:rsid w:val="0088412E"/>
    <w:rPr>
      <w:rFonts w:eastAsia="Times New Roman"/>
      <w:sz w:val="24"/>
      <w:szCs w:val="24"/>
    </w:rPr>
  </w:style>
  <w:style w:type="paragraph" w:styleId="Footer">
    <w:name w:val="footer"/>
    <w:basedOn w:val="Normal"/>
    <w:link w:val="FooterChar"/>
    <w:uiPriority w:val="99"/>
    <w:unhideWhenUsed/>
    <w:rsid w:val="0088412E"/>
    <w:pPr>
      <w:tabs>
        <w:tab w:val="center" w:pos="4680"/>
        <w:tab w:val="right" w:pos="9360"/>
      </w:tabs>
    </w:pPr>
  </w:style>
  <w:style w:type="character" w:customStyle="1" w:styleId="FooterChar">
    <w:name w:val="Footer Char"/>
    <w:basedOn w:val="DefaultParagraphFont"/>
    <w:link w:val="Footer"/>
    <w:uiPriority w:val="99"/>
    <w:rsid w:val="0088412E"/>
    <w:rPr>
      <w:rFonts w:eastAsia="Times New Roman"/>
      <w:sz w:val="24"/>
      <w:szCs w:val="24"/>
    </w:rPr>
  </w:style>
  <w:style w:type="paragraph" w:customStyle="1" w:styleId="CLAaddress">
    <w:name w:val="CLA address"/>
    <w:qFormat/>
    <w:rsid w:val="0088412E"/>
    <w:rPr>
      <w:rFonts w:ascii="Arial Narrow" w:eastAsia="Times New Roman" w:hAnsi="Arial Narrow" w:cs="Arial"/>
      <w:color w:val="003767"/>
      <w:sz w:val="18"/>
      <w:szCs w:val="18"/>
    </w:rPr>
  </w:style>
  <w:style w:type="paragraph" w:customStyle="1" w:styleId="CLAProNormal">
    <w:name w:val="CLA Pro Normal"/>
    <w:link w:val="CLAProNormalChar"/>
    <w:qFormat/>
    <w:rsid w:val="001E73B8"/>
    <w:pPr>
      <w:spacing w:after="240"/>
    </w:pPr>
    <w:rPr>
      <w:rFonts w:ascii="Calibri" w:eastAsia="Times New Roman" w:hAnsi="Calibri"/>
      <w:sz w:val="22"/>
      <w:szCs w:val="52"/>
    </w:rPr>
  </w:style>
  <w:style w:type="paragraph" w:customStyle="1" w:styleId="CLAProTitle">
    <w:name w:val="CLA Pro Title"/>
    <w:next w:val="CLAProNormal"/>
    <w:qFormat/>
    <w:rsid w:val="008348FE"/>
    <w:pPr>
      <w:pBdr>
        <w:left w:val="single" w:sz="12" w:space="16" w:color="003767"/>
      </w:pBdr>
      <w:spacing w:after="60"/>
      <w:ind w:left="4140"/>
    </w:pPr>
    <w:rPr>
      <w:rFonts w:ascii="Calibri" w:eastAsia="Times New Roman" w:hAnsi="Calibri"/>
      <w:b/>
      <w:color w:val="003767"/>
      <w:sz w:val="52"/>
      <w:szCs w:val="52"/>
    </w:rPr>
  </w:style>
  <w:style w:type="paragraph" w:customStyle="1" w:styleId="CLAProSubtitle">
    <w:name w:val="CLA Pro Subtitle"/>
    <w:next w:val="CLAProTitle"/>
    <w:qFormat/>
    <w:rsid w:val="00473C08"/>
    <w:pPr>
      <w:pBdr>
        <w:left w:val="single" w:sz="12" w:space="16" w:color="003767"/>
      </w:pBdr>
      <w:spacing w:after="120"/>
      <w:ind w:left="4140"/>
    </w:pPr>
    <w:rPr>
      <w:rFonts w:ascii="Calibri" w:eastAsia="Times New Roman" w:hAnsi="Calibri"/>
      <w:b/>
      <w:color w:val="000000" w:themeColor="text1"/>
      <w:sz w:val="28"/>
      <w:szCs w:val="28"/>
    </w:rPr>
  </w:style>
  <w:style w:type="paragraph" w:customStyle="1" w:styleId="CLAProNormalNoSpaceAfter">
    <w:name w:val="CLA Pro Normal No Space After"/>
    <w:next w:val="CLAProNormal"/>
    <w:qFormat/>
    <w:rsid w:val="00962B68"/>
    <w:rPr>
      <w:rFonts w:ascii="Calibri" w:eastAsia="Times New Roman" w:hAnsi="Calibri"/>
      <w:sz w:val="22"/>
      <w:szCs w:val="52"/>
    </w:rPr>
  </w:style>
  <w:style w:type="paragraph" w:customStyle="1" w:styleId="CLAProSectionTitle">
    <w:name w:val="CLA Pro Section Title"/>
    <w:next w:val="CLAProNormal"/>
    <w:qFormat/>
    <w:rsid w:val="001E220F"/>
    <w:pPr>
      <w:keepNext/>
      <w:pageBreakBefore/>
      <w:spacing w:after="240"/>
      <w:outlineLvl w:val="0"/>
    </w:pPr>
    <w:rPr>
      <w:rFonts w:ascii="Calibri" w:eastAsia="Times New Roman" w:hAnsi="Calibri"/>
      <w:b/>
      <w:caps/>
      <w:color w:val="660003"/>
      <w:sz w:val="36"/>
      <w:szCs w:val="36"/>
    </w:rPr>
  </w:style>
  <w:style w:type="character" w:styleId="Hyperlink">
    <w:name w:val="Hyperlink"/>
    <w:basedOn w:val="DefaultParagraphFont"/>
    <w:uiPriority w:val="99"/>
    <w:unhideWhenUsed/>
    <w:rsid w:val="00343A94"/>
    <w:rPr>
      <w:color w:val="B55341" w:themeColor="hyperlink"/>
      <w:u w:val="single"/>
    </w:rPr>
  </w:style>
  <w:style w:type="paragraph" w:styleId="TOC1">
    <w:name w:val="toc 1"/>
    <w:basedOn w:val="Normal"/>
    <w:next w:val="Normal"/>
    <w:autoRedefine/>
    <w:uiPriority w:val="39"/>
    <w:unhideWhenUsed/>
    <w:rsid w:val="001E220F"/>
    <w:pPr>
      <w:tabs>
        <w:tab w:val="right" w:leader="underscore" w:pos="10070"/>
      </w:tabs>
      <w:spacing w:after="100"/>
    </w:pPr>
    <w:rPr>
      <w:rFonts w:ascii="Calibri" w:hAnsi="Calibri"/>
      <w:b/>
      <w:color w:val="A04D1D"/>
    </w:rPr>
  </w:style>
  <w:style w:type="paragraph" w:styleId="TOC2">
    <w:name w:val="toc 2"/>
    <w:basedOn w:val="Normal"/>
    <w:next w:val="Normal"/>
    <w:autoRedefine/>
    <w:uiPriority w:val="39"/>
    <w:unhideWhenUsed/>
    <w:rsid w:val="003A1095"/>
    <w:pPr>
      <w:tabs>
        <w:tab w:val="right" w:leader="underscore" w:pos="10070"/>
      </w:tabs>
      <w:spacing w:after="100"/>
      <w:ind w:left="240"/>
    </w:pPr>
    <w:rPr>
      <w:rFonts w:ascii="Calibri" w:hAnsi="Calibri"/>
    </w:rPr>
  </w:style>
  <w:style w:type="paragraph" w:styleId="TOC3">
    <w:name w:val="toc 3"/>
    <w:basedOn w:val="Normal"/>
    <w:next w:val="Normal"/>
    <w:autoRedefine/>
    <w:uiPriority w:val="39"/>
    <w:unhideWhenUsed/>
    <w:rsid w:val="00343A94"/>
    <w:pPr>
      <w:spacing w:after="100"/>
      <w:ind w:left="480"/>
    </w:pPr>
    <w:rPr>
      <w:rFonts w:ascii="Calibri" w:hAnsi="Calibri"/>
    </w:rPr>
  </w:style>
  <w:style w:type="paragraph" w:styleId="TOC4">
    <w:name w:val="toc 4"/>
    <w:basedOn w:val="Normal"/>
    <w:next w:val="Normal"/>
    <w:autoRedefine/>
    <w:uiPriority w:val="39"/>
    <w:semiHidden/>
    <w:unhideWhenUsed/>
    <w:rsid w:val="00343A94"/>
    <w:pPr>
      <w:spacing w:after="100"/>
      <w:ind w:left="720"/>
    </w:pPr>
    <w:rPr>
      <w:rFonts w:ascii="Calibri" w:hAnsi="Calibri"/>
    </w:rPr>
  </w:style>
  <w:style w:type="paragraph" w:styleId="TOC5">
    <w:name w:val="toc 5"/>
    <w:basedOn w:val="Normal"/>
    <w:next w:val="Normal"/>
    <w:autoRedefine/>
    <w:uiPriority w:val="39"/>
    <w:semiHidden/>
    <w:unhideWhenUsed/>
    <w:rsid w:val="00343A94"/>
    <w:pPr>
      <w:spacing w:after="100"/>
      <w:ind w:left="960"/>
    </w:pPr>
    <w:rPr>
      <w:rFonts w:ascii="Calibri" w:hAnsi="Calibri"/>
    </w:rPr>
  </w:style>
  <w:style w:type="paragraph" w:customStyle="1" w:styleId="CLAProTOC">
    <w:name w:val="CLA Pro TOC"/>
    <w:next w:val="CLAProNormal"/>
    <w:qFormat/>
    <w:rsid w:val="00CF2370"/>
    <w:pPr>
      <w:pBdr>
        <w:top w:val="single" w:sz="18" w:space="3" w:color="003767"/>
      </w:pBdr>
      <w:spacing w:after="240"/>
    </w:pPr>
    <w:rPr>
      <w:rFonts w:ascii="Calibri" w:eastAsia="Times New Roman" w:hAnsi="Calibri"/>
      <w:b/>
      <w:caps/>
      <w:color w:val="003767"/>
      <w:sz w:val="36"/>
      <w:szCs w:val="36"/>
    </w:rPr>
  </w:style>
  <w:style w:type="paragraph" w:customStyle="1" w:styleId="CLAProHeading1">
    <w:name w:val="CLA Pro Heading 1"/>
    <w:next w:val="CLAProNormal"/>
    <w:autoRedefine/>
    <w:qFormat/>
    <w:rsid w:val="001E220F"/>
    <w:pPr>
      <w:keepNext/>
      <w:spacing w:after="60"/>
      <w:outlineLvl w:val="1"/>
    </w:pPr>
    <w:rPr>
      <w:rFonts w:ascii="Calibri" w:eastAsia="Times New Roman" w:hAnsi="Calibri"/>
      <w:b/>
      <w:color w:val="A04D1D"/>
      <w:sz w:val="28"/>
      <w:szCs w:val="22"/>
    </w:rPr>
  </w:style>
  <w:style w:type="paragraph" w:customStyle="1" w:styleId="ProposalBodyStyle-2column">
    <w:name w:val="Proposal Body Style - 2 column"/>
    <w:basedOn w:val="Normal"/>
    <w:link w:val="ProposalBodyStyle-2columnChar"/>
    <w:rsid w:val="00CF2370"/>
    <w:pPr>
      <w:tabs>
        <w:tab w:val="left" w:pos="5400"/>
      </w:tabs>
      <w:spacing w:line="300" w:lineRule="exact"/>
    </w:pPr>
    <w:rPr>
      <w:rFonts w:asciiTheme="minorHAnsi" w:hAnsiTheme="minorHAnsi"/>
      <w:sz w:val="22"/>
    </w:rPr>
  </w:style>
  <w:style w:type="character" w:customStyle="1" w:styleId="ProposalBodyStyle-2columnChar">
    <w:name w:val="Proposal Body Style - 2 column Char"/>
    <w:basedOn w:val="DefaultParagraphFont"/>
    <w:link w:val="ProposalBodyStyle-2column"/>
    <w:rsid w:val="00CF2370"/>
    <w:rPr>
      <w:rFonts w:asciiTheme="minorHAnsi" w:eastAsia="Times New Roman" w:hAnsiTheme="minorHAnsi"/>
      <w:sz w:val="22"/>
      <w:szCs w:val="24"/>
    </w:rPr>
  </w:style>
  <w:style w:type="table" w:styleId="TableGrid">
    <w:name w:val="Table Grid"/>
    <w:basedOn w:val="TableNormal"/>
    <w:rsid w:val="00CF237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ProHeading2">
    <w:name w:val="CLA Pro Heading 2"/>
    <w:next w:val="CLAProNormal"/>
    <w:qFormat/>
    <w:rsid w:val="004F4D80"/>
    <w:pPr>
      <w:keepNext/>
      <w:spacing w:after="60"/>
    </w:pPr>
    <w:rPr>
      <w:rFonts w:ascii="Calibri" w:eastAsia="Times New Roman" w:hAnsi="Calibri"/>
      <w:b/>
      <w:i/>
      <w:color w:val="003767"/>
      <w:sz w:val="22"/>
      <w:szCs w:val="22"/>
    </w:rPr>
  </w:style>
  <w:style w:type="paragraph" w:customStyle="1" w:styleId="CLAProHeading3">
    <w:name w:val="CLA Pro Heading 3"/>
    <w:next w:val="CLAProNormal"/>
    <w:qFormat/>
    <w:rsid w:val="00730F7E"/>
    <w:pPr>
      <w:keepNext/>
      <w:ind w:left="720"/>
    </w:pPr>
    <w:rPr>
      <w:rFonts w:ascii="Calibri" w:eastAsia="Times New Roman" w:hAnsi="Calibri"/>
      <w:b/>
      <w:color w:val="003767"/>
      <w:sz w:val="22"/>
      <w:szCs w:val="24"/>
    </w:rPr>
  </w:style>
  <w:style w:type="paragraph" w:customStyle="1" w:styleId="CLAProNormalIndent">
    <w:name w:val="CLA Pro Normal Indent"/>
    <w:qFormat/>
    <w:rsid w:val="00BC5654"/>
    <w:pPr>
      <w:spacing w:after="240"/>
      <w:ind w:left="720"/>
    </w:pPr>
    <w:rPr>
      <w:rFonts w:ascii="Calibri" w:eastAsia="Times New Roman" w:hAnsi="Calibri"/>
      <w:sz w:val="22"/>
      <w:szCs w:val="52"/>
    </w:rPr>
  </w:style>
  <w:style w:type="paragraph" w:customStyle="1" w:styleId="CLAProHeading4">
    <w:name w:val="CLA Pro Heading 4"/>
    <w:next w:val="CLALTRNormalIndent"/>
    <w:qFormat/>
    <w:rsid w:val="00730F7E"/>
    <w:pPr>
      <w:keepNext/>
      <w:spacing w:after="60"/>
      <w:ind w:left="720"/>
    </w:pPr>
    <w:rPr>
      <w:rFonts w:ascii="Calibri" w:eastAsia="Times New Roman" w:hAnsi="Calibri"/>
      <w:b/>
      <w:i/>
      <w:color w:val="003767"/>
      <w:sz w:val="22"/>
      <w:szCs w:val="22"/>
    </w:rPr>
  </w:style>
  <w:style w:type="table" w:customStyle="1" w:styleId="CLAProTable">
    <w:name w:val="CLA Pro Table"/>
    <w:basedOn w:val="TableNormal"/>
    <w:uiPriority w:val="99"/>
    <w:qFormat/>
    <w:rsid w:val="00E76C4C"/>
    <w:rPr>
      <w:rFonts w:ascii="Calibri" w:hAnsi="Calibri"/>
    </w:rPr>
    <w:tblPr>
      <w:tblStyleRowBandSize w:val="1"/>
      <w:tblBorders>
        <w:insideH w:val="single" w:sz="2" w:space="0" w:color="FFFFFF" w:themeColor="background1"/>
        <w:insideV w:val="single" w:sz="2" w:space="0" w:color="FFFFFF" w:themeColor="background1"/>
      </w:tblBorders>
      <w:tblCellMar>
        <w:top w:w="72" w:type="dxa"/>
        <w:left w:w="173" w:type="dxa"/>
        <w:bottom w:w="72" w:type="dxa"/>
        <w:right w:w="173" w:type="dxa"/>
      </w:tblCellMar>
    </w:tblPr>
    <w:tblStylePr w:type="firstRow">
      <w:pPr>
        <w:jc w:val="left"/>
      </w:pPr>
      <w:rPr>
        <w:rFonts w:ascii="Calibri" w:hAnsi="Calibri"/>
        <w:b/>
        <w:color w:val="FFFFFF" w:themeColor="background1"/>
      </w:rPr>
      <w:tblPr/>
      <w:tcPr>
        <w:shd w:val="clear" w:color="auto" w:fill="4F3353"/>
      </w:tcPr>
    </w:tblStylePr>
    <w:tblStylePr w:type="band1Horz">
      <w:rPr>
        <w:rFonts w:ascii="Calibri" w:hAnsi="Calibri"/>
        <w:sz w:val="20"/>
      </w:rPr>
      <w:tblPr/>
      <w:tcPr>
        <w:shd w:val="clear" w:color="auto" w:fill="F1E3C5"/>
      </w:tcPr>
    </w:tblStylePr>
    <w:tblStylePr w:type="band2Horz">
      <w:pPr>
        <w:jc w:val="left"/>
      </w:pPr>
      <w:rPr>
        <w:rFonts w:ascii="Calibri" w:hAnsi="Calibri"/>
        <w:sz w:val="20"/>
      </w:rPr>
      <w:tblPr/>
      <w:tcPr>
        <w:shd w:val="clear" w:color="auto" w:fill="F9F4E8"/>
      </w:tcPr>
    </w:tblStylePr>
  </w:style>
  <w:style w:type="table" w:customStyle="1" w:styleId="LightShading-Accent11">
    <w:name w:val="Light Shading - Accent 11"/>
    <w:basedOn w:val="TableNormal"/>
    <w:uiPriority w:val="60"/>
    <w:rsid w:val="0081738A"/>
    <w:rPr>
      <w:color w:val="003F6F" w:themeColor="accent1" w:themeShade="BF"/>
    </w:rPr>
    <w:tblPr>
      <w:tblStyleRowBandSize w:val="1"/>
      <w:tblStyleColBandSize w:val="1"/>
      <w:tblBorders>
        <w:top w:val="single" w:sz="8" w:space="0" w:color="005595" w:themeColor="accent1"/>
        <w:bottom w:val="single" w:sz="8" w:space="0" w:color="005595" w:themeColor="accent1"/>
      </w:tblBorders>
    </w:tblPr>
    <w:tblStylePr w:type="fir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la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5D8FF" w:themeFill="accent1" w:themeFillTint="3F"/>
      </w:tcPr>
    </w:tblStylePr>
    <w:tblStylePr w:type="band1Horz">
      <w:tblPr/>
      <w:tcPr>
        <w:tcBorders>
          <w:left w:val="nil"/>
          <w:right w:val="nil"/>
          <w:insideH w:val="nil"/>
          <w:insideV w:val="nil"/>
        </w:tcBorders>
        <w:shd w:val="clear" w:color="auto" w:fill="A5D8FF" w:themeFill="accent1" w:themeFillTint="3F"/>
      </w:tcPr>
    </w:tblStylePr>
  </w:style>
  <w:style w:type="paragraph" w:customStyle="1" w:styleId="CLAProQuote">
    <w:name w:val="CLA Pro Quote"/>
    <w:qFormat/>
    <w:rsid w:val="00C65E22"/>
    <w:rPr>
      <w:rFonts w:ascii="Calibri" w:eastAsia="Times New Roman" w:hAnsi="Calibri"/>
      <w:color w:val="FFFFFF" w:themeColor="background1"/>
      <w:sz w:val="32"/>
      <w:szCs w:val="24"/>
    </w:rPr>
  </w:style>
  <w:style w:type="paragraph" w:customStyle="1" w:styleId="ProposalHeading">
    <w:name w:val="Proposal Heading"/>
    <w:basedOn w:val="Normal"/>
    <w:link w:val="ProposalHeadingChar"/>
    <w:rsid w:val="005B4B9B"/>
    <w:pPr>
      <w:tabs>
        <w:tab w:val="left" w:pos="5400"/>
      </w:tabs>
      <w:spacing w:line="290" w:lineRule="exact"/>
    </w:pPr>
    <w:rPr>
      <w:rFonts w:ascii="Calibri" w:hAnsi="Calibri"/>
      <w:b/>
      <w:color w:val="003567"/>
    </w:rPr>
  </w:style>
  <w:style w:type="character" w:customStyle="1" w:styleId="ProposalHeadingChar">
    <w:name w:val="Proposal Heading Char"/>
    <w:basedOn w:val="DefaultParagraphFont"/>
    <w:link w:val="ProposalHeading"/>
    <w:rsid w:val="005B4B9B"/>
    <w:rPr>
      <w:rFonts w:ascii="Calibri" w:eastAsia="Times New Roman" w:hAnsi="Calibri"/>
      <w:b/>
      <w:color w:val="003567"/>
      <w:sz w:val="24"/>
      <w:szCs w:val="24"/>
    </w:rPr>
  </w:style>
  <w:style w:type="paragraph" w:customStyle="1" w:styleId="ProposalBodyText">
    <w:name w:val="Proposal Body Text"/>
    <w:basedOn w:val="PlainText"/>
    <w:link w:val="ProposalBodyTextChar"/>
    <w:rsid w:val="005B4B9B"/>
    <w:pPr>
      <w:spacing w:line="300" w:lineRule="exact"/>
    </w:pPr>
    <w:rPr>
      <w:rFonts w:asciiTheme="minorHAnsi" w:hAnsiTheme="minorHAnsi" w:cs="Times New Roman"/>
      <w:sz w:val="22"/>
      <w:szCs w:val="20"/>
    </w:rPr>
  </w:style>
  <w:style w:type="character" w:customStyle="1" w:styleId="ProposalBodyTextChar">
    <w:name w:val="Proposal Body Text Char"/>
    <w:basedOn w:val="DefaultParagraphFont"/>
    <w:link w:val="ProposalBodyText"/>
    <w:rsid w:val="005B4B9B"/>
    <w:rPr>
      <w:rFonts w:asciiTheme="minorHAnsi" w:eastAsia="Times New Roman" w:hAnsiTheme="minorHAnsi"/>
      <w:sz w:val="22"/>
    </w:rPr>
  </w:style>
  <w:style w:type="paragraph" w:customStyle="1" w:styleId="ProposalSubHeading">
    <w:name w:val="Proposal Sub Heading"/>
    <w:basedOn w:val="ProposalHeading"/>
    <w:qFormat/>
    <w:rsid w:val="005B4B9B"/>
    <w:rPr>
      <w:i/>
      <w:sz w:val="22"/>
    </w:rPr>
  </w:style>
  <w:style w:type="paragraph" w:styleId="PlainText">
    <w:name w:val="Plain Text"/>
    <w:basedOn w:val="Normal"/>
    <w:link w:val="PlainTextChar"/>
    <w:uiPriority w:val="99"/>
    <w:semiHidden/>
    <w:unhideWhenUsed/>
    <w:rsid w:val="005B4B9B"/>
    <w:rPr>
      <w:rFonts w:ascii="Consolas" w:hAnsi="Consolas" w:cs="Consolas"/>
      <w:sz w:val="21"/>
      <w:szCs w:val="21"/>
    </w:rPr>
  </w:style>
  <w:style w:type="character" w:customStyle="1" w:styleId="PlainTextChar">
    <w:name w:val="Plain Text Char"/>
    <w:basedOn w:val="DefaultParagraphFont"/>
    <w:link w:val="PlainText"/>
    <w:uiPriority w:val="99"/>
    <w:semiHidden/>
    <w:rsid w:val="005B4B9B"/>
    <w:rPr>
      <w:rFonts w:ascii="Consolas" w:eastAsia="Times New Roman" w:hAnsi="Consolas" w:cs="Consolas"/>
      <w:sz w:val="21"/>
      <w:szCs w:val="21"/>
    </w:rPr>
  </w:style>
  <w:style w:type="paragraph" w:customStyle="1" w:styleId="CLABioName">
    <w:name w:val="CLA Bio Name"/>
    <w:next w:val="CLAProHeading1"/>
    <w:qFormat/>
    <w:rsid w:val="005B4B9B"/>
    <w:pPr>
      <w:spacing w:after="60"/>
    </w:pPr>
    <w:rPr>
      <w:rFonts w:ascii="Calibri" w:eastAsia="Corbel" w:hAnsi="Calibri"/>
      <w:b/>
      <w:color w:val="003767"/>
      <w:sz w:val="24"/>
      <w:szCs w:val="24"/>
    </w:rPr>
  </w:style>
  <w:style w:type="paragraph" w:customStyle="1" w:styleId="CLAProFooter">
    <w:name w:val="CLA Pro Footer"/>
    <w:qFormat/>
    <w:rsid w:val="00DA3A0C"/>
    <w:pPr>
      <w:tabs>
        <w:tab w:val="right" w:pos="10080"/>
      </w:tabs>
    </w:pPr>
    <w:rPr>
      <w:rFonts w:ascii="Calibri" w:eastAsia="Times New Roman" w:hAnsi="Calibri"/>
      <w:color w:val="7F7F7F" w:themeColor="text1" w:themeTint="80"/>
      <w:sz w:val="16"/>
    </w:rPr>
  </w:style>
  <w:style w:type="paragraph" w:customStyle="1" w:styleId="ProposalBulletStyle">
    <w:name w:val="Proposal Bullet Style"/>
    <w:basedOn w:val="Normal"/>
    <w:link w:val="ProposalBulletStyleChar"/>
    <w:rsid w:val="00BF581A"/>
    <w:pPr>
      <w:numPr>
        <w:numId w:val="1"/>
      </w:numPr>
      <w:tabs>
        <w:tab w:val="left" w:pos="5400"/>
      </w:tabs>
      <w:spacing w:line="290" w:lineRule="exact"/>
    </w:pPr>
    <w:rPr>
      <w:rFonts w:asciiTheme="minorHAnsi" w:hAnsiTheme="minorHAnsi"/>
      <w:sz w:val="22"/>
    </w:rPr>
  </w:style>
  <w:style w:type="paragraph" w:styleId="CommentText">
    <w:name w:val="annotation text"/>
    <w:basedOn w:val="Normal"/>
    <w:link w:val="CommentTextChar"/>
    <w:unhideWhenUsed/>
    <w:rsid w:val="00BF581A"/>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BF581A"/>
    <w:rPr>
      <w:rFonts w:asciiTheme="minorHAnsi" w:hAnsiTheme="minorHAnsi" w:cstheme="minorBidi"/>
    </w:rPr>
  </w:style>
  <w:style w:type="character" w:customStyle="1" w:styleId="ProposalBulletStyleChar">
    <w:name w:val="Proposal Bullet Style Char"/>
    <w:basedOn w:val="DefaultParagraphFont"/>
    <w:link w:val="ProposalBulletStyle"/>
    <w:rsid w:val="00BF581A"/>
    <w:rPr>
      <w:rFonts w:asciiTheme="minorHAnsi" w:eastAsia="Times New Roman" w:hAnsiTheme="minorHAnsi"/>
      <w:sz w:val="22"/>
      <w:szCs w:val="24"/>
    </w:rPr>
  </w:style>
  <w:style w:type="paragraph" w:customStyle="1" w:styleId="ProposalBodyStyle">
    <w:name w:val="Proposal Body Style"/>
    <w:basedOn w:val="Normal"/>
    <w:rsid w:val="00BF581A"/>
    <w:pPr>
      <w:tabs>
        <w:tab w:val="left" w:pos="5400"/>
      </w:tabs>
      <w:spacing w:line="300" w:lineRule="exact"/>
    </w:pPr>
    <w:rPr>
      <w:rFonts w:ascii="Calibri" w:hAnsi="Calibri"/>
      <w:sz w:val="22"/>
    </w:rPr>
  </w:style>
  <w:style w:type="paragraph" w:customStyle="1" w:styleId="ProposalBulletStyle-Indent1">
    <w:name w:val="Proposal Bullet Style - Indent 1"/>
    <w:basedOn w:val="ProposalBulletStyle"/>
    <w:rsid w:val="00BF581A"/>
    <w:pPr>
      <w:numPr>
        <w:ilvl w:val="1"/>
        <w:numId w:val="2"/>
      </w:numPr>
    </w:pPr>
  </w:style>
  <w:style w:type="character" w:styleId="CommentReference">
    <w:name w:val="annotation reference"/>
    <w:basedOn w:val="DefaultParagraphFont"/>
    <w:uiPriority w:val="99"/>
    <w:rsid w:val="00BF581A"/>
    <w:rPr>
      <w:sz w:val="16"/>
      <w:szCs w:val="16"/>
    </w:rPr>
  </w:style>
  <w:style w:type="paragraph" w:customStyle="1" w:styleId="ProposalBioHeading">
    <w:name w:val="Proposal Bio Heading"/>
    <w:basedOn w:val="Normal"/>
    <w:link w:val="ProposalBioHeadingChar"/>
    <w:rsid w:val="00D17097"/>
    <w:pPr>
      <w:tabs>
        <w:tab w:val="left" w:pos="5400"/>
      </w:tabs>
      <w:spacing w:line="290" w:lineRule="exact"/>
    </w:pPr>
    <w:rPr>
      <w:rFonts w:ascii="Trebuchet MS" w:hAnsi="Trebuchet MS"/>
      <w:b/>
    </w:rPr>
  </w:style>
  <w:style w:type="character" w:customStyle="1" w:styleId="ProposalBioHeadingChar">
    <w:name w:val="Proposal Bio Heading Char"/>
    <w:basedOn w:val="DefaultParagraphFont"/>
    <w:link w:val="ProposalBioHeading"/>
    <w:rsid w:val="00D17097"/>
    <w:rPr>
      <w:rFonts w:ascii="Trebuchet MS" w:eastAsia="Times New Roman" w:hAnsi="Trebuchet MS"/>
      <w:b/>
      <w:sz w:val="24"/>
      <w:szCs w:val="24"/>
    </w:rPr>
  </w:style>
  <w:style w:type="paragraph" w:customStyle="1" w:styleId="CLAProposalBody">
    <w:name w:val="CLA Proposal Body"/>
    <w:basedOn w:val="Normal"/>
    <w:qFormat/>
    <w:rsid w:val="00D17097"/>
    <w:pPr>
      <w:spacing w:line="300" w:lineRule="exact"/>
    </w:pPr>
    <w:rPr>
      <w:rFonts w:ascii="Calibri" w:hAnsi="Calibri"/>
      <w:sz w:val="22"/>
    </w:rPr>
  </w:style>
  <w:style w:type="paragraph" w:customStyle="1" w:styleId="CLAProposalBulletedTextBodyLeft05">
    <w:name w:val="CLA Proposal Bulleted Text Body + Left:  0.5&quot;"/>
    <w:basedOn w:val="CLAProposalBody"/>
    <w:rsid w:val="00D17097"/>
    <w:pPr>
      <w:numPr>
        <w:numId w:val="3"/>
      </w:numPr>
    </w:pPr>
    <w:rPr>
      <w:szCs w:val="20"/>
    </w:rPr>
  </w:style>
  <w:style w:type="paragraph" w:customStyle="1" w:styleId="CLAInTextHeadernotTOC">
    <w:name w:val="CLA In Text Header (not TOC)"/>
    <w:basedOn w:val="Normal"/>
    <w:rsid w:val="00D17097"/>
    <w:pPr>
      <w:spacing w:line="300" w:lineRule="exact"/>
    </w:pPr>
    <w:rPr>
      <w:rFonts w:asciiTheme="minorHAnsi" w:hAnsiTheme="minorHAnsi"/>
      <w:b/>
      <w:bCs/>
      <w:sz w:val="22"/>
    </w:rPr>
  </w:style>
  <w:style w:type="paragraph" w:customStyle="1" w:styleId="StyleProposalBodyTextBody">
    <w:name w:val="Style Proposal Body Text + +Body"/>
    <w:basedOn w:val="ProposalBodyText"/>
    <w:uiPriority w:val="99"/>
    <w:rsid w:val="00C4620D"/>
  </w:style>
  <w:style w:type="paragraph" w:customStyle="1" w:styleId="LAPropullquote">
    <w:name w:val="LA Pro pull quote"/>
    <w:basedOn w:val="Normal"/>
    <w:next w:val="Normal"/>
    <w:rsid w:val="00C4620D"/>
    <w:pPr>
      <w:spacing w:after="240"/>
      <w:ind w:left="720" w:right="720"/>
      <w:jc w:val="center"/>
    </w:pPr>
    <w:rPr>
      <w:rFonts w:ascii="Arial" w:hAnsi="Arial"/>
      <w:b/>
      <w:color w:val="5D87A1"/>
      <w:sz w:val="26"/>
      <w:szCs w:val="26"/>
    </w:rPr>
  </w:style>
  <w:style w:type="paragraph" w:styleId="ListBullet">
    <w:name w:val="List Bullet"/>
    <w:basedOn w:val="Normal"/>
    <w:rsid w:val="00C4620D"/>
    <w:pPr>
      <w:tabs>
        <w:tab w:val="num" w:pos="360"/>
      </w:tabs>
      <w:spacing w:line="300" w:lineRule="exact"/>
      <w:ind w:left="360" w:hanging="360"/>
      <w:contextualSpacing/>
    </w:pPr>
    <w:rPr>
      <w:rFonts w:ascii="Calibri" w:hAnsi="Calibri"/>
    </w:rPr>
  </w:style>
  <w:style w:type="paragraph" w:customStyle="1" w:styleId="ProposalBioSubheading">
    <w:name w:val="Proposal Bio Subheading"/>
    <w:basedOn w:val="Normal"/>
    <w:qFormat/>
    <w:rsid w:val="00C4620D"/>
    <w:pPr>
      <w:spacing w:line="300" w:lineRule="exact"/>
    </w:pPr>
    <w:rPr>
      <w:rFonts w:asciiTheme="minorHAnsi" w:eastAsia="Corbel" w:hAnsiTheme="minorHAnsi" w:cs="Corbel"/>
      <w:b/>
      <w:color w:val="003767"/>
      <w:sz w:val="22"/>
      <w:szCs w:val="22"/>
    </w:rPr>
  </w:style>
  <w:style w:type="paragraph" w:customStyle="1" w:styleId="LAPronormal">
    <w:name w:val="LA Pro normal"/>
    <w:link w:val="LAPronormalChar"/>
    <w:rsid w:val="00626420"/>
    <w:pPr>
      <w:spacing w:after="240"/>
      <w:jc w:val="both"/>
    </w:pPr>
    <w:rPr>
      <w:rFonts w:eastAsia="Times New Roman"/>
      <w:sz w:val="22"/>
    </w:rPr>
  </w:style>
  <w:style w:type="character" w:customStyle="1" w:styleId="LAPronormalChar">
    <w:name w:val="LA Pro normal Char"/>
    <w:basedOn w:val="DefaultParagraphFont"/>
    <w:link w:val="LAPronormal"/>
    <w:locked/>
    <w:rsid w:val="00626420"/>
    <w:rPr>
      <w:rFonts w:eastAsia="Times New Roman"/>
      <w:sz w:val="22"/>
    </w:rPr>
  </w:style>
  <w:style w:type="paragraph" w:styleId="CommentSubject">
    <w:name w:val="annotation subject"/>
    <w:basedOn w:val="CommentText"/>
    <w:next w:val="CommentText"/>
    <w:link w:val="CommentSubjectChar"/>
    <w:uiPriority w:val="99"/>
    <w:semiHidden/>
    <w:unhideWhenUsed/>
    <w:rsid w:val="002A3E9A"/>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2A3E9A"/>
    <w:rPr>
      <w:rFonts w:asciiTheme="minorHAnsi" w:eastAsia="Times New Roman" w:hAnsiTheme="minorHAnsi" w:cstheme="minorBidi"/>
      <w:b/>
      <w:bCs/>
    </w:rPr>
  </w:style>
  <w:style w:type="paragraph" w:styleId="Revision">
    <w:name w:val="Revision"/>
    <w:hidden/>
    <w:uiPriority w:val="99"/>
    <w:semiHidden/>
    <w:rsid w:val="009063E8"/>
    <w:rPr>
      <w:rFonts w:eastAsia="Times New Roman"/>
      <w:sz w:val="24"/>
      <w:szCs w:val="24"/>
    </w:rPr>
  </w:style>
  <w:style w:type="paragraph" w:customStyle="1" w:styleId="CLABioHeading">
    <w:name w:val="CLA Bio Heading"/>
    <w:qFormat/>
    <w:rsid w:val="00EE23EE"/>
    <w:pPr>
      <w:keepNext/>
      <w:spacing w:after="60"/>
    </w:pPr>
    <w:rPr>
      <w:rFonts w:ascii="Calibri" w:eastAsia="Times New Roman" w:hAnsi="Calibri"/>
      <w:b/>
      <w:color w:val="003767"/>
      <w:sz w:val="24"/>
      <w:szCs w:val="24"/>
    </w:rPr>
  </w:style>
  <w:style w:type="paragraph" w:customStyle="1" w:styleId="CLAProposalBulletedNumber">
    <w:name w:val="CLA Proposal Bulleted Number"/>
    <w:basedOn w:val="Normal"/>
    <w:rsid w:val="0017490C"/>
    <w:pPr>
      <w:spacing w:line="300" w:lineRule="exact"/>
    </w:pPr>
    <w:rPr>
      <w:rFonts w:asciiTheme="minorHAnsi" w:hAnsiTheme="minorHAnsi"/>
      <w:snapToGrid w:val="0"/>
      <w:color w:val="000000"/>
      <w:sz w:val="22"/>
      <w:szCs w:val="20"/>
    </w:rPr>
  </w:style>
  <w:style w:type="character" w:styleId="FollowedHyperlink">
    <w:name w:val="FollowedHyperlink"/>
    <w:basedOn w:val="DefaultParagraphFont"/>
    <w:uiPriority w:val="99"/>
    <w:semiHidden/>
    <w:unhideWhenUsed/>
    <w:rsid w:val="00C14289"/>
    <w:rPr>
      <w:color w:val="ED6F1E" w:themeColor="followedHyperlink"/>
      <w:u w:val="single"/>
    </w:rPr>
  </w:style>
  <w:style w:type="character" w:customStyle="1" w:styleId="CLAProNormalChar">
    <w:name w:val="CLA Pro Normal Char"/>
    <w:link w:val="CLAProNormal"/>
    <w:rsid w:val="00EF0A8C"/>
    <w:rPr>
      <w:rFonts w:ascii="Calibri" w:eastAsia="Times New Roman" w:hAnsi="Calibri"/>
      <w:sz w:val="22"/>
      <w:szCs w:val="52"/>
    </w:rPr>
  </w:style>
  <w:style w:type="paragraph" w:styleId="EndnoteText">
    <w:name w:val="endnote text"/>
    <w:basedOn w:val="Normal"/>
    <w:link w:val="EndnoteTextChar"/>
    <w:uiPriority w:val="99"/>
    <w:semiHidden/>
    <w:unhideWhenUsed/>
    <w:rsid w:val="00B36DF9"/>
    <w:pPr>
      <w:ind w:left="288"/>
    </w:pPr>
    <w:rPr>
      <w:sz w:val="20"/>
      <w:szCs w:val="20"/>
    </w:rPr>
  </w:style>
  <w:style w:type="character" w:customStyle="1" w:styleId="EndnoteTextChar">
    <w:name w:val="Endnote Text Char"/>
    <w:basedOn w:val="DefaultParagraphFont"/>
    <w:link w:val="EndnoteText"/>
    <w:uiPriority w:val="99"/>
    <w:semiHidden/>
    <w:rsid w:val="00B36DF9"/>
    <w:rPr>
      <w:rFonts w:eastAsia="Times New Roman"/>
    </w:rPr>
  </w:style>
  <w:style w:type="character" w:styleId="EndnoteReference">
    <w:name w:val="endnote reference"/>
    <w:basedOn w:val="DefaultParagraphFont"/>
    <w:semiHidden/>
    <w:unhideWhenUsed/>
    <w:rsid w:val="00C46193"/>
    <w:rPr>
      <w:vertAlign w:val="superscript"/>
    </w:rPr>
  </w:style>
  <w:style w:type="character" w:customStyle="1" w:styleId="CLALTRHiddenTextChar">
    <w:name w:val="CLA LTR Hidden Text Char"/>
    <w:basedOn w:val="CLALTRNormalChar"/>
    <w:link w:val="CLALTRHiddenText"/>
    <w:rsid w:val="00C46193"/>
    <w:rPr>
      <w:rFonts w:ascii="Calibri" w:eastAsia="Times" w:hAnsi="Calibri"/>
      <w:b/>
      <w:i/>
      <w:vanish/>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5450">
      <w:bodyDiv w:val="1"/>
      <w:marLeft w:val="0"/>
      <w:marRight w:val="0"/>
      <w:marTop w:val="0"/>
      <w:marBottom w:val="0"/>
      <w:divBdr>
        <w:top w:val="none" w:sz="0" w:space="0" w:color="auto"/>
        <w:left w:val="none" w:sz="0" w:space="0" w:color="auto"/>
        <w:bottom w:val="none" w:sz="0" w:space="0" w:color="auto"/>
        <w:right w:val="none" w:sz="0" w:space="0" w:color="auto"/>
      </w:divBdr>
    </w:div>
    <w:div w:id="559562488">
      <w:bodyDiv w:val="1"/>
      <w:marLeft w:val="0"/>
      <w:marRight w:val="0"/>
      <w:marTop w:val="0"/>
      <w:marBottom w:val="0"/>
      <w:divBdr>
        <w:top w:val="none" w:sz="0" w:space="0" w:color="auto"/>
        <w:left w:val="none" w:sz="0" w:space="0" w:color="auto"/>
        <w:bottom w:val="none" w:sz="0" w:space="0" w:color="auto"/>
        <w:right w:val="none" w:sz="0" w:space="0" w:color="auto"/>
      </w:divBdr>
    </w:div>
    <w:div w:id="586112638">
      <w:bodyDiv w:val="1"/>
      <w:marLeft w:val="0"/>
      <w:marRight w:val="0"/>
      <w:marTop w:val="0"/>
      <w:marBottom w:val="0"/>
      <w:divBdr>
        <w:top w:val="none" w:sz="0" w:space="0" w:color="auto"/>
        <w:left w:val="none" w:sz="0" w:space="0" w:color="auto"/>
        <w:bottom w:val="none" w:sz="0" w:space="0" w:color="auto"/>
        <w:right w:val="none" w:sz="0" w:space="0" w:color="auto"/>
      </w:divBdr>
      <w:divsChild>
        <w:div w:id="544342103">
          <w:marLeft w:val="0"/>
          <w:marRight w:val="0"/>
          <w:marTop w:val="0"/>
          <w:marBottom w:val="0"/>
          <w:divBdr>
            <w:top w:val="none" w:sz="0" w:space="0" w:color="auto"/>
            <w:left w:val="none" w:sz="0" w:space="0" w:color="auto"/>
            <w:bottom w:val="none" w:sz="0" w:space="0" w:color="auto"/>
            <w:right w:val="none" w:sz="0" w:space="0" w:color="auto"/>
          </w:divBdr>
          <w:divsChild>
            <w:div w:id="155072637">
              <w:marLeft w:val="0"/>
              <w:marRight w:val="0"/>
              <w:marTop w:val="0"/>
              <w:marBottom w:val="0"/>
              <w:divBdr>
                <w:top w:val="none" w:sz="0" w:space="0" w:color="auto"/>
                <w:left w:val="none" w:sz="0" w:space="0" w:color="auto"/>
                <w:bottom w:val="none" w:sz="0" w:space="0" w:color="auto"/>
                <w:right w:val="none" w:sz="0" w:space="0" w:color="auto"/>
              </w:divBdr>
              <w:divsChild>
                <w:div w:id="987518792">
                  <w:marLeft w:val="0"/>
                  <w:marRight w:val="0"/>
                  <w:marTop w:val="0"/>
                  <w:marBottom w:val="0"/>
                  <w:divBdr>
                    <w:top w:val="none" w:sz="0" w:space="0" w:color="auto"/>
                    <w:left w:val="none" w:sz="0" w:space="0" w:color="auto"/>
                    <w:bottom w:val="none" w:sz="0" w:space="0" w:color="auto"/>
                    <w:right w:val="none" w:sz="0" w:space="0" w:color="auto"/>
                  </w:divBdr>
                  <w:divsChild>
                    <w:div w:id="797337462">
                      <w:marLeft w:val="0"/>
                      <w:marRight w:val="0"/>
                      <w:marTop w:val="0"/>
                      <w:marBottom w:val="0"/>
                      <w:divBdr>
                        <w:top w:val="none" w:sz="0" w:space="0" w:color="auto"/>
                        <w:left w:val="none" w:sz="0" w:space="0" w:color="auto"/>
                        <w:bottom w:val="none" w:sz="0" w:space="0" w:color="auto"/>
                        <w:right w:val="none" w:sz="0" w:space="0" w:color="auto"/>
                      </w:divBdr>
                      <w:divsChild>
                        <w:div w:id="1178155066">
                          <w:marLeft w:val="0"/>
                          <w:marRight w:val="0"/>
                          <w:marTop w:val="187"/>
                          <w:marBottom w:val="0"/>
                          <w:divBdr>
                            <w:top w:val="none" w:sz="0" w:space="0" w:color="auto"/>
                            <w:left w:val="none" w:sz="0" w:space="0" w:color="auto"/>
                            <w:bottom w:val="none" w:sz="0" w:space="0" w:color="auto"/>
                            <w:right w:val="none" w:sz="0" w:space="0" w:color="auto"/>
                          </w:divBdr>
                          <w:divsChild>
                            <w:div w:id="388311785">
                              <w:marLeft w:val="0"/>
                              <w:marRight w:val="0"/>
                              <w:marTop w:val="0"/>
                              <w:marBottom w:val="0"/>
                              <w:divBdr>
                                <w:top w:val="none" w:sz="0" w:space="0" w:color="auto"/>
                                <w:left w:val="none" w:sz="0" w:space="0" w:color="auto"/>
                                <w:bottom w:val="none" w:sz="0" w:space="0" w:color="auto"/>
                                <w:right w:val="none" w:sz="0" w:space="0" w:color="auto"/>
                              </w:divBdr>
                              <w:divsChild>
                                <w:div w:id="108557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519117">
      <w:bodyDiv w:val="1"/>
      <w:marLeft w:val="0"/>
      <w:marRight w:val="0"/>
      <w:marTop w:val="0"/>
      <w:marBottom w:val="0"/>
      <w:divBdr>
        <w:top w:val="none" w:sz="0" w:space="0" w:color="auto"/>
        <w:left w:val="none" w:sz="0" w:space="0" w:color="auto"/>
        <w:bottom w:val="none" w:sz="0" w:space="0" w:color="auto"/>
        <w:right w:val="none" w:sz="0" w:space="0" w:color="auto"/>
      </w:divBdr>
    </w:div>
    <w:div w:id="1312713525">
      <w:bodyDiv w:val="1"/>
      <w:marLeft w:val="0"/>
      <w:marRight w:val="0"/>
      <w:marTop w:val="0"/>
      <w:marBottom w:val="0"/>
      <w:divBdr>
        <w:top w:val="none" w:sz="0" w:space="0" w:color="auto"/>
        <w:left w:val="none" w:sz="0" w:space="0" w:color="auto"/>
        <w:bottom w:val="none" w:sz="0" w:space="0" w:color="auto"/>
        <w:right w:val="none" w:sz="0" w:space="0" w:color="auto"/>
      </w:divBdr>
    </w:div>
    <w:div w:id="1685785450">
      <w:bodyDiv w:val="1"/>
      <w:marLeft w:val="0"/>
      <w:marRight w:val="0"/>
      <w:marTop w:val="0"/>
      <w:marBottom w:val="0"/>
      <w:divBdr>
        <w:top w:val="none" w:sz="0" w:space="0" w:color="auto"/>
        <w:left w:val="none" w:sz="0" w:space="0" w:color="auto"/>
        <w:bottom w:val="none" w:sz="0" w:space="0" w:color="auto"/>
        <w:right w:val="none" w:sz="0" w:space="0" w:color="auto"/>
      </w:divBdr>
    </w:div>
    <w:div w:id="211801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teven@onyxCFO.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endnotes.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 Id="rId9"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LarsonAllen colors">
      <a:dk1>
        <a:sysClr val="windowText" lastClr="000000"/>
      </a:dk1>
      <a:lt1>
        <a:sysClr val="window" lastClr="FFFFFF"/>
      </a:lt1>
      <a:dk2>
        <a:srgbClr val="473F30"/>
      </a:dk2>
      <a:lt2>
        <a:srgbClr val="ECE7DE"/>
      </a:lt2>
      <a:accent1>
        <a:srgbClr val="005595"/>
      </a:accent1>
      <a:accent2>
        <a:srgbClr val="F7EDC2"/>
      </a:accent2>
      <a:accent3>
        <a:srgbClr val="9EA374"/>
      </a:accent3>
      <a:accent4>
        <a:srgbClr val="B9B098"/>
      </a:accent4>
      <a:accent5>
        <a:srgbClr val="F2E18B"/>
      </a:accent5>
      <a:accent6>
        <a:srgbClr val="D89D8B"/>
      </a:accent6>
      <a:hlink>
        <a:srgbClr val="B55341"/>
      </a:hlink>
      <a:folHlink>
        <a:srgbClr val="ED6F1E"/>
      </a:folHlink>
    </a:clrScheme>
    <a:fontScheme name="LarsonAllen fonts">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6ABE42-59B8-47F6-8E15-E1F8CB46D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3968</Words>
  <Characters>21155</Characters>
  <Application>Microsoft Office Word</Application>
  <DocSecurity>0</DocSecurity>
  <Lines>346</Lines>
  <Paragraphs>176</Paragraphs>
  <ScaleCrop>false</ScaleCrop>
  <HeadingPairs>
    <vt:vector size="2" baseType="variant">
      <vt:variant>
        <vt:lpstr>Title</vt:lpstr>
      </vt:variant>
      <vt:variant>
        <vt:i4>1</vt:i4>
      </vt:variant>
    </vt:vector>
  </HeadingPairs>
  <TitlesOfParts>
    <vt:vector size="1" baseType="lpstr">
      <vt:lpstr/>
    </vt:vector>
  </TitlesOfParts>
  <Company>LarsonAllen</Company>
  <LinksUpToDate>false</LinksUpToDate>
  <CharactersWithSpaces>24947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dramsdel</dc:creator>
  <cp:lastModifiedBy>Josephine Mack</cp:lastModifiedBy>
  <cp:revision>7</cp:revision>
  <cp:lastPrinted>2015-12-07T15:03:00Z</cp:lastPrinted>
  <dcterms:created xsi:type="dcterms:W3CDTF">2025-07-08T23:32:00Z</dcterms:created>
  <dcterms:modified xsi:type="dcterms:W3CDTF">2026-03-18T18:19:00Z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i4>40</vt:i4>
  </property>
  <property fmtid="{D5CDD505-2E9C-101B-9397-08002B2CF9AE}" pid="3" name="tabName">
    <vt:lpwstr>BizOps - Preparation Assistance - Not Independent.</vt:lpwstr>
  </property>
  <property fmtid="{D5CDD505-2E9C-101B-9397-08002B2CF9AE}" pid="4" name="tabIndex">
    <vt:lpwstr/>
  </property>
  <property fmtid="{D5CDD505-2E9C-101B-9397-08002B2CF9AE}" pid="5" name="workpaperIndex">
    <vt:lpwstr>0330.00</vt:lpwstr>
  </property>
</Properties>
</file>

<file path=userCustomization/customUI.xml><?xml version="1.0" encoding="utf-8"?>
<mso:customUI xmlns:doc="http://schemas.microsoft.com/office/2006/01/customui/currentDocument" xmlns:mso="http://schemas.microsoft.com/office/2006/01/customui">
  <mso:ribbon>
    <mso:qat>
      <mso:documentControls>
        <mso:separator idQ="doc:sep1" visible="true"/>
        <mso:control idQ="mso:ParagraphMarks" visible="true"/>
        <mso:control idQ="mso:Lock" visible="true"/>
        <mso:control idQ="mso:PrintOptionsMenuWord" visible="true"/>
        <mso:control idQ="mso:FieldShading" visible="true"/>
        <mso:control idQ="mso:TextHighlightColorPicker" visible="true"/>
      </mso:documentControls>
    </mso:qat>
  </mso:ribbon>
</mso:customUI>
</file>