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 xml:space="preserve">Day-to-day bookkeeping   ·   Controller-level oversight   ·   Cash-flow management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CC1ED77" w14:textId="77777777" w:rsidR="007C1374" w:rsidRDefault="007C1374" w:rsidP="007C1374">
      <w:pPr>
        <w:pStyle w:val="CLALTRAddressorSignature"/>
      </w:pPr>
      <w:r w:rsidRPr="0015119E">
        <w:rPr>
          <w:highlight w:val="yellow"/>
        </w:rPr>
        <w:fldChar w:fldCharType="begin">
          <w:ffData>
            <w:name w:val="Text36"/>
            <w:enabled/>
            <w:calcOnExit w:val="0"/>
            <w:textInput>
              <w:default w:val="[Insert Governance Group Name]"/>
            </w:textInput>
          </w:ffData>
        </w:fldChar>
      </w:r>
      <w:r w:rsidRPr="0015119E">
        <w:rPr>
          <w:highlight w:val="yellow"/>
        </w:rPr>
        <w:instrText xml:space="preserve"> FORMTEXT </w:instrText>
      </w:r>
      <w:r w:rsidRPr="0015119E">
        <w:rPr>
          <w:highlight w:val="yellow"/>
        </w:rPr>
      </w:r>
      <w:r w:rsidRPr="0015119E">
        <w:rPr>
          <w:highlight w:val="yellow"/>
        </w:rPr>
        <w:fldChar w:fldCharType="separate"/>
      </w:r>
      <w:r w:rsidRPr="0015119E">
        <w:rPr>
          <w:noProof/>
          <w:highlight w:val="yellow"/>
        </w:rPr>
        <w:t>[Insert Governance Group Name]</w:t>
      </w:r>
      <w:r w:rsidRPr="0015119E">
        <w:rPr>
          <w:highlight w:val="yellow"/>
        </w:rPr>
        <w:fldChar w:fldCharType="end"/>
      </w:r>
      <w:bookmarkEnd w:id="1"/>
      <w:r w:rsidRPr="0015119E">
        <w:rPr>
          <w:highlight w:val="yellow"/>
        </w:rPr>
        <w:t xml:space="preserve"> and</w:t>
      </w:r>
      <w:r>
        <w:t xml:space="preserve"> Management</w:t>
      </w:r>
      <w:r w:rsidRPr="00F11C83">
        <w:rPr>
          <w:rStyle w:val="CLALTRHiddenTextChar"/>
        </w:rPr>
        <w:t xml:space="preserve"> </w:t>
      </w:r>
      <w:r>
        <w:rPr>
          <w:rStyle w:val="CLALTRHiddenTextChar"/>
        </w:rPr>
        <w:t xml:space="preserve">   </w:t>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 xml:space="preserve">ONYX becomes the Client’s accounting department — without the cost, turnover, and overhead of building one in-house. Our team runs the day-to-day transaction work and layers on controller-level oversight, keeping the Client’s books accurate, current, and ready to drive decisions — so the Client’s leaders can spend their time running the business instead of chasing the numbers. Specifically, ONYX will perform the following services:</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2287A810" w14:textId="77777777" w:rsidR="007C1374" w:rsidRDefault="007C1374" w:rsidP="004232B8">
      <w:pPr>
        <w:pStyle w:val="CLALTRNormal"/>
        <w:numPr>
          <w:ilvl w:val="0"/>
          <w:numId w:val="10"/>
        </w:numPr>
        <w:jc w:val="both"/>
      </w:pPr>
      <w:r>
        <w:rPr>
          <w:highlight w:val="yellow"/>
        </w:rPr>
        <w:t xml:space="preserve">Build and support budgets that give the Client both a roadmap and a benchmark</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Stand alongside the Client in bank communications and negotiations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