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first invoice</w:t>
      </w:r>
      <w:r w:rsidR="00582DBB">
        <w:rPr>
          <w:highlight w:val="yellow"/>
        </w:rPr>
        <w:t>. The Client must pay any remaining balance due to ONYX</w:t>
      </w:r>
      <w:r w:rsidR="00A66919">
        <w:rPr>
          <w:highlight w:val="yellow"/>
        </w:rPr>
        <w:t xml:space="preserve"> after the Retainer is applied to that invoice. If the first invoice is less than the Retainer, the unapplied balance will be carried forward to the following invoices. We will refund to the Client any unapplied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