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  45</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$100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sidRPr="003B7E8F">
        <w:rPr>
          <w:highlight w:val="yellow"/>
        </w:rPr>
        <w:tab/>
        <w:t>$175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Pr>
          <w:highlight w:val="yellow"/>
        </w:rPr>
        <w:t>/quality assurance</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w:t>
      </w:r>
      <w:r w:rsidR="009E14AB">
        <w:t xml:space="preserve">ONYX’s </w:t>
      </w:r>
      <w:r>
        <w:t xml:space="preserve">services remain responsive to </w:t>
      </w:r>
      <w:r w:rsidR="009E14AB">
        <w:t xml:space="preserve">the Client’s </w:t>
      </w:r>
      <w:r>
        <w:t xml:space="preserve">needs, as well as fair to both parties, </w:t>
      </w:r>
      <w:r w:rsidR="009E14AB">
        <w:t xml:space="preserve">ONYX </w:t>
      </w:r>
      <w:r>
        <w:t xml:space="preserve">will meet with </w:t>
      </w:r>
      <w:r w:rsidR="009E14AB">
        <w:t xml:space="preserve">the Client </w:t>
      </w:r>
      <w:r>
        <w:t>throughout the term of th</w:t>
      </w:r>
      <w:r w:rsidR="009E14AB">
        <w:t>is</w:t>
      </w:r>
      <w:r>
        <w:t xml:space="preserve"> agreement and, if necessary, revise or adjust the scope of the services to be provided and the fees to be charged.</w:t>
      </w:r>
      <w:r w:rsidR="00600EAB">
        <w:t xml:space="preserve"> Such revisions or adjustments shall not be binding unless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