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before="1400" w:after="440"/>
        <w:jc w:val="center"/>
      </w:pPr>
      <w:r>
        <w:rPr>
          <w:rFonts w:ascii="Times New Roman" w:hAnsi="Times New Roman" w:eastAsia="Times New Roman"/>
          <w:b/>
          <w:color w:val="0B2447"/>
          <w:sz w:val="32"/>
        </w:rPr>
        <w:t>DESARROLLO DE UNA PLATAFORMA WEB PARA LA GESTIÓN COMERCIAL DE VIDRIERÍAS Y LA ESTIMACIÓN DE LA HUELLA DE CARBONO EN PIEZAS DE VIDRIO A MEDIDA</w:t>
      </w:r>
    </w:p>
    <w:p>
      <w:pPr>
        <w:spacing w:before="480" w:after="60"/>
        <w:jc w:val="center"/>
      </w:pPr>
      <w:r>
        <w:rPr>
          <w:rFonts w:ascii="Times New Roman" w:hAnsi="Times New Roman" w:eastAsia="Times New Roman"/>
          <w:b/>
          <w:color w:val="1F4D78"/>
          <w:sz w:val="20"/>
        </w:rPr>
        <w:t>INTEGRANTES</w:t>
      </w:r>
    </w:p>
    <w:p>
      <w:pPr>
        <w:spacing w:after="40"/>
        <w:jc w:val="center"/>
      </w:pPr>
      <w:r>
        <w:rPr>
          <w:rFonts w:ascii="Times New Roman" w:hAnsi="Times New Roman" w:eastAsia="Times New Roman"/>
          <w:sz w:val="24"/>
        </w:rPr>
        <w:t>Javier Berrio</w:t>
      </w:r>
    </w:p>
    <w:p>
      <w:pPr>
        <w:spacing w:after="40"/>
        <w:jc w:val="center"/>
      </w:pPr>
      <w:r>
        <w:rPr>
          <w:rFonts w:ascii="Times New Roman" w:hAnsi="Times New Roman" w:eastAsia="Times New Roman"/>
          <w:sz w:val="24"/>
        </w:rPr>
        <w:t>Argenis Caro</w:t>
      </w:r>
    </w:p>
    <w:p>
      <w:pPr>
        <w:spacing w:after="40"/>
        <w:jc w:val="center"/>
      </w:pPr>
      <w:r>
        <w:rPr>
          <w:rFonts w:ascii="Times New Roman" w:hAnsi="Times New Roman" w:eastAsia="Times New Roman"/>
          <w:sz w:val="24"/>
        </w:rPr>
        <w:t>Miguel Ángel Martínez Utria</w:t>
      </w:r>
    </w:p>
    <w:p>
      <w:pPr>
        <w:spacing w:before="480" w:after="100"/>
        <w:jc w:val="center"/>
      </w:pPr>
      <w:r>
        <w:rPr>
          <w:rFonts w:ascii="Times New Roman" w:hAnsi="Times New Roman" w:eastAsia="Times New Roman"/>
          <w:b/>
          <w:sz w:val="24"/>
        </w:rPr>
        <w:t>Facultad de Ingeniería</w:t>
      </w:r>
    </w:p>
    <w:p>
      <w:pPr>
        <w:spacing w:after="60"/>
        <w:jc w:val="center"/>
      </w:pPr>
      <w:r>
        <w:rPr>
          <w:rFonts w:ascii="Times New Roman" w:hAnsi="Times New Roman" w:eastAsia="Times New Roman"/>
          <w:sz w:val="24"/>
        </w:rPr>
        <w:t>Tecnología en Desarrollo de Software</w:t>
      </w:r>
    </w:p>
    <w:p>
      <w:pPr>
        <w:spacing w:after="60"/>
        <w:jc w:val="center"/>
      </w:pPr>
      <w:r>
        <w:rPr>
          <w:rFonts w:ascii="Times New Roman" w:hAnsi="Times New Roman" w:eastAsia="Times New Roman"/>
          <w:sz w:val="24"/>
        </w:rPr>
        <w:t>Asignatura: Minería de Datos I</w:t>
      </w:r>
    </w:p>
    <w:p>
      <w:pPr>
        <w:spacing w:before="240" w:after="60"/>
        <w:jc w:val="center"/>
      </w:pPr>
      <w:r>
        <w:rPr>
          <w:rFonts w:ascii="Times New Roman" w:hAnsi="Times New Roman" w:eastAsia="Times New Roman"/>
          <w:sz w:val="24"/>
        </w:rPr>
        <w:t>Docente: Ing. Cristian Camilo Cuadrado Beltrán</w:t>
      </w:r>
    </w:p>
    <w:p>
      <w:pPr>
        <w:spacing w:before="480"/>
        <w:jc w:val="center"/>
      </w:pPr>
      <w:r>
        <w:rPr>
          <w:rFonts w:ascii="Times New Roman" w:hAnsi="Times New Roman" w:eastAsia="Times New Roman"/>
          <w:sz w:val="24"/>
        </w:rPr>
        <w:t>Cartagena de Indias, Colombia</w:t>
      </w:r>
    </w:p>
    <w:p>
      <w:pPr>
        <w:spacing w:after="60"/>
        <w:jc w:val="center"/>
      </w:pPr>
      <w:r>
        <w:rPr>
          <w:rFonts w:ascii="Times New Roman" w:hAnsi="Times New Roman" w:eastAsia="Times New Roman"/>
          <w:sz w:val="24"/>
        </w:rPr>
        <w:t>Octubre de 2026</w:t>
      </w:r>
    </w:p>
    <w:p>
      <w:r>
        <w:br w:type="page"/>
      </w:r>
    </w:p>
    <w:p>
      <w:pPr>
        <w:pStyle w:val="Ttulo1"/>
      </w:pPr>
      <w:r>
        <w:t>Tabla de contenido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60"/>
        <w:gridCol w:w="792"/>
      </w:tblGrid>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Introducción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3</w:t>
            </w:r>
          </w:p>
        </w:tc>
      </w:tr>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Capítulo I. Problema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4</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1.1 Descripción del problema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4</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1.2 Pregunta problema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5</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1.3 Árbol del problema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5</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1.4 Justificación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6</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1.5 Objetivos</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6</w:t>
            </w:r>
          </w:p>
        </w:tc>
      </w:tr>
      <w:tr>
        <w:tc>
          <w:tcPr>
            <w:tcW w:type="dxa" w:w="7560"/>
            <w:vAlign w:val="center"/>
            <w:tcMar>
              <w:top w:w="22" w:type="dxa"/>
              <w:start w:w="20" w:type="dxa"/>
              <w:bottom w:w="22" w:type="dxa"/>
              <w:end w:w="20" w:type="dxa"/>
            </w:tcMar>
          </w:tcPr>
          <w:p>
            <w:pPr>
              <w:spacing w:after="20" w:before="0" w:line="240" w:lineRule="auto"/>
              <w:ind w:left="490"/>
            </w:pPr>
            <w:r>
              <w:rPr>
                <w:rFonts w:ascii="Times New Roman" w:hAnsi="Times New Roman" w:eastAsia="Times New Roman"/>
                <w:b w:val="0"/>
                <w:sz w:val="19"/>
              </w:rPr>
              <w:t>1.5.1 Objetivo general</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6</w:t>
            </w:r>
          </w:p>
        </w:tc>
      </w:tr>
      <w:tr>
        <w:tc>
          <w:tcPr>
            <w:tcW w:type="dxa" w:w="7560"/>
            <w:vAlign w:val="center"/>
            <w:tcMar>
              <w:top w:w="22" w:type="dxa"/>
              <w:start w:w="20" w:type="dxa"/>
              <w:bottom w:w="22" w:type="dxa"/>
              <w:end w:w="20" w:type="dxa"/>
            </w:tcMar>
          </w:tcPr>
          <w:p>
            <w:pPr>
              <w:spacing w:after="20" w:before="0" w:line="240" w:lineRule="auto"/>
              <w:ind w:left="490"/>
            </w:pPr>
            <w:r>
              <w:rPr>
                <w:rFonts w:ascii="Times New Roman" w:hAnsi="Times New Roman" w:eastAsia="Times New Roman"/>
                <w:b w:val="0"/>
                <w:sz w:val="19"/>
              </w:rPr>
              <w:t>1.5.2 Objetivos específicos</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7</w:t>
            </w:r>
          </w:p>
        </w:tc>
      </w:tr>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Capítulo II. Marco de referencia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8</w:t>
            </w:r>
          </w:p>
        </w:tc>
      </w:tr>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2. Estado del arte</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8</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2.1 Antecedentes internacionales</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8</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2.2 Antecedente nacional</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8</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2.3 Antecedente local</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9</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2.4 Marco teórico</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9</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2.5 Marco contextual</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11</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2.6 Marco legal</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12</w:t>
            </w:r>
          </w:p>
        </w:tc>
      </w:tr>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Capítulo III. Metodología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14</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3.1 Tipo de investigación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14</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3.2 Diseño metodológico</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14</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3.3 Técnicas de recolección de información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15</w:t>
            </w:r>
          </w:p>
        </w:tc>
      </w:tr>
      <w:tr>
        <w:tc>
          <w:tcPr>
            <w:tcW w:type="dxa" w:w="7560"/>
            <w:vAlign w:val="center"/>
            <w:tcMar>
              <w:top w:w="22" w:type="dxa"/>
              <w:start w:w="20" w:type="dxa"/>
              <w:bottom w:w="22" w:type="dxa"/>
              <w:end w:w="20" w:type="dxa"/>
            </w:tcMar>
          </w:tcPr>
          <w:p>
            <w:pPr>
              <w:spacing w:after="20" w:before="0" w:line="240" w:lineRule="auto"/>
              <w:ind w:left="490"/>
            </w:pPr>
            <w:r>
              <w:rPr>
                <w:rFonts w:ascii="Times New Roman" w:hAnsi="Times New Roman" w:eastAsia="Times New Roman"/>
                <w:b w:val="0"/>
                <w:sz w:val="19"/>
              </w:rPr>
              <w:t>3.3.1 Técnicas para la recolección de información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15</w:t>
            </w:r>
          </w:p>
        </w:tc>
      </w:tr>
      <w:tr>
        <w:tc>
          <w:tcPr>
            <w:tcW w:type="dxa" w:w="7560"/>
            <w:vAlign w:val="center"/>
            <w:tcMar>
              <w:top w:w="22" w:type="dxa"/>
              <w:start w:w="20" w:type="dxa"/>
              <w:bottom w:w="22" w:type="dxa"/>
              <w:end w:w="20" w:type="dxa"/>
            </w:tcMar>
          </w:tcPr>
          <w:p>
            <w:pPr>
              <w:spacing w:after="20" w:before="0" w:line="240" w:lineRule="auto"/>
              <w:ind w:left="490"/>
            </w:pPr>
            <w:r>
              <w:rPr>
                <w:rFonts w:ascii="Times New Roman" w:hAnsi="Times New Roman" w:eastAsia="Times New Roman"/>
                <w:b w:val="0"/>
                <w:sz w:val="19"/>
              </w:rPr>
              <w:t>3.3.2 Instrumentos para la recolección de la información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15</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3.4 Población y muestra</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16</w:t>
            </w:r>
          </w:p>
        </w:tc>
      </w:tr>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Capítulo IV. Resultados de investigación y conclusiones</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17</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4.1 Resultados de investigación</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17</w:t>
            </w:r>
          </w:p>
        </w:tc>
      </w:tr>
      <w:tr>
        <w:tc>
          <w:tcPr>
            <w:tcW w:type="dxa" w:w="7560"/>
            <w:vAlign w:val="center"/>
            <w:tcMar>
              <w:top w:w="22" w:type="dxa"/>
              <w:start w:w="20" w:type="dxa"/>
              <w:bottom w:w="22" w:type="dxa"/>
              <w:end w:w="20" w:type="dxa"/>
            </w:tcMar>
          </w:tcPr>
          <w:p>
            <w:pPr>
              <w:spacing w:after="20" w:before="0" w:line="240" w:lineRule="auto"/>
              <w:ind w:left="245"/>
            </w:pPr>
            <w:r>
              <w:rPr>
                <w:rFonts w:ascii="Times New Roman" w:hAnsi="Times New Roman" w:eastAsia="Times New Roman"/>
                <w:b w:val="0"/>
                <w:sz w:val="19"/>
              </w:rPr>
              <w:t>4.2 Conclusiones</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20</w:t>
            </w:r>
          </w:p>
        </w:tc>
      </w:tr>
      <w:tr>
        <w:tc>
          <w:tcPr>
            <w:tcW w:type="dxa" w:w="7560"/>
            <w:vAlign w:val="center"/>
            <w:tcMar>
              <w:top w:w="22" w:type="dxa"/>
              <w:start w:w="20" w:type="dxa"/>
              <w:bottom w:w="22" w:type="dxa"/>
              <w:end w:w="20" w:type="dxa"/>
            </w:tcMar>
          </w:tcPr>
          <w:p>
            <w:pPr>
              <w:spacing w:after="20" w:before="0" w:line="240" w:lineRule="auto"/>
              <w:ind w:left="0"/>
            </w:pPr>
            <w:r>
              <w:rPr>
                <w:rFonts w:ascii="Times New Roman" w:hAnsi="Times New Roman" w:eastAsia="Times New Roman"/>
                <w:b/>
                <w:sz w:val="20"/>
              </w:rPr>
              <w:t>Referencias bibliográficas</w:t>
            </w:r>
          </w:p>
        </w:tc>
        <w:tc>
          <w:tcPr>
            <w:tcW w:type="dxa" w:w="792"/>
            <w:vAlign w:val="center"/>
            <w:tcMar>
              <w:top w:w="22" w:type="dxa"/>
              <w:start w:w="20" w:type="dxa"/>
              <w:bottom w:w="22" w:type="dxa"/>
              <w:end w:w="20" w:type="dxa"/>
            </w:tcMar>
          </w:tcPr>
          <w:p>
            <w:pPr>
              <w:spacing w:after="20" w:line="240" w:lineRule="auto"/>
              <w:jc w:val="right"/>
            </w:pPr>
            <w:r>
              <w:rPr>
                <w:rFonts w:ascii="Times New Roman" w:hAnsi="Times New Roman" w:eastAsia="Times New Roman"/>
                <w:sz w:val="19"/>
              </w:rPr>
              <w:t>21</w:t>
            </w:r>
          </w:p>
        </w:tc>
      </w:tr>
    </w:tbl>
    <w:p>
      <w:r>
        <w:br w:type="page"/>
      </w:r>
    </w:p>
    <w:p>
      <w:pPr>
        <w:pStyle w:val="Ttulo1"/>
      </w:pPr>
      <w:r>
        <w:t>Introducción</w:t>
      </w:r>
    </w:p>
    <w:p>
      <w:pPr>
        <w:widowControl/>
      </w:pPr>
      <w:r>
        <w:rPr>
          <w:rFonts w:ascii="Times New Roman" w:hAnsi="Times New Roman" w:eastAsia="Times New Roman"/>
          <w:i w:val="0"/>
          <w:sz w:val="24"/>
        </w:rPr>
        <w:t>La transformación digital representa una oportunidad para que los pequeños y medianos negocios del sector vidriero mejoren la manera en que presentan sus productos, calculan cotizaciones, administran pedidos y comunican información técnica a sus clientes. En el caso del vidrio a medida, la venta exige considerar dimensiones, espesor, tipo de material, forma, tratamiento y condiciones de procesamiento. Cuando estos datos se gestionan de manera separada o manual, la cotización puede tardar, la información puede quedar dispersa y se dificulta conservar un historial ordenado de la operación.</w:t>
      </w:r>
    </w:p>
    <w:p>
      <w:pPr>
        <w:widowControl/>
      </w:pPr>
      <w:r>
        <w:rPr>
          <w:rFonts w:ascii="Times New Roman" w:hAnsi="Times New Roman" w:eastAsia="Times New Roman"/>
          <w:i w:val="0"/>
          <w:sz w:val="24"/>
        </w:rPr>
        <w:t>A esta necesidad comercial se suma el componente ambiental. La fabricación y transformación del vidrio requiere energía, y las emisiones asociadas dependen de factores como la masa de la pieza, los procesos de transformación, los materiales auxiliares y el transporte. Sin una estimación comprensible, el cliente tiene pocas herramientas para comparar alternativas. SmartGlass se plantea como una plataforma web que integra catálogo, configuración de piezas a medida, cotización, aprobación del taller, pedidos y una estimación de huella de carbono por etapas, con el propósito de apoyar decisiones comerciales y ambientales más informadas.</w:t>
      </w:r>
    </w:p>
    <w:p>
      <w:pPr>
        <w:widowControl/>
      </w:pPr>
      <w:r>
        <w:rPr>
          <w:rFonts w:ascii="Times New Roman" w:hAnsi="Times New Roman" w:eastAsia="Times New Roman"/>
          <w:i w:val="0"/>
          <w:sz w:val="24"/>
        </w:rPr>
        <w:t>El proyecto combina desarrollo de software con un ejercicio académico de minería de datos. La plataforma calcula actualmente la huella mediante fórmulas y factores de emisión documentados; de manera independiente, se construyó un modelo de regresión Random Forest con un conjunto de datos sintético de 1.000 registros. Es importante distinguir ambos componentes: el modelo predictivo no está integrado en la aplicación y las cifras ambientales son estimaciones basadas en factores promedio, no mediciones tomadas de hornos de una vidriería real.</w:t>
      </w:r>
    </w:p>
    <w:p>
      <w:pPr>
        <w:widowControl/>
      </w:pPr>
      <w:r>
        <w:rPr>
          <w:rFonts w:ascii="Times New Roman" w:hAnsi="Times New Roman" w:eastAsia="Times New Roman"/>
          <w:i w:val="0"/>
          <w:sz w:val="24"/>
        </w:rPr>
        <w:t>Este informe presenta el problema, la pregunta de investigación, la justificación y los objetivos; revisa antecedentes internacionales, nacionales y locales; explica el marco teórico, contextual y legal; describe la metodología utilizada y sistematiza los resultados, las limitaciones y las acciones necesarias para pasar del prototipo a una prueba piloto con una vidriería real.</w:t>
      </w:r>
    </w:p>
    <w:p>
      <w:r>
        <w:br w:type="page"/>
      </w:r>
    </w:p>
    <w:p>
      <w:pPr>
        <w:pStyle w:val="Ttulo1"/>
      </w:pPr>
      <w:r>
        <w:t>Capítulo I</w:t>
      </w:r>
    </w:p>
    <w:p>
      <w:pPr>
        <w:pStyle w:val="Ttulo2"/>
      </w:pPr>
      <w:r>
        <w:t>Problema</w:t>
      </w:r>
    </w:p>
    <w:p>
      <w:pPr>
        <w:pStyle w:val="Ttulo2"/>
      </w:pPr>
      <w:r>
        <w:t>1.1 Descripción del problema</w:t>
      </w:r>
    </w:p>
    <w:p>
      <w:pPr>
        <w:widowControl/>
      </w:pPr>
      <w:r>
        <w:rPr>
          <w:rFonts w:ascii="Times New Roman" w:hAnsi="Times New Roman" w:eastAsia="Times New Roman"/>
          <w:i w:val="0"/>
          <w:sz w:val="24"/>
        </w:rPr>
        <w:t>La comercialización de vidrio para ventanas, divisiones, fachadas, muebles y aplicaciones arquitectónicas suele requerir cotizaciones particulares. El precio final no depende únicamente del nombre del producto: se relaciona con el área y el espesor, el tipo de vidrio, el tratamiento, los bordes, las perforaciones, la forma y los recargos asociados al procesamiento o la entrega. Para una vidriería pequeña o mediana, la atención de estas variables representa una carga operativa si la información de catálogo, inventario, cotizaciones y pedidos se mantiene en herramientas diferentes o en registros manuales.</w:t>
      </w:r>
    </w:p>
    <w:p>
      <w:pPr>
        <w:widowControl/>
      </w:pPr>
      <w:r>
        <w:rPr>
          <w:rFonts w:ascii="Times New Roman" w:hAnsi="Times New Roman" w:eastAsia="Times New Roman"/>
          <w:i w:val="0"/>
          <w:sz w:val="24"/>
        </w:rPr>
        <w:t>La primera dificultad es comercial y operativa. Una solicitud por mostrador, teléfono o mensajería puede requerir intercambios adicionales para confirmar medidas, materiales y acabados. Si la cotización no queda registrada junto con sus especificaciones, se hace más difícil comparar versiones, recuperar lo acordado y hacer seguimiento a la aprobación del taller. La falta de centralización también limita la visibilidad del inventario y de los estados de los pedidos. Investigaciones sobre la gestión de residuos aprovechables en Cartagena han señalado problemas de seguimiento de información y han propuesto inventarios y sistemas de información como componentes de mejora de la gestión (Quintero Serrano &amp; Díaz Padilla, 2022); aunque su objeto no es la venta de vidrio a medida, su énfasis en la trazabilidad resulta pertinente como antecedente local.</w:t>
      </w:r>
    </w:p>
    <w:p>
      <w:pPr>
        <w:widowControl/>
      </w:pPr>
      <w:r>
        <w:rPr>
          <w:rFonts w:ascii="Times New Roman" w:hAnsi="Times New Roman" w:eastAsia="Times New Roman"/>
          <w:i w:val="0"/>
          <w:sz w:val="24"/>
        </w:rPr>
        <w:t>La segunda dificultad es ambiental. Para que el cliente pueda comparar opciones, no basta con conocer el precio: necesita una estimación de las emisiones asociadas a la fabricación de su pieza. Una parte importante de la huella procede de la fabricación del vidrio base, a la que se pueden añadir emisiones del templado, las láminas intermedias usadas en el laminado, capas activas en productos especiales y transporte. Sin un método documentado, el resultado puede ser opaco o imposible de comparar entre opciones.</w:t>
      </w:r>
    </w:p>
    <w:p>
      <w:pPr>
        <w:widowControl/>
      </w:pPr>
      <w:r>
        <w:rPr>
          <w:rFonts w:ascii="Times New Roman" w:hAnsi="Times New Roman" w:eastAsia="Times New Roman"/>
          <w:i w:val="0"/>
          <w:sz w:val="24"/>
        </w:rPr>
        <w:t>El proyecto SmartGlass responde a esta necesidad con un prototipo funcional desplegado en la nube. La plataforma permite consultar un catálogo, configurar una pieza con dimensiones y propiedades, calcular precio, peso y huella estimada, guardar cotizaciones, esperar la aprobación del taller y continuar hacia el carrito y el soporte de compra. Sin embargo, el estado actual debe describirse con precisión: usa datos de demostración, no ha sido operada por una vidriería real con sus propios clientes y no procesa pagos reales ni emite factura electrónica válida ante la DIAN. Por ello, los beneficios operativos y ambientales son una hipótesis de valor que requiere evaluación durante un piloto.</w:t>
      </w:r>
    </w:p>
    <w:p>
      <w:pPr>
        <w:widowControl/>
      </w:pPr>
      <w:r>
        <w:rPr>
          <w:rFonts w:ascii="Times New Roman" w:hAnsi="Times New Roman" w:eastAsia="Times New Roman"/>
          <w:i w:val="0"/>
          <w:sz w:val="24"/>
        </w:rPr>
        <w:t>Además de las fórmulas de cálculo ambiental, el proyecto desarrolló un modelo de minería de datos para estimar CO₂ a partir de variables técnicas. El modelo se entrenó con datos sintéticos derivados de factores publicados. Sus métricas describen el desempeño dentro de ese conjunto de datos, pero no prueban todavía la precisión sobre piezas medidas en una operación industrial real. La pregunta de investigación debe, por tanto, abarcar la construcción de la plataforma y la evaluación transparente de sus componentes, sin presentar como logrados resultados que dependen de una futura prueba de campo.</w:t>
      </w:r>
    </w:p>
    <w:p>
      <w:pPr>
        <w:pStyle w:val="Ttulo2"/>
      </w:pPr>
      <w:r>
        <w:t>1.2 Pregunta problema</w:t>
      </w:r>
    </w:p>
    <w:p>
      <w:pPr>
        <w:widowControl/>
      </w:pPr>
      <w:r>
        <w:rPr>
          <w:rFonts w:ascii="Times New Roman" w:hAnsi="Times New Roman" w:eastAsia="Times New Roman"/>
          <w:i w:val="0"/>
          <w:sz w:val="24"/>
        </w:rPr>
        <w:t>¿Cómo puede el desarrollo de una plataforma web integrar la gestión comercial de piezas de vidrio a medida y la estimación de su huella de carbono antes de la fabricación, de manera que facilite la cotización, el seguimiento de pedidos y la toma de decisiones informadas en las vidrierías pequeñas y medianas de Colombia?</w:t>
      </w:r>
    </w:p>
    <w:p>
      <w:pPr>
        <w:pStyle w:val="Ttulo2"/>
      </w:pPr>
      <w:r>
        <w:t>1.3 Árbol del problema</w:t>
      </w:r>
    </w:p>
    <w:p>
      <w:pPr>
        <w:widowControl/>
      </w:pPr>
      <w:r>
        <w:rPr>
          <w:rFonts w:ascii="Times New Roman" w:hAnsi="Times New Roman" w:eastAsia="Times New Roman"/>
          <w:i w:val="0"/>
          <w:sz w:val="24"/>
        </w:rPr>
        <w:t>El siguiente árbol resume el problema central, sus causas y sus principales consecuencias en el contexto que aborda SmartGlass. Se presenta como síntesis del diagnóstico del proyecto y no como resultado de una encuesta aplicada a una muestra de vidrierías.</w:t>
      </w:r>
    </w:p>
    <w:p>
      <w:pPr>
        <w:spacing w:before="80" w:after="40"/>
        <w:jc w:val="center"/>
      </w:pPr>
      <w:r>
        <w:drawing>
          <wp:inline xmlns:a="http://schemas.openxmlformats.org/drawingml/2006/main" xmlns:pic="http://schemas.openxmlformats.org/drawingml/2006/picture">
            <wp:extent cx="5394960" cy="6035611"/>
            <wp:docPr id="1" name="Picture 1"/>
            <wp:cNvGraphicFramePr>
              <a:graphicFrameLocks noChangeAspect="1"/>
            </wp:cNvGraphicFramePr>
            <a:graphic>
              <a:graphicData uri="http://schemas.openxmlformats.org/drawingml/2006/picture">
                <pic:pic>
                  <pic:nvPicPr>
                    <pic:cNvPr id="0" name="arbol_problema_smartglass.png"/>
                    <pic:cNvPicPr/>
                  </pic:nvPicPr>
                  <pic:blipFill>
                    <a:blip r:embed="rId17"/>
                    <a:stretch>
                      <a:fillRect/>
                    </a:stretch>
                  </pic:blipFill>
                  <pic:spPr>
                    <a:xfrm>
                      <a:off x="0" y="0"/>
                      <a:ext cx="5394960" cy="6035611"/>
                    </a:xfrm>
                    <a:prstGeom prst="rect"/>
                  </pic:spPr>
                </pic:pic>
              </a:graphicData>
            </a:graphic>
          </wp:inline>
        </w:drawing>
      </w:r>
    </w:p>
    <w:p>
      <w:pPr>
        <w:spacing w:before="40" w:after="80"/>
        <w:jc w:val="center"/>
      </w:pPr>
      <w:r>
        <w:rPr>
          <w:rFonts w:ascii="Times New Roman" w:hAnsi="Times New Roman" w:eastAsia="Times New Roman"/>
          <w:i/>
          <w:color w:val="5C6670"/>
          <w:sz w:val="20"/>
        </w:rPr>
        <w:t>Figura 1. Árbol del problema de SmartGlass. Elaboración propia a partir del diagnóstico documental del proyecto.</w:t>
      </w:r>
    </w:p>
    <w:p>
      <w:pPr>
        <w:pStyle w:val="Ttulo2"/>
      </w:pPr>
      <w:r>
        <w:t>1.4 Justificación</w:t>
      </w:r>
    </w:p>
    <w:p>
      <w:pPr>
        <w:widowControl/>
      </w:pPr>
      <w:r>
        <w:rPr>
          <w:rFonts w:ascii="Times New Roman" w:hAnsi="Times New Roman" w:eastAsia="Times New Roman"/>
          <w:i w:val="0"/>
          <w:sz w:val="24"/>
        </w:rPr>
        <w:t>La relevancia de SmartGlass se sustenta en la unión de necesidades comerciales y de información ambiental en un mismo flujo de trabajo. En lugar de limitarse a publicar un catálogo, la plataforma relaciona la configuración técnica de la pieza con su precio estimado, su huella de carbono y el proceso de aprobación del taller. Esta integración se justifica en cuatro dimensiones:</w:t>
      </w:r>
    </w:p>
    <w:p>
      <w:pPr>
        <w:widowControl/>
      </w:pPr>
      <w:r>
        <w:rPr>
          <w:rFonts w:ascii="Times New Roman" w:hAnsi="Times New Roman" w:eastAsia="Times New Roman"/>
          <w:b/>
          <w:color w:val="0B2447"/>
          <w:sz w:val="24"/>
        </w:rPr>
        <w:t xml:space="preserve">Dimensión tecnológica y académica. </w:t>
      </w:r>
      <w:r>
        <w:rPr>
          <w:rFonts w:ascii="Times New Roman" w:hAnsi="Times New Roman" w:eastAsia="Times New Roman"/>
          <w:sz w:val="24"/>
        </w:rPr>
        <w:t>El desarrollo permite aplicar conocimientos de programación, bases de datos, interfaz web, despliegue en la nube y pruebas de software en un caso de uso concreto. También separa dos enfoques de cálculo -las fórmulas por etapas y un modelo de regresión- para comprender las ventajas, los límites y las condiciones de uso de cada uno.</w:t>
      </w:r>
    </w:p>
    <w:p>
      <w:pPr>
        <w:widowControl/>
      </w:pPr>
      <w:r>
        <w:rPr>
          <w:rFonts w:ascii="Times New Roman" w:hAnsi="Times New Roman" w:eastAsia="Times New Roman"/>
          <w:b/>
          <w:color w:val="0B2447"/>
          <w:sz w:val="24"/>
        </w:rPr>
        <w:t xml:space="preserve">Dimensión comercial y operativa. </w:t>
      </w:r>
      <w:r>
        <w:rPr>
          <w:rFonts w:ascii="Times New Roman" w:hAnsi="Times New Roman" w:eastAsia="Times New Roman"/>
          <w:sz w:val="24"/>
        </w:rPr>
        <w:t>La tienda, el configurador, las cotizaciones, el carrito, el panel administrativo y las notificaciones organizan el recorrido desde la consulta del producto hasta el soporte de compra. La aprobación del taller antes de pagar una pieza personalizada permite que el negocio conserve control sobre solicitudes que requieren revisión técnica.</w:t>
      </w:r>
    </w:p>
    <w:p>
      <w:pPr>
        <w:widowControl/>
      </w:pPr>
      <w:r>
        <w:rPr>
          <w:rFonts w:ascii="Times New Roman" w:hAnsi="Times New Roman" w:eastAsia="Times New Roman"/>
          <w:b/>
          <w:color w:val="0B2447"/>
          <w:sz w:val="24"/>
        </w:rPr>
        <w:t xml:space="preserve">Dimensión ambiental. </w:t>
      </w:r>
      <w:r>
        <w:rPr>
          <w:rFonts w:ascii="Times New Roman" w:hAnsi="Times New Roman" w:eastAsia="Times New Roman"/>
          <w:sz w:val="24"/>
        </w:rPr>
        <w:t>La estimación por etapas hace explícitos los supuestos detrás del resultado y permite mostrar cómo determinadas decisiones -por ejemplo, incorporar calcín o utilizar energía renovable en el templado- modifican el cálculo. La huella es informativa y comparativa; no reemplaza una declaración ambiental verificada ni una medición en planta.</w:t>
      </w:r>
    </w:p>
    <w:p>
      <w:pPr>
        <w:widowControl/>
      </w:pPr>
      <w:r>
        <w:rPr>
          <w:rFonts w:ascii="Times New Roman" w:hAnsi="Times New Roman" w:eastAsia="Times New Roman"/>
          <w:b/>
          <w:color w:val="0B2447"/>
          <w:sz w:val="24"/>
        </w:rPr>
        <w:t xml:space="preserve">Dimensión social y de mercado. </w:t>
      </w:r>
      <w:r>
        <w:rPr>
          <w:rFonts w:ascii="Times New Roman" w:hAnsi="Times New Roman" w:eastAsia="Times New Roman"/>
          <w:sz w:val="24"/>
        </w:rPr>
        <w:t>Una interfaz desde navegador, con varios idiomas y funciones de accesibilidad, busca que personas con diferentes necesidades puedan consultar productos y cotizar piezas. El enfoque SaaS con planes Básico y Avanzado plantea una vía de adopción gradual para vidrierías de distinto tamaño, aunque el modelo comercial debe validarse en un piloto real.</w:t>
      </w:r>
    </w:p>
    <w:p>
      <w:pPr>
        <w:widowControl/>
      </w:pPr>
      <w:r>
        <w:rPr>
          <w:rFonts w:ascii="Times New Roman" w:hAnsi="Times New Roman" w:eastAsia="Times New Roman"/>
          <w:i w:val="0"/>
          <w:sz w:val="24"/>
        </w:rPr>
        <w:t>La Ley 2169 de 2021 impulsa metas y medidas para la carbono-neutralidad, la resiliencia climática y el desarrollo bajo en carbono en Colombia. SmartGlass se relaciona con ese propósito al hacer visible una estimación de emisiones y posibles decisiones de reducción, pero no debe interpretarse como un mecanismo de certificación ni como prueba, por sí mismo, de cumplimiento normativo (Congreso de Colombia, 2021).</w:t>
      </w:r>
    </w:p>
    <w:p>
      <w:pPr>
        <w:pStyle w:val="Ttulo2"/>
      </w:pPr>
      <w:r>
        <w:t>1.5 Objetivos</w:t>
      </w:r>
    </w:p>
    <w:p>
      <w:pPr>
        <w:pStyle w:val="Ttulo3"/>
      </w:pPr>
      <w:r>
        <w:t>1.5.1 Objetivo general</w:t>
      </w:r>
    </w:p>
    <w:p>
      <w:pPr>
        <w:widowControl/>
      </w:pPr>
      <w:r>
        <w:rPr>
          <w:rFonts w:ascii="Times New Roman" w:hAnsi="Times New Roman" w:eastAsia="Times New Roman"/>
          <w:i w:val="0"/>
          <w:sz w:val="24"/>
        </w:rPr>
        <w:t>Desarrollar y evaluar un prototipo de plataforma web para la gestión comercial de vidrierías que permita consultar productos, configurar piezas de vidrio a medida, gestionar cotizaciones y pedidos, y estimar la huella de carbono por etapas antes de la fabricación, documentando el desempeño y las limitaciones de sus componentes.</w:t>
      </w:r>
    </w:p>
    <w:p>
      <w:pPr>
        <w:pStyle w:val="Ttulo3"/>
      </w:pPr>
      <w:r>
        <w:t>1.5.2 Objetivos específicos</w:t>
      </w:r>
    </w:p>
    <w:p>
      <w:pPr>
        <w:spacing w:after="80" w:line="264" w:lineRule="auto"/>
        <w:ind w:left="461" w:hanging="346"/>
      </w:pPr>
      <w:r>
        <w:rPr>
          <w:rFonts w:ascii="Times New Roman" w:hAnsi="Times New Roman" w:eastAsia="Times New Roman"/>
          <w:sz w:val="23"/>
        </w:rPr>
        <w:t>1. Caracterizar las necesidades funcionales y técnicas del proceso de comercialización de vidrio a medida mediante revisión documental y definición del flujo de trabajo que aborda SmartGlass.</w:t>
      </w:r>
    </w:p>
    <w:p>
      <w:pPr>
        <w:spacing w:after="80" w:line="264" w:lineRule="auto"/>
        <w:ind w:left="461" w:hanging="346"/>
      </w:pPr>
      <w:r>
        <w:rPr>
          <w:rFonts w:ascii="Times New Roman" w:hAnsi="Times New Roman" w:eastAsia="Times New Roman"/>
          <w:sz w:val="23"/>
        </w:rPr>
        <w:t>2. Diseñar e implementar los módulos web de tienda, configurador de piezas, cotizaciones, carrito, panel administrativo y notificaciones, con persistencia de datos y despliegue en la nube.</w:t>
      </w:r>
    </w:p>
    <w:p>
      <w:pPr>
        <w:spacing w:after="80" w:line="264" w:lineRule="auto"/>
        <w:ind w:left="461" w:hanging="346"/>
      </w:pPr>
      <w:r>
        <w:rPr>
          <w:rFonts w:ascii="Times New Roman" w:hAnsi="Times New Roman" w:eastAsia="Times New Roman"/>
          <w:sz w:val="23"/>
        </w:rPr>
        <w:t>3. Implementar un método transparente para estimar la huella de carbono de una pieza a partir de etapas de fabricación y transporte, documentando los factores, supuestos y límites utilizados.</w:t>
      </w:r>
    </w:p>
    <w:p>
      <w:pPr>
        <w:spacing w:after="80" w:line="264" w:lineRule="auto"/>
        <w:ind w:left="461" w:hanging="346"/>
      </w:pPr>
      <w:r>
        <w:rPr>
          <w:rFonts w:ascii="Times New Roman" w:hAnsi="Times New Roman" w:eastAsia="Times New Roman"/>
          <w:sz w:val="23"/>
        </w:rPr>
        <w:t>4. Construir y evaluar un modelo de regresión Random Forest para estimar emisiones de CO₂ a partir de un conjunto de datos sintético, comparándolo con modelos de referencia y evitando filtración de información entre variables predictoras y objetivo.</w:t>
      </w:r>
    </w:p>
    <w:p>
      <w:pPr>
        <w:spacing w:after="80" w:line="264" w:lineRule="auto"/>
        <w:ind w:left="461" w:hanging="346"/>
      </w:pPr>
      <w:r>
        <w:rPr>
          <w:rFonts w:ascii="Times New Roman" w:hAnsi="Times New Roman" w:eastAsia="Times New Roman"/>
          <w:sz w:val="23"/>
        </w:rPr>
        <w:t>5. Ejecutar pruebas funcionales y automatizadas sobre el prototipo, registrar los resultados y establecer las acciones necesarias para una prueba piloto con una vidriería real.</w:t>
      </w:r>
    </w:p>
    <w:p>
      <w:r>
        <w:br w:type="page"/>
      </w:r>
    </w:p>
    <w:p>
      <w:pPr>
        <w:pStyle w:val="Ttulo1"/>
      </w:pPr>
      <w:r>
        <w:t>Capítulo II</w:t>
      </w:r>
    </w:p>
    <w:p>
      <w:pPr>
        <w:pStyle w:val="Ttulo2"/>
      </w:pPr>
      <w:r>
        <w:t>Marco de referencia</w:t>
      </w:r>
    </w:p>
    <w:p>
      <w:pPr>
        <w:pStyle w:val="Ttulo2"/>
      </w:pPr>
      <w:r>
        <w:t>2. Estado del arte</w:t>
      </w:r>
    </w:p>
    <w:p>
      <w:pPr>
        <w:widowControl/>
      </w:pPr>
      <w:r>
        <w:rPr>
          <w:rFonts w:ascii="Times New Roman" w:hAnsi="Times New Roman" w:eastAsia="Times New Roman"/>
          <w:i w:val="0"/>
          <w:sz w:val="24"/>
        </w:rPr>
        <w:t>El estado del arte se organiza por ámbito geográfico y reúne cuatro trabajos relacionados con la descarbonización industrial, la circularidad del vidrio, la automatización de procesos y la gestión de información ambiental. Estos antecedentes no son equivalentes a SmartGlass: se emplean para identificar enfoques complementarios y precisar la contribución del proyecto.</w:t>
      </w:r>
    </w:p>
    <w:p>
      <w:pPr>
        <w:pStyle w:val="Ttulo3"/>
      </w:pPr>
      <w:r>
        <w:t>2.1 Antecedentes internacionales</w:t>
      </w:r>
    </w:p>
    <w:p>
      <w:pPr>
        <w:pStyle w:val="Ttulo4"/>
      </w:pPr>
      <w:r>
        <w:t>Trabajo 1. Descarbonización de la industria del vidrio</w:t>
      </w:r>
    </w:p>
    <w:p>
      <w:pPr>
        <w:widowControl/>
      </w:pPr>
      <w:r>
        <w:rPr>
          <w:rFonts w:ascii="Times New Roman" w:hAnsi="Times New Roman" w:eastAsia="Times New Roman"/>
          <w:i w:val="0"/>
          <w:sz w:val="24"/>
        </w:rPr>
        <w:t>Branca, Colla y Algermissen (2020) estudian las posibilidades de reducción de emisiones en industrias de alto consumo energético y analizan rutas de descarbonización para el sector de fabricación de vidrio. Su revisión aporta contexto sobre el vínculo entre procesos industriales, consumo de energía y emisiones, y destaca la necesidad de combinar mejoras tecnológicas con decisiones de proceso y uso de recursos. Para SmartGlass, el antecedente justifica que la estimación ambiental considere más de una etapa y que los factores de emisión deban asociarse a fuentes documentadas. La diferencia principal es que el artículo aborda la descarbonización del proceso industrial, mientras SmartGlass traslada una estimación por pieza al nivel comercial de la vidriería.</w:t>
      </w:r>
    </w:p>
    <w:p>
      <w:pPr>
        <w:pStyle w:val="Ttulo4"/>
      </w:pPr>
      <w:r>
        <w:t>Trabajo 2. Flujo de materiales de envases de vidrio en Perú</w:t>
      </w:r>
    </w:p>
    <w:p>
      <w:pPr>
        <w:widowControl/>
      </w:pPr>
      <w:r>
        <w:rPr>
          <w:rFonts w:ascii="Times New Roman" w:hAnsi="Times New Roman" w:eastAsia="Times New Roman"/>
          <w:i w:val="0"/>
          <w:sz w:val="24"/>
        </w:rPr>
        <w:t>Díaz, Velarde y Lino (2021) realizaron un análisis de flujo de materiales para diagnosticar la producción, circulación, consumo, comercio y destino de los envases de vidrio en Perú durante 2018. El estudio combinó información disponible con validación de actores relevantes de la industria. Entre sus resultados reportó que circularon aproximadamente 632.500 toneladas de envases y que, de los residuos posconsumo del mercado formal considerados, se recuperó el 26,1 %, mientras que el 73,9 % terminó en rellenos sanitarios o en el ambiente. Estos resultados muestran el valor de contar con inventarios y trazabilidad para comprender el ciclo de materiales. Aunque el artículo se centra en envases y no en piezas arquitectónicas a medida, respalda la importancia de registrar materiales y hacer visibles las alternativas de circularidad en SmartGlass.</w:t>
      </w:r>
    </w:p>
    <w:p>
      <w:pPr>
        <w:pStyle w:val="Ttulo3"/>
      </w:pPr>
      <w:r>
        <w:t>2.2 Antecedente nacional</w:t>
      </w:r>
    </w:p>
    <w:p>
      <w:pPr>
        <w:pStyle w:val="Ttulo4"/>
      </w:pPr>
      <w:r>
        <w:t>Sistema de supervisión y control para vidrio laminado en Colombia</w:t>
      </w:r>
    </w:p>
    <w:p>
      <w:pPr>
        <w:widowControl/>
      </w:pPr>
      <w:r>
        <w:rPr>
          <w:rFonts w:ascii="Times New Roman" w:hAnsi="Times New Roman" w:eastAsia="Times New Roman"/>
          <w:i w:val="0"/>
          <w:sz w:val="24"/>
        </w:rPr>
        <w:t>Amaya Guevara y Virviescas Rincón (2023) desarrollaron un trabajo de grado orientado al diseño e implementación de un sistema de supervisión y control del proceso de vidrio laminado en la planta AGP Colombia, en Bogotá. El planteamiento considera variables críticas como temperatura, presión y vacío, y se orienta a mejorar el seguimiento del proceso mediante herramientas de automatización y control. Este antecedente evidencia el valor de estructurar y supervisar variables técnicas en una operación vidriera. SmartGlass comparte el interés por organizar información técnica, aunque su alcance es diferente: es una plataforma de gestión comercial y estimación de huella para cada pieza, no un sistema de control de maquinaria industrial.</w:t>
      </w:r>
    </w:p>
    <w:p>
      <w:pPr>
        <w:pStyle w:val="Ttulo3"/>
      </w:pPr>
      <w:r>
        <w:t>2.3 Antecedente local</w:t>
      </w:r>
    </w:p>
    <w:p>
      <w:pPr>
        <w:pStyle w:val="Ttulo4"/>
      </w:pPr>
      <w:r>
        <w:t>Uso de vidrio reciclado en la estabilización de suelo arcilloso en Cartagena</w:t>
      </w:r>
    </w:p>
    <w:p>
      <w:pPr>
        <w:widowControl/>
      </w:pPr>
      <w:r>
        <w:rPr>
          <w:rFonts w:ascii="Times New Roman" w:hAnsi="Times New Roman" w:eastAsia="Times New Roman"/>
          <w:i w:val="0"/>
          <w:sz w:val="24"/>
        </w:rPr>
        <w:t>Aldana Rivera y De Ávila Flórez (2023), de la Universidad de Cartagena, estudiaron los efectos de añadir vidrio molido reciclado para estabilizar un suelo arcilloso de la ciudad. El trabajo relaciona el aprovechamiento de vidrio con una aplicación de ingeniería y con el interés por valorizar un material que puede convertirse en residuo. La ficha institucional consultada identifica el proyecto y su propósito, pero no es suficiente para atribuirle aquí un porcentaje específico de mejora; por ello, el antecedente se utiliza únicamente para sustentar la pertinencia local de explorar alternativas de aprovechamiento. SmartGlass no realiza estabilización de suelos: su vínculo está en visibilizar el componente ambiental del producto y en contemplar opciones de reciclaje dentro de la cotización.</w:t>
      </w:r>
    </w:p>
    <w:tbl>
      <w:tblPr>
        <w:tblStyle w:val="Tablaconcuadrcula"/>
        <w:tblW w:type="auto" w:w="0"/>
        <w:jc w:val="center"/>
        <w:tblLook w:firstColumn="1" w:firstRow="1" w:lastColumn="0" w:lastRow="0" w:noHBand="0" w:noVBand="1" w:val="04A0"/>
      </w:tblPr>
      <w:tblGrid>
        <w:gridCol w:w="8504"/>
      </w:tblGrid>
      <w:tr>
        <w:tc>
          <w:tcPr>
            <w:tcW w:type="dxa" w:w="8504"/>
            <w:tcMar>
              <w:top w:w="120" w:type="dxa"/>
              <w:start w:w="160" w:type="dxa"/>
              <w:bottom w:w="120" w:type="dxa"/>
              <w:end w:w="160" w:type="dxa"/>
            </w:tcMar>
          </w:tcPr>
          <w:p>
            <w:pPr>
              <w:spacing w:after="60"/>
            </w:pPr>
            <w:r/>
            <w:r>
              <w:rPr>
                <w:rFonts w:ascii="Times New Roman" w:hAnsi="Times New Roman" w:eastAsia="Times New Roman"/>
                <w:sz w:val="21"/>
              </w:rPr>
              <w:t>Síntesis del estado del arte</w:t>
              <w:br/>
            </w:r>
            <w:r>
              <w:rPr>
                <w:rFonts w:ascii="Times New Roman" w:hAnsi="Times New Roman" w:eastAsia="Times New Roman"/>
                <w:sz w:val="21"/>
              </w:rPr>
              <w:t>Los antecedentes muestran tres líneas útiles: (1) reducir y calcular emisiones de procesos intensivos en energía; (2) mejorar el registro y la trazabilidad de materiales; y (3) supervisar variables técnicas y explorar el aprovechamiento del vidrio. En las fuentes revisadas no se identificó, dentro de estos cuatro trabajos, un sistema que integre en una misma experiencia comercial el catálogo de una vidriería, la configuración de piezas a medida, la aprobación del taller y una estimación de CO₂ por pedido. Esta afirmación se limita a los antecedentes aquí revisados; no representa una búsqueda exhaustiva de todo el mercado.</w:t>
            </w:r>
          </w:p>
        </w:tc>
      </w:tr>
    </w:tbl>
    <w:p>
      <w:pPr>
        <w:spacing w:after="20"/>
      </w:pPr>
    </w:p>
    <w:p>
      <w:pPr>
        <w:pStyle w:val="Ttulo2"/>
      </w:pPr>
      <w:r>
        <w:t>2.4 Marco teórico</w:t>
      </w:r>
    </w:p>
    <w:p>
      <w:pPr>
        <w:pStyle w:val="Ttulo3"/>
      </w:pPr>
      <w:r>
        <w:t>2.4.1 Plataformas web para la gestión comercial</w:t>
      </w:r>
    </w:p>
    <w:p>
      <w:pPr>
        <w:widowControl/>
      </w:pPr>
      <w:r>
        <w:rPr>
          <w:rFonts w:ascii="Times New Roman" w:hAnsi="Times New Roman" w:eastAsia="Times New Roman"/>
          <w:i w:val="0"/>
          <w:sz w:val="24"/>
        </w:rPr>
        <w:t>Una plataforma web permite acceder a funciones de negocio desde un navegador sin exigir la instalación de un programa de escritorio en cada equipo. En el contexto comercial, una misma aplicación puede relacionar el catálogo, la información del producto, la cotización, el carrito, los pedidos y los registros administrativos. Para una pieza a medida es especialmente importante conservar las especificaciones de la solicitud y el estado de aprobación, porque el producto no siempre está listo para una compra directa.</w:t>
      </w:r>
    </w:p>
    <w:p>
      <w:pPr>
        <w:widowControl/>
      </w:pPr>
      <w:r>
        <w:rPr>
          <w:rFonts w:ascii="Times New Roman" w:hAnsi="Times New Roman" w:eastAsia="Times New Roman"/>
          <w:i w:val="0"/>
          <w:sz w:val="24"/>
        </w:rPr>
        <w:t>SmartGlass sigue este enfoque al ofrecer una experiencia pública para consultar y configurar productos, y un panel de administración para revisar cotizaciones y gestionar pedidos. El modelo planteado es de software como servicio (SaaS), con planes Básico y Avanzado. En el estado actual, la documentación define una instalación independiente por vidriería; el alojamiento de varias empresas en una sola instalación se considera una evolución futura, no una capacidad ya implementada.</w:t>
      </w:r>
    </w:p>
    <w:p>
      <w:pPr>
        <w:pStyle w:val="Ttulo3"/>
      </w:pPr>
      <w:r>
        <w:t>2.4.2 Vidrio a medida y variables técnicas</w:t>
      </w:r>
    </w:p>
    <w:p>
      <w:pPr>
        <w:widowControl/>
      </w:pPr>
      <w:r>
        <w:rPr>
          <w:rFonts w:ascii="Times New Roman" w:hAnsi="Times New Roman" w:eastAsia="Times New Roman"/>
          <w:i w:val="0"/>
          <w:sz w:val="24"/>
        </w:rPr>
        <w:t>El cálculo comercial de una pieza debe considerar, al menos, su área, espesor, tipo de vidrio, forma, tratamiento y proceso previsto. El área y el espesor permiten aproximar la cantidad de material y el peso, mientras que los tratamientos y el tipo de vidrio modifican el proceso y pueden incorporar materiales adicionales. El configurador de SmartGlass presenta una representación gráfica de la pieza, valida algunos límites de uso y actualiza estimaciones mientras el cliente cambia sus opciones. Esta salida es una ayuda inicial de cotización; la revisión del taller sigue siendo una condición relevante para fabricar una pieza personalizada.</w:t>
      </w:r>
    </w:p>
    <w:p>
      <w:pPr>
        <w:pStyle w:val="Ttulo3"/>
      </w:pPr>
      <w:r>
        <w:t>2.4.3 Huella de carbono y cálculo por etapas</w:t>
      </w:r>
    </w:p>
    <w:p>
      <w:pPr>
        <w:widowControl/>
      </w:pPr>
      <w:r>
        <w:rPr>
          <w:rFonts w:ascii="Times New Roman" w:hAnsi="Times New Roman" w:eastAsia="Times New Roman"/>
          <w:i w:val="0"/>
          <w:sz w:val="24"/>
        </w:rPr>
        <w:t>La huella de carbono expresa las emisiones de gases de efecto invernadero asociadas a un producto, proceso o actividad, comúnmente expresadas en kilogramos de dióxido de carbono equivalente (kg CO₂e). El cálculo depende del límite del sistema, los datos de actividad, los factores de emisión y los supuestos de transporte y procesamiento. En SmartGlass, la estimación comercial suma cinco componentes: fusión del vidrio base, templado cuando aplica, lámina de PVB para vidrios laminados, capa activa para productos inteligentes o fotovoltaicos y transporte.</w:t>
      </w:r>
    </w:p>
    <w:p>
      <w:pPr>
        <w:widowControl/>
      </w:pPr>
      <w:r>
        <w:rPr>
          <w:rFonts w:ascii="Times New Roman" w:hAnsi="Times New Roman" w:eastAsia="Times New Roman"/>
          <w:i w:val="0"/>
          <w:sz w:val="24"/>
        </w:rPr>
        <w:t>El peso se estima a partir del área, el espesor y una densidad asumida según la composición del producto. La etapa de fusión utiliza como referencia 1,03 kg CO₂e por kilogramo de vidrio; cuando el cliente elige la alternativa con calcín, el modelo del aplicativo aplica una reducción del 7,5 % a esa etapa. Para el templado se estima consumo eléctrico y se utiliza un factor para red eléctrica o energía renovable. El PVB se considera en vidrios laminados, la capa activa en los tipos especiales definidos y el transporte supone un trayecto fijo de 300 km. Las fórmulas se basan en fuentes públicas y estimaciones documentadas por el proyecto (Avery &amp; Carpenter, 2023; Branca et al., 2020; Furszyfer Del Rio et al., 2022).</w:t>
      </w:r>
    </w:p>
    <w:tbl>
      <w:tblPr>
        <w:tblStyle w:val="Tablaconcuadrcula"/>
        <w:tblW w:type="auto" w:w="0"/>
        <w:jc w:val="center"/>
        <w:tblLook w:firstColumn="1" w:firstRow="1" w:lastColumn="0" w:lastRow="0" w:noHBand="0" w:noVBand="1" w:val="04A0"/>
      </w:tblPr>
      <w:tblGrid>
        <w:gridCol w:w="8504"/>
      </w:tblGrid>
      <w:tr>
        <w:tc>
          <w:tcPr>
            <w:tcW w:type="dxa" w:w="8504"/>
            <w:tcMar>
              <w:top w:w="120" w:type="dxa"/>
              <w:start w:w="160" w:type="dxa"/>
              <w:bottom w:w="120" w:type="dxa"/>
              <w:end w:w="160" w:type="dxa"/>
            </w:tcMar>
          </w:tcPr>
          <w:p>
            <w:pPr>
              <w:spacing w:after="60"/>
            </w:pPr>
            <w:r/>
            <w:r>
              <w:rPr>
                <w:rFonts w:ascii="Times New Roman" w:hAnsi="Times New Roman" w:eastAsia="Times New Roman"/>
                <w:sz w:val="21"/>
              </w:rPr>
              <w:t>Alcance y precaución metodológica</w:t>
              <w:br/>
            </w:r>
            <w:r>
              <w:rPr>
                <w:rFonts w:ascii="Times New Roman" w:hAnsi="Times New Roman" w:eastAsia="Times New Roman"/>
                <w:sz w:val="21"/>
              </w:rPr>
              <w:t>El resultado de SmartGlass es una estimación comparativa, no una lectura directa de emisiones de una planta ni una Declaración Ambiental de Producto verificada. Factores promedio, distancia de transporte fija y supuestos específicos -incluida la capa activa estimada- limitan la precisión para una vidriería particular. Para un uso industrial o de certificación se necesitarían datos medidos, información del proveedor y, cuando corresponda, validación externa.</w:t>
            </w:r>
          </w:p>
        </w:tc>
      </w:tr>
    </w:tbl>
    <w:p>
      <w:pPr>
        <w:spacing w:after="20"/>
      </w:pPr>
    </w:p>
    <w:p>
      <w:pPr>
        <w:pStyle w:val="Ttulo3"/>
      </w:pPr>
      <w:r>
        <w:t>2.4.4 Minería de datos y regresión</w:t>
      </w:r>
    </w:p>
    <w:p>
      <w:pPr>
        <w:widowControl/>
      </w:pPr>
      <w:r>
        <w:rPr>
          <w:rFonts w:ascii="Times New Roman" w:hAnsi="Times New Roman" w:eastAsia="Times New Roman"/>
          <w:i w:val="0"/>
          <w:sz w:val="24"/>
        </w:rPr>
        <w:t>La minería de datos permite explorar patrones dentro de conjuntos de datos mediante tareas como clasificación, agrupamiento o regresión. En una tarea de regresión, la variable objetivo es numérica continua. SmartGlass construyó un conjunto de 1.000 piezas sintéticas con variables categóricas y numéricas para estimar co2_kg. El conjunto incluye tipo de vidrio, proceso, área, espesor, porcentaje de calcín y energía por kilogramo; la masa calculada se excluyó como predictor porque comparte la misma fórmula base de la respuesta y podía producir filtración de datos.</w:t>
      </w:r>
    </w:p>
    <w:p>
      <w:pPr>
        <w:widowControl/>
      </w:pPr>
      <w:r>
        <w:rPr>
          <w:rFonts w:ascii="Times New Roman" w:hAnsi="Times New Roman" w:eastAsia="Times New Roman"/>
          <w:i w:val="0"/>
          <w:sz w:val="24"/>
        </w:rPr>
        <w:t>El modelo elegido es Random Forest Regressor con 200 árboles. Antes de entrenar, las variables categóricas se transforman mediante One-Hot Encoding dentro de un Pipeline de scikit-learn. Los datos se separan en un 80 % de entrenamiento y un 20 % de prueba, y la evaluación se complementa con validación cruzada de cinco particiones. El MAE mide el error absoluto medio en las unidades de la variable objetivo; el RMSE penaliza más los errores grandes; y R² expresa cuánto de la variación de los valores objetivo explica el modelo en la muestra evaluada. Las métricas solo se interpretan dentro del conjunto sintético que dio origen al entrenamiento, no como una garantía de precisión para procesos reales (Géron, 2022).</w:t>
      </w:r>
    </w:p>
    <w:p>
      <w:pPr>
        <w:pStyle w:val="Ttulo3"/>
      </w:pPr>
      <w:r>
        <w:t>2.4.5 Arquitectura tecnológica y persistencia de datos</w:t>
      </w:r>
    </w:p>
    <w:p>
      <w:pPr>
        <w:widowControl/>
      </w:pPr>
      <w:r>
        <w:rPr>
          <w:rFonts w:ascii="Times New Roman" w:hAnsi="Times New Roman" w:eastAsia="Times New Roman"/>
          <w:i w:val="0"/>
          <w:sz w:val="24"/>
        </w:rPr>
        <w:t>La documentación técnica describe una aplicación basada en Java 26 y Spring Boot 4, con páginas renderizadas mediante Thymeleaf. MySQL se utiliza para información que requiere relaciones y transacciones, como usuarios y pedidos; MongoDB se utiliza para estructuras variables, como configuraciones y cotizaciones de piezas. Docker empaqueta la aplicación para desplegarla en Railway, con MongoDB Atlas y un servicio MySQL gestionado en Aiven. Esta arquitectura corresponde al prototipo descrito en la documentación de octubre de 2026 y debe ser revisada si cambian las versiones o los proveedores de infraestructura.</w:t>
      </w:r>
    </w:p>
    <w:p>
      <w:pPr>
        <w:widowControl/>
      </w:pPr>
      <w:r>
        <w:rPr>
          <w:rFonts w:ascii="Times New Roman" w:hAnsi="Times New Roman" w:eastAsia="Times New Roman"/>
          <w:i w:val="0"/>
          <w:sz w:val="24"/>
        </w:rPr>
        <w:t>El sistema incorpora autenticación con contraseña y Google, roles de cliente y administrador, validaciones del lado del servidor, límites de solicitudes y controles para reducir abusos. También incluye modo de accesibilidad para daltonismo, reducción de animaciones, navegación con teclado, tema claro y oscuro y tres idiomas. La existencia de estas funciones no significa que el sistema haya recibido una auditoría formal de seguridad o certificación de accesibilidad; son funciones descritas y probadas dentro del alcance actual del prototipo.</w:t>
      </w:r>
    </w:p>
    <w:p>
      <w:pPr>
        <w:pStyle w:val="Ttulo3"/>
      </w:pPr>
      <w:r>
        <w:t>2.4.6 Sostenibilidad y toma de decisiones</w:t>
      </w:r>
    </w:p>
    <w:p>
      <w:pPr>
        <w:widowControl/>
      </w:pPr>
      <w:r>
        <w:rPr>
          <w:rFonts w:ascii="Times New Roman" w:hAnsi="Times New Roman" w:eastAsia="Times New Roman"/>
          <w:i w:val="0"/>
          <w:sz w:val="24"/>
        </w:rPr>
        <w:t>Los Objetivos de Desarrollo Sostenible que más se relacionan con SmartGlass son el ODS 9, por la innovación y modernización de procesos; el ODS 11, por su relación indirecta con la construcción y los espacios habitables; el ODS 12, por el uso responsable de materiales y la consideración de reciclaje; y el ODS 13, por la divulgación de información vinculada a emisiones. Estas relaciones expresan la orientación del proyecto y no equivalen a una certificación de impacto. El aporte del prototipo consiste en convertir una parte de la información ambiental en un dato comprensible para comparar alternativas antes de solicitar una pieza.</w:t>
      </w:r>
    </w:p>
    <w:p>
      <w:pPr>
        <w:pStyle w:val="Ttulo2"/>
      </w:pPr>
      <w:r>
        <w:t>2.5 Marco contextual</w:t>
      </w:r>
    </w:p>
    <w:p>
      <w:pPr>
        <w:widowControl/>
      </w:pPr>
      <w:r>
        <w:rPr>
          <w:rFonts w:ascii="Times New Roman" w:hAnsi="Times New Roman" w:eastAsia="Times New Roman"/>
          <w:i w:val="0"/>
          <w:sz w:val="24"/>
        </w:rPr>
        <w:t>SmartGlass se desarrolla en Cartagena de Indias, Colombia, en el marco de un proyecto académico de Tecnología en Desarrollo de Software y Minería de Datos I. Su público objetivo son pequeñas y medianas vidrierías que ofrecen vidrio plano, productos de catálogo y piezas personalizadas, así como los clientes finales: hogares, arquitectos y constructoras. La vidriería es el cliente empresarial del servicio; el comprador de vidrio utiliza la tienda, el configurador y la ficha de la pieza.</w:t>
      </w:r>
    </w:p>
    <w:p>
      <w:pPr>
        <w:widowControl/>
      </w:pPr>
      <w:r>
        <w:rPr>
          <w:rFonts w:ascii="Times New Roman" w:hAnsi="Times New Roman" w:eastAsia="Times New Roman"/>
          <w:i w:val="0"/>
          <w:sz w:val="24"/>
        </w:rPr>
        <w:t>El prototipo se encuentra desplegado en la nube y utiliza datos de demostración. La documentación describe ocho módulos funcionales: tienda y catálogo; configurador a medida; cálculo instantáneo de precio, peso, resistencia y huella; decisiones ambientales y sello «Compromiso verde»; cotizaciones con aprobación o rechazo del taller; carrito, pago simulado y soporte de compra; panel administrativo; y notificaciones. La interfaz incluye tres idiomas, accesibilidad y una guía automática de uso. El configurador incorpora 14 formas y una opción de corte libre, aunque la variedad de tipos disponibles en el configurador es menor que la utilizada en el dataset de minería de datos.</w:t>
      </w:r>
    </w:p>
    <w:p>
      <w:pPr>
        <w:widowControl/>
      </w:pPr>
      <w:r>
        <w:rPr>
          <w:rFonts w:ascii="Times New Roman" w:hAnsi="Times New Roman" w:eastAsia="Times New Roman"/>
          <w:i w:val="0"/>
          <w:sz w:val="24"/>
        </w:rPr>
        <w:t>El modelo de negocio propuesto es una suscripción mensual con planes Básico y Avanzado, cuyos precios deben definirse después del piloto. La plataforma todavía no ha operado con una vidriería real ni ha procesado dinero real. Antes de una implementación comercial se requiere, entre otros aspectos, conectar una pasarela de pago, integrar facturación electrónica, permitir editar los precios del configurador desde el panel, revisar las protecciones pendientes e incorporar datos propios del proveedor y de la operación.</w:t>
      </w:r>
    </w:p>
    <w:p>
      <w:pPr>
        <w:pStyle w:val="Ttulo2"/>
      </w:pPr>
      <w:r>
        <w:t>2.6 Marco legal</w:t>
      </w:r>
    </w:p>
    <w:p>
      <w:pPr>
        <w:widowControl/>
      </w:pPr>
      <w:r>
        <w:rPr>
          <w:rFonts w:ascii="Times New Roman" w:hAnsi="Times New Roman" w:eastAsia="Times New Roman"/>
          <w:i w:val="0"/>
          <w:sz w:val="24"/>
        </w:rPr>
        <w:t>El marco legal orienta las condiciones que deberán tenerse en cuenta para la evolución del prototipo. La inclusión de estas normas no constituye un dictamen jurídico ni implica que la versión actual satisfaga por completo todos los requisitos de una operación comercial real.</w:t>
      </w:r>
    </w:p>
    <w:p>
      <w:pPr>
        <w:widowControl/>
      </w:pPr>
      <w:r>
        <w:rPr>
          <w:rFonts w:ascii="Times New Roman" w:hAnsi="Times New Roman" w:eastAsia="Times New Roman"/>
          <w:b/>
          <w:color w:val="0B2447"/>
          <w:sz w:val="24"/>
        </w:rPr>
        <w:t xml:space="preserve">Ley 2169 de 2021. </w:t>
      </w:r>
      <w:r>
        <w:rPr>
          <w:rFonts w:ascii="Times New Roman" w:hAnsi="Times New Roman" w:eastAsia="Times New Roman"/>
          <w:sz w:val="24"/>
        </w:rPr>
        <w:t>Impulsa el desarrollo bajo en carbono mediante metas y medidas relacionadas con carbono-neutralidad y resiliencia climática. Se relaciona con el propósito de hacer visible una estimación de emisiones y promover decisiones informadas (Congreso de Colombia, 2021).</w:t>
      </w:r>
    </w:p>
    <w:p>
      <w:pPr>
        <w:widowControl/>
      </w:pPr>
      <w:r>
        <w:rPr>
          <w:rFonts w:ascii="Times New Roman" w:hAnsi="Times New Roman" w:eastAsia="Times New Roman"/>
          <w:b/>
          <w:color w:val="0B2447"/>
          <w:sz w:val="24"/>
        </w:rPr>
        <w:t xml:space="preserve">Ley 99 de 1993. </w:t>
      </w:r>
      <w:r>
        <w:rPr>
          <w:rFonts w:ascii="Times New Roman" w:hAnsi="Times New Roman" w:eastAsia="Times New Roman"/>
          <w:sz w:val="24"/>
        </w:rPr>
        <w:t>Crea el Ministerio de Ambiente, reorganiza la gestión ambiental y establece el Sistema Nacional Ambiental. Proporciona un marco general para la gestión y conservación del ambiente y los recursos naturales (Congreso de Colombia, 1993).</w:t>
      </w:r>
    </w:p>
    <w:p>
      <w:pPr>
        <w:widowControl/>
      </w:pPr>
      <w:r>
        <w:rPr>
          <w:rFonts w:ascii="Times New Roman" w:hAnsi="Times New Roman" w:eastAsia="Times New Roman"/>
          <w:b/>
          <w:color w:val="0B2447"/>
          <w:sz w:val="24"/>
        </w:rPr>
        <w:t xml:space="preserve">Ley 697 de 2001 y Ley 1715 de 2014. </w:t>
      </w:r>
      <w:r>
        <w:rPr>
          <w:rFonts w:ascii="Times New Roman" w:hAnsi="Times New Roman" w:eastAsia="Times New Roman"/>
          <w:sz w:val="24"/>
        </w:rPr>
        <w:t>La primera fomenta el uso racional y eficiente de la energía y alternativas energéticas; la segunda promueve la integración de fuentes no convencionales de energía renovable. Son pertinentes para contextualizar los escenarios de consumo energético considerados en el cálculo, sin que la herramienta mida directamente la energía de una planta (Congreso de Colombia, 2001, 2014).</w:t>
      </w:r>
    </w:p>
    <w:p>
      <w:pPr>
        <w:widowControl/>
      </w:pPr>
      <w:r>
        <w:rPr>
          <w:rFonts w:ascii="Times New Roman" w:hAnsi="Times New Roman" w:eastAsia="Times New Roman"/>
          <w:b/>
          <w:color w:val="0B2447"/>
          <w:sz w:val="24"/>
        </w:rPr>
        <w:t xml:space="preserve">Ley 1581 de 2012. </w:t>
      </w:r>
      <w:r>
        <w:rPr>
          <w:rFonts w:ascii="Times New Roman" w:hAnsi="Times New Roman" w:eastAsia="Times New Roman"/>
          <w:sz w:val="24"/>
        </w:rPr>
        <w:t>Regula la protección de datos personales. El manejo de cuentas, perfiles, direcciones, historial de pedidos y demás información personal requiere finalidad legítima, información clara, medidas de seguridad y atención a los derechos de los titulares (Congreso de Colombia, 2012).</w:t>
      </w:r>
    </w:p>
    <w:p>
      <w:pPr>
        <w:widowControl/>
      </w:pPr>
      <w:r>
        <w:rPr>
          <w:rFonts w:ascii="Times New Roman" w:hAnsi="Times New Roman" w:eastAsia="Times New Roman"/>
          <w:b/>
          <w:color w:val="0B2447"/>
          <w:sz w:val="24"/>
        </w:rPr>
        <w:t xml:space="preserve">Ley 527 de 1999. </w:t>
      </w:r>
      <w:r>
        <w:rPr>
          <w:rFonts w:ascii="Times New Roman" w:hAnsi="Times New Roman" w:eastAsia="Times New Roman"/>
          <w:sz w:val="24"/>
        </w:rPr>
        <w:t>Regula el acceso y uso de mensajes de datos, comercio electrónico y firmas digitales. Es relevante para las comunicaciones, registros y operaciones realizadas por medios electrónicos (Congreso de Colombia, 1999).</w:t>
      </w:r>
    </w:p>
    <w:p>
      <w:pPr>
        <w:widowControl/>
      </w:pPr>
      <w:r>
        <w:rPr>
          <w:rFonts w:ascii="Times New Roman" w:hAnsi="Times New Roman" w:eastAsia="Times New Roman"/>
          <w:b/>
          <w:color w:val="0B2447"/>
          <w:sz w:val="24"/>
        </w:rPr>
        <w:t xml:space="preserve">Ley 1480 de 2011 y Ley 2439 de 2024. </w:t>
      </w:r>
      <w:r>
        <w:rPr>
          <w:rFonts w:ascii="Times New Roman" w:hAnsi="Times New Roman" w:eastAsia="Times New Roman"/>
          <w:sz w:val="24"/>
        </w:rPr>
        <w:t>El Estatuto del Consumidor y sus modificaciones incluyen obligaciones asociadas a la oferta electrónica, información sobre precios y condiciones de compra, soporte de la transacción y protección de consumidores. La salida a producción deberá revisar requisitos aplicables al comercio electrónico, las condiciones del servicio y los mecanismos de atención (Congreso de Colombia, 2011, 2024).</w:t>
      </w:r>
    </w:p>
    <w:p>
      <w:pPr>
        <w:widowControl/>
      </w:pPr>
      <w:r>
        <w:rPr>
          <w:rFonts w:ascii="Times New Roman" w:hAnsi="Times New Roman" w:eastAsia="Times New Roman"/>
          <w:i w:val="0"/>
          <w:sz w:val="24"/>
        </w:rPr>
        <w:t>En consecuencia, antes de utilizar SmartGlass con clientes y pagos reales deben revisarse las políticas de tratamiento de datos, los términos y condiciones, la información comercial obligatoria, la seguridad de las transacciones, los requisitos de facturación electrónica y la normativa aplicable a la actividad concreta de cada vidriería. El soporte de compra generado por el prototipo no debe presentarse como factura electrónica válida ante la DIAN.</w:t>
      </w:r>
    </w:p>
    <w:p>
      <w:r>
        <w:br w:type="page"/>
      </w:r>
    </w:p>
    <w:p>
      <w:pPr>
        <w:pStyle w:val="Ttulo1"/>
      </w:pPr>
      <w:r>
        <w:t>Capítulo III</w:t>
      </w:r>
    </w:p>
    <w:p>
      <w:pPr>
        <w:pStyle w:val="Ttulo2"/>
      </w:pPr>
      <w:r>
        <w:t>Metodología</w:t>
      </w:r>
    </w:p>
    <w:p>
      <w:pPr>
        <w:pStyle w:val="Ttulo2"/>
      </w:pPr>
      <w:r>
        <w:t>3.1 Tipo de investigación</w:t>
      </w:r>
    </w:p>
    <w:p>
      <w:pPr>
        <w:widowControl/>
      </w:pPr>
      <w:r>
        <w:rPr>
          <w:rFonts w:ascii="Times New Roman" w:hAnsi="Times New Roman" w:eastAsia="Times New Roman"/>
          <w:i w:val="0"/>
          <w:sz w:val="24"/>
        </w:rPr>
        <w:t>La investigación es de tipo aplicado y de desarrollo tecnológico, con alcance descriptivo y un componente cuantitativo de minería de datos. Es aplicada porque aborda una necesidad concreta de gestión comercial y estimación ambiental en la venta de vidrio a medida; es de desarrollo tecnológico porque construye un prototipo web; y es descriptiva porque documenta sus funcionalidades, la metodología de cálculo y el desempeño de un modelo predictivo dentro de un conjunto de datos sintético.</w:t>
      </w:r>
    </w:p>
    <w:p>
      <w:pPr>
        <w:widowControl/>
      </w:pPr>
      <w:r>
        <w:rPr>
          <w:rFonts w:ascii="Times New Roman" w:hAnsi="Times New Roman" w:eastAsia="Times New Roman"/>
          <w:i w:val="0"/>
          <w:sz w:val="24"/>
        </w:rPr>
        <w:t>El diseño es no experimental: no se manipularon variables de un proceso industrial real ni se realizaron mediciones de emisiones en hornos. La evaluación combina revisión documental, inspección funcional del prototipo y análisis cuantitativo de los registros sintéticos. En esta etapa no se reporta un piloto con una vidriería real ni una muestra de clientes reales; por tanto, las conclusiones se limitan a la implementación técnica y a las pruebas descritas en la documentación.</w:t>
      </w:r>
    </w:p>
    <w:p>
      <w:pPr>
        <w:pStyle w:val="Ttulo2"/>
      </w:pPr>
      <w:r>
        <w:t>3.2 Diseño metodológico</w:t>
      </w:r>
    </w:p>
    <w:p>
      <w:pPr>
        <w:widowControl/>
      </w:pPr>
      <w:r>
        <w:rPr>
          <w:rFonts w:ascii="Times New Roman" w:hAnsi="Times New Roman" w:eastAsia="Times New Roman"/>
          <w:i w:val="0"/>
          <w:sz w:val="24"/>
        </w:rPr>
        <w:t>El diseño metodológico relaciona los cinco objetivos específicos con las actividades realizadas y los resultados o productos documentados. La tabla distingue los productos técnicos logrados de las validaciones que quedan pendientes para una siguiente fase.</w:t>
      </w:r>
    </w:p>
    <w:tbl>
      <w:tblPr>
        <w:tblStyle w:val="Tablaconcuadrcula"/>
        <w:tblW w:type="auto" w:w="0"/>
        <w:jc w:val="center"/>
        <w:tblLayout w:type="fixed"/>
        <w:tblLook w:firstColumn="1" w:firstRow="1" w:lastColumn="0" w:lastRow="0" w:noHBand="0" w:noVBand="1" w:val="04A0"/>
      </w:tblPr>
      <w:tblGrid>
        <w:gridCol w:w="2088"/>
        <w:gridCol w:w="3240"/>
        <w:gridCol w:w="3024"/>
      </w:tblGrid>
      <w:tr>
        <w:trPr>
          <w:tblHeader w:val="true"/>
          <w:cantSplit/>
        </w:trPr>
        <w:tc>
          <w:tcPr>
            <w:tcW w:type="dxa" w:w="208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Objetivo específico</w:t>
            </w:r>
          </w:p>
        </w:tc>
        <w:tc>
          <w:tcPr>
            <w:tcW w:type="dxa" w:w="3240"/>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Actividades</w:t>
            </w:r>
          </w:p>
        </w:tc>
        <w:tc>
          <w:tcPr>
            <w:tcW w:type="dxa" w:w="3024"/>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Resultados</w:t>
            </w:r>
          </w:p>
        </w:tc>
      </w:tr>
      <w:tr>
        <w:trPr>
          <w:cantSplit/>
        </w:trPr>
        <w:tc>
          <w:tcPr>
            <w:tcW w:type="dxa" w:w="208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1. Caracterizar necesidades y requerimientos.</w:t>
            </w:r>
          </w:p>
        </w:tc>
        <w:tc>
          <w:tcPr>
            <w:tcW w:type="dxa" w:w="324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Revisar el planteamiento inicial, documentos del proyecto, fuentes técnicas y flujo previsto de compra; definir los actores, las funciones y las limitaciones del prototipo.</w:t>
            </w:r>
          </w:p>
        </w:tc>
        <w:tc>
          <w:tcPr>
            <w:tcW w:type="dxa" w:w="302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Descripción del problema, pregunta de investigación, alcance funcional y requisitos organizados. La caracterización se apoya en documentación; no se afirma haber aplicado entrevistas de campo.</w:t>
            </w:r>
          </w:p>
        </w:tc>
      </w:tr>
      <w:tr>
        <w:trPr>
          <w:cantSplit/>
        </w:trPr>
        <w:tc>
          <w:tcPr>
            <w:tcW w:type="dxa" w:w="208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2. Diseñar e implementar los módulos web.</w:t>
            </w:r>
          </w:p>
        </w:tc>
        <w:tc>
          <w:tcPr>
            <w:tcW w:type="dxa" w:w="324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Desarrollar la tienda, catálogo, configurador, cotizaciones, carrito, panel administrativo y notificaciones; integrar persistencia relacional y documental; desplegar en nube.</w:t>
            </w:r>
          </w:p>
        </w:tc>
        <w:tc>
          <w:tcPr>
            <w:tcW w:type="dxa" w:w="302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Prototipo web funcional y desplegado, con módulos documentados, planes Básico/Avanzado, idiomas y opciones de accesibilidad.</w:t>
            </w:r>
          </w:p>
        </w:tc>
      </w:tr>
      <w:tr>
        <w:trPr>
          <w:cantSplit/>
        </w:trPr>
        <w:tc>
          <w:tcPr>
            <w:tcW w:type="dxa" w:w="208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3. Calcular la huella por etapas.</w:t>
            </w:r>
          </w:p>
        </w:tc>
        <w:tc>
          <w:tcPr>
            <w:tcW w:type="dxa" w:w="324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Documentar factores y supuestos; implementar cálculo por fusión, templado, PVB, capa activa y transporte; mostrar desglose por pieza y cambios según opciones verdes.</w:t>
            </w:r>
          </w:p>
        </w:tc>
        <w:tc>
          <w:tcPr>
            <w:tcW w:type="dxa" w:w="302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Estimación transparente de CO₂e por pieza. Ejemplo de demostración: pieza de ducha de 90 × 190 cm en templado de 8 mm con 38,6 kg CO₂e estimados; con calcín y energía renovable, 33,9 kg CO₂e.</w:t>
            </w:r>
          </w:p>
        </w:tc>
      </w:tr>
      <w:tr>
        <w:trPr>
          <w:cantSplit/>
        </w:trPr>
        <w:tc>
          <w:tcPr>
            <w:tcW w:type="dxa" w:w="208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4. Construir y evaluar el modelo predictivo.</w:t>
            </w:r>
          </w:p>
        </w:tc>
        <w:tc>
          <w:tcPr>
            <w:tcW w:type="dxa" w:w="324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Generar dataset sintético reproducible de 1.000 registros; realizar One-Hot Encoding; excluir masa_kg para evitar filtración; entrenar Random Forest de 200 árboles; comparar con media y regresión lineal; aplicar validación cruzada de cinco particiones.</w:t>
            </w:r>
          </w:p>
        </w:tc>
        <w:tc>
          <w:tcPr>
            <w:tcW w:type="dxa" w:w="302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Modelo evaluado en datos sintéticos: MAE de prueba 23,25 kg, RMSE 33,22 kg, R² de prueba 0,9433 y R² de validación cruzada 0,9271 ± 0,0115.</w:t>
            </w:r>
          </w:p>
        </w:tc>
      </w:tr>
      <w:tr>
        <w:trPr>
          <w:cantSplit/>
        </w:trPr>
        <w:tc>
          <w:tcPr>
            <w:tcW w:type="dxa" w:w="208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5. Probar y documentar el prototipo.</w:t>
            </w:r>
          </w:p>
        </w:tc>
        <w:tc>
          <w:tcPr>
            <w:tcW w:type="dxa" w:w="324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Ejecutar pruebas automáticas documentadas y revisar flujos en navegador; registrar límites técnicos, dependencias y tareas necesarias para un piloto real.</w:t>
            </w:r>
          </w:p>
        </w:tc>
        <w:tc>
          <w:tcPr>
            <w:tcW w:type="dxa" w:w="302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Documentación de ocho pruebas automáticas y un listado de pendientes: pago real, factura electrónica, precios editables, ajuste de seguridad y piloto con datos de una vidriería.</w:t>
            </w:r>
          </w:p>
        </w:tc>
      </w:tr>
    </w:tbl>
    <w:p>
      <w:pPr>
        <w:spacing w:after="20"/>
      </w:pPr>
    </w:p>
    <w:p>
      <w:pPr>
        <w:pStyle w:val="Ttulo2"/>
      </w:pPr>
      <w:r>
        <w:t>3.3 Técnicas de recolección de información</w:t>
      </w:r>
    </w:p>
    <w:p>
      <w:pPr>
        <w:widowControl/>
      </w:pPr>
      <w:r>
        <w:rPr>
          <w:rFonts w:ascii="Times New Roman" w:hAnsi="Times New Roman" w:eastAsia="Times New Roman"/>
          <w:i w:val="0"/>
          <w:sz w:val="24"/>
        </w:rPr>
        <w:t>Las técnicas se seleccionaron según la evidencia disponible en el estado actual del proyecto: documentación académica y técnica, factores de emisión publicados, conjunto sintético reproducible y pruebas funcionales del software. No se incluyen resultados atribuidos a entrevistas, encuestas o observación en planta que no estén documentados como actividades realizadas.</w:t>
      </w:r>
    </w:p>
    <w:p>
      <w:pPr>
        <w:pStyle w:val="Ttulo3"/>
      </w:pPr>
      <w:r>
        <w:t>3.3.1 Técnicas para la recolección de información</w:t>
      </w:r>
    </w:p>
    <w:p>
      <w:pPr>
        <w:widowControl/>
      </w:pPr>
      <w:r>
        <w:rPr>
          <w:rFonts w:ascii="Times New Roman" w:hAnsi="Times New Roman" w:eastAsia="Times New Roman"/>
          <w:b/>
          <w:color w:val="0B2447"/>
          <w:sz w:val="24"/>
        </w:rPr>
        <w:t xml:space="preserve">Revisión documental. </w:t>
      </w:r>
      <w:r>
        <w:rPr>
          <w:rFonts w:ascii="Times New Roman" w:hAnsi="Times New Roman" w:eastAsia="Times New Roman"/>
          <w:sz w:val="24"/>
        </w:rPr>
        <w:t>Consulta y análisis de artículos científicos, repositorios académicos, documentación de fabricantes y fuentes institucionales relacionadas con la industria del vidrio, el reciclaje, la gestión comercial, la estimación de emisiones y la normativa colombiana.</w:t>
      </w:r>
    </w:p>
    <w:p>
      <w:pPr>
        <w:widowControl/>
      </w:pPr>
      <w:r>
        <w:rPr>
          <w:rFonts w:ascii="Times New Roman" w:hAnsi="Times New Roman" w:eastAsia="Times New Roman"/>
          <w:b/>
          <w:color w:val="0B2447"/>
          <w:sz w:val="24"/>
        </w:rPr>
        <w:t xml:space="preserve">Análisis de datos secundarios y generación sintética. </w:t>
      </w:r>
      <w:r>
        <w:rPr>
          <w:rFonts w:ascii="Times New Roman" w:hAnsi="Times New Roman" w:eastAsia="Times New Roman"/>
          <w:sz w:val="24"/>
        </w:rPr>
        <w:t>Uso de factores de emisión documentados para generar registros artificiales que reproducen combinaciones de tipo de vidrio, proceso, área, espesor, calcín y energía. Los datos no proceden de mediciones reales de producción; esta distinción limita el alcance de las conclusiones del modelo.</w:t>
      </w:r>
    </w:p>
    <w:p>
      <w:pPr>
        <w:widowControl/>
      </w:pPr>
      <w:r>
        <w:rPr>
          <w:rFonts w:ascii="Times New Roman" w:hAnsi="Times New Roman" w:eastAsia="Times New Roman"/>
          <w:b/>
          <w:color w:val="0B2447"/>
          <w:sz w:val="24"/>
        </w:rPr>
        <w:t xml:space="preserve">Pruebas funcionales y automatizadas. </w:t>
      </w:r>
      <w:r>
        <w:rPr>
          <w:rFonts w:ascii="Times New Roman" w:hAnsi="Times New Roman" w:eastAsia="Times New Roman"/>
          <w:sz w:val="24"/>
        </w:rPr>
        <w:t>Ejecución de comprobaciones sobre el arranque, el cálculo de huella en distintos casos y la disponibilidad de los iconos utilizados. La documentación también registra revisiones manuales en navegador durante las entregas.</w:t>
      </w:r>
    </w:p>
    <w:p>
      <w:pPr>
        <w:widowControl/>
      </w:pPr>
      <w:r>
        <w:rPr>
          <w:rFonts w:ascii="Times New Roman" w:hAnsi="Times New Roman" w:eastAsia="Times New Roman"/>
          <w:b/>
          <w:color w:val="0B2447"/>
          <w:sz w:val="24"/>
        </w:rPr>
        <w:t xml:space="preserve">Análisis comparativo de modelos. </w:t>
      </w:r>
      <w:r>
        <w:rPr>
          <w:rFonts w:ascii="Times New Roman" w:hAnsi="Times New Roman" w:eastAsia="Times New Roman"/>
          <w:sz w:val="24"/>
        </w:rPr>
        <w:t>Comparación de Random Forest con dos referencias: un modelo que predice la media de la variable objetivo y una regresión lineal, usando las mismas variables y división de prueba reportadas.</w:t>
      </w:r>
    </w:p>
    <w:p>
      <w:pPr>
        <w:pStyle w:val="Ttulo3"/>
      </w:pPr>
      <w:r>
        <w:t>3.3.2 Instrumentos para la recolección de la información</w:t>
      </w:r>
    </w:p>
    <w:p>
      <w:pPr>
        <w:spacing w:after="60" w:line="264" w:lineRule="auto"/>
        <w:ind w:left="403" w:hanging="216"/>
      </w:pPr>
      <w:r>
        <w:rPr>
          <w:rFonts w:ascii="Times New Roman" w:hAnsi="Times New Roman" w:eastAsia="Times New Roman"/>
          <w:sz w:val="23"/>
        </w:rPr>
        <w:t>• Matriz de antecedentes: registro del objetivo, enfoque, hallazgos y relación de cada trabajo con SmartGlass.</w:t>
      </w:r>
    </w:p>
    <w:p>
      <w:pPr>
        <w:spacing w:after="60" w:line="264" w:lineRule="auto"/>
        <w:ind w:left="403" w:hanging="216"/>
      </w:pPr>
      <w:r>
        <w:rPr>
          <w:rFonts w:ascii="Times New Roman" w:hAnsi="Times New Roman" w:eastAsia="Times New Roman"/>
          <w:sz w:val="23"/>
        </w:rPr>
        <w:t>• Matriz de factores de emisión: relación de las etapas de huella con las fórmulas, valores y fuentes públicas utilizadas por el aplicativo.</w:t>
      </w:r>
    </w:p>
    <w:p>
      <w:pPr>
        <w:spacing w:after="60" w:line="264" w:lineRule="auto"/>
        <w:ind w:left="403" w:hanging="216"/>
      </w:pPr>
      <w:r>
        <w:rPr>
          <w:rFonts w:ascii="Times New Roman" w:hAnsi="Times New Roman" w:eastAsia="Times New Roman"/>
          <w:sz w:val="23"/>
        </w:rPr>
        <w:t>• Dataset CSV data/raw/smartglass_co2.csv y script data/generacion_dataset.py, usados para producir y reproducir el conjunto sintético de 1.000 registros.</w:t>
      </w:r>
    </w:p>
    <w:p>
      <w:pPr>
        <w:spacing w:after="60" w:line="264" w:lineRule="auto"/>
        <w:ind w:left="403" w:hanging="216"/>
      </w:pPr>
      <w:r>
        <w:rPr>
          <w:rFonts w:ascii="Times New Roman" w:hAnsi="Times New Roman" w:eastAsia="Times New Roman"/>
          <w:sz w:val="23"/>
        </w:rPr>
        <w:t>• Notebook mineria de datos/analisis.ipynb y archivo mineria de datos/metricas_modelo.csv, utilizados para documentar el entrenamiento, la evaluación y la comparación de modelos.</w:t>
      </w:r>
    </w:p>
    <w:p>
      <w:pPr>
        <w:spacing w:after="60" w:line="264" w:lineRule="auto"/>
        <w:ind w:left="403" w:hanging="216"/>
      </w:pPr>
      <w:r>
        <w:rPr>
          <w:rFonts w:ascii="Times New Roman" w:hAnsi="Times New Roman" w:eastAsia="Times New Roman"/>
          <w:sz w:val="23"/>
        </w:rPr>
        <w:t>• Lista de verificación de pruebas de software: arranque de la aplicación, seis casos de cálculo de huella y comprobación de los iconos que utiliza la interfaz.</w:t>
      </w:r>
    </w:p>
    <w:p>
      <w:pPr>
        <w:spacing w:after="60" w:line="264" w:lineRule="auto"/>
        <w:ind w:left="403" w:hanging="216"/>
      </w:pPr>
      <w:r>
        <w:rPr>
          <w:rFonts w:ascii="Times New Roman" w:hAnsi="Times New Roman" w:eastAsia="Times New Roman"/>
          <w:sz w:val="23"/>
        </w:rPr>
        <w:t>• Documentación técnica del prototipo, utilizada para registrar módulos, stack tecnológico, límites conocidos y tareas previas a un piloto.</w:t>
      </w:r>
    </w:p>
    <w:p>
      <w:pPr>
        <w:pStyle w:val="Ttulo2"/>
      </w:pPr>
      <w:r>
        <w:t>3.4 Población y muestra</w:t>
      </w:r>
    </w:p>
    <w:p>
      <w:pPr>
        <w:widowControl/>
      </w:pPr>
      <w:r>
        <w:rPr>
          <w:rFonts w:ascii="Times New Roman" w:hAnsi="Times New Roman" w:eastAsia="Times New Roman"/>
          <w:i w:val="0"/>
          <w:sz w:val="24"/>
        </w:rPr>
        <w:t>La población objetivo de la solución está constituida, en términos potenciales, por pequeñas y medianas vidrierías de Colombia que comercializan vidrio plano y piezas a medida, junto con los usuarios finales que consultan productos, cotizan y realizan pedidos. Esta delimitación representa el mercado al que se dirige el producto; no implica que se haya realizado un censo o que existan establecimientos participantes confirmados.</w:t>
      </w:r>
    </w:p>
    <w:p>
      <w:pPr>
        <w:widowControl/>
      </w:pPr>
      <w:r>
        <w:rPr>
          <w:rFonts w:ascii="Times New Roman" w:hAnsi="Times New Roman" w:eastAsia="Times New Roman"/>
          <w:i w:val="0"/>
          <w:sz w:val="24"/>
        </w:rPr>
        <w:t>En la fase actual no se definió una muestra estadística de empresas o personas porque la documentación indica que el prototipo aún no ha sido operado por una vidriería real con sus propios clientes. Por este motivo, no se atribuyen cifras de empleados, clientes entrevistados ni encuestas aplicadas. La validación empírica con usuarios corresponde a una siguiente fase de investigación.</w:t>
      </w:r>
    </w:p>
    <w:p>
      <w:pPr>
        <w:widowControl/>
      </w:pPr>
      <w:r>
        <w:rPr>
          <w:rFonts w:ascii="Times New Roman" w:hAnsi="Times New Roman" w:eastAsia="Times New Roman"/>
          <w:i w:val="0"/>
          <w:sz w:val="24"/>
        </w:rPr>
        <w:t>Para el componente de minería de datos, la unidad de análisis es una pieza sintética de vidrio. La muestra computacional está formada por 1.000 registros generados a partir de fórmulas y factores publicados, con una semilla fija para permitir reproducibilidad. Se emplearon 800 registros para entrenamiento y 200 para prueba (80/20), y una validación cruzada de cinco particiones. Este conjunto sirve para comparar modelos dentro del entorno teórico generado, pero no representa una muestra de piezas medidas en una empresa real.</w:t>
      </w:r>
    </w:p>
    <w:p>
      <w:r>
        <w:br w:type="page"/>
      </w:r>
    </w:p>
    <w:p>
      <w:pPr>
        <w:pStyle w:val="Ttulo1"/>
      </w:pPr>
      <w:r>
        <w:t>Capítulo IV</w:t>
      </w:r>
    </w:p>
    <w:p>
      <w:pPr>
        <w:pStyle w:val="Ttulo2"/>
      </w:pPr>
      <w:r>
        <w:t>Resultados de investigación y conclusiones</w:t>
      </w:r>
    </w:p>
    <w:p>
      <w:pPr>
        <w:pStyle w:val="Ttulo2"/>
      </w:pPr>
      <w:r>
        <w:t>4.1 Resultados de investigación</w:t>
      </w:r>
    </w:p>
    <w:p>
      <w:pPr>
        <w:pStyle w:val="Ttulo3"/>
      </w:pPr>
      <w:r>
        <w:t>4.1.1 Prototipo web implementado</w:t>
      </w:r>
    </w:p>
    <w:p>
      <w:pPr>
        <w:widowControl/>
      </w:pPr>
      <w:r>
        <w:rPr>
          <w:rFonts w:ascii="Times New Roman" w:hAnsi="Times New Roman" w:eastAsia="Times New Roman"/>
          <w:i w:val="0"/>
          <w:sz w:val="24"/>
        </w:rPr>
        <w:t>El resultado principal del desarrollo es un prototipo de SmartGlass desplegado en la nube que integra la consulta de productos, la configuración de piezas a medida y el flujo de cotización y pedido. La solución documentada utiliza Java 26, Spring Boot 4, Thymeleaf, MySQL, MongoDB, Docker y servicios de despliegue y bases de datos en la nube. El repositorio del proyecto se encuentra en https://github.com/OpTicXit/Smartglass.</w:t>
      </w:r>
    </w:p>
    <w:tbl>
      <w:tblPr>
        <w:tblStyle w:val="Tablaconcuadrcula"/>
        <w:tblW w:type="auto" w:w="0"/>
        <w:jc w:val="center"/>
        <w:tblLayout w:type="fixed"/>
        <w:tblLook w:firstColumn="1" w:firstRow="1" w:lastColumn="0" w:lastRow="0" w:noHBand="0" w:noVBand="1" w:val="04A0"/>
      </w:tblPr>
      <w:tblGrid>
        <w:gridCol w:w="2232"/>
        <w:gridCol w:w="6120"/>
      </w:tblGrid>
      <w:tr>
        <w:trPr>
          <w:tblHeader w:val="true"/>
          <w:cantSplit/>
        </w:trPr>
        <w:tc>
          <w:tcPr>
            <w:tcW w:type="dxa" w:w="223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Módulo</w:t>
            </w:r>
          </w:p>
        </w:tc>
        <w:tc>
          <w:tcPr>
            <w:tcW w:type="dxa" w:w="6120"/>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Funcionalidad documentada</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Tienda y catálogo</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Búsqueda, filtros, fichas de producto, reseñas, comparador, destacados y ofertas.</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Configurador a medida</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Selección de uso, vidrio, medidas, espesor, tratamiento, forma, bordes y perforaciones; catorce formas y corte libre de hasta 64 vértices.</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Resultados instantáneos</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Precio, peso, resistencia y huella de carbono estimada por etapas.</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Decisiones ambientales</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Opciones de calcín, energía renovable, retoma, empaque reutilizable, entrega consolidada y corte desde retazos; sello Compromiso verde.</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Cotizaciones</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Guardar una pieza, consultar su estado y esperar aprobación o rechazo del taller antes de pasarla al carrito.</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Carrito y soporte de compra</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Carrito, registro del pedido y generación de un soporte de compra; el pago se simula y el soporte no es factura electrónica válida ante DIAN.</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Panel y notificaciones</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Gestión de cotizaciones, pedidos, productos, reseñas, usuarios, planes, estados y avisos relacionados con pedidos y stock.</w:t>
            </w:r>
          </w:p>
        </w:tc>
      </w:tr>
      <w:tr>
        <w:trPr>
          <w:cantSplit/>
        </w:trPr>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Accesibilidad y planes</w:t>
            </w:r>
          </w:p>
        </w:tc>
        <w:tc>
          <w:tcPr>
            <w:tcW w:type="dxa" w:w="6120"/>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Español de Colombia, español de España e inglés; modo para daltonismo, reducción de animaciones, temas claro/oscuro y planes Básico y Avanzado.</w:t>
            </w:r>
          </w:p>
        </w:tc>
      </w:tr>
    </w:tbl>
    <w:p>
      <w:pPr>
        <w:spacing w:after="20"/>
      </w:pPr>
    </w:p>
    <w:p>
      <w:pPr>
        <w:widowControl/>
      </w:pPr>
      <w:r>
        <w:rPr>
          <w:rFonts w:ascii="Times New Roman" w:hAnsi="Times New Roman" w:eastAsia="Times New Roman"/>
          <w:i w:val="0"/>
          <w:sz w:val="24"/>
        </w:rPr>
        <w:t>La implementación integra el flujo comercial de una pieza personalizada: el cliente la configura y conoce sus estimaciones; guarda una cotización; la vidriería la aprueba o rechaza; una pieza aprobada puede agregarse al carrito; y el sistema registra el pedido y genera un soporte de compra. Los productos estándar del catálogo siguen un flujo más directo. La separación entre el lado público y el panel administrativo permite mantener la revisión técnica bajo control del taller.</w:t>
      </w:r>
    </w:p>
    <w:p>
      <w:pPr>
        <w:pStyle w:val="Ttulo3"/>
      </w:pPr>
      <w:r>
        <w:t>4.1.2 Método de estimación de la huella de carbono</w:t>
      </w:r>
    </w:p>
    <w:p>
      <w:pPr>
        <w:widowControl/>
      </w:pPr>
      <w:r>
        <w:rPr>
          <w:rFonts w:ascii="Times New Roman" w:hAnsi="Times New Roman" w:eastAsia="Times New Roman"/>
          <w:i w:val="0"/>
          <w:sz w:val="24"/>
        </w:rPr>
        <w:t>La aplicación calcula la huella mediante un método por etapas identificado en la documentación técnica como «etapas-2026-10». El navegador utiliza la misma lógica de cálculo para la vista previa y el servidor vuelve a calcular los valores al guardar la pieza. Esto facilita presentar un desglose consistente, aunque los factores usados representan promedios o supuestos generales y no consumos medidos en el establecimiento que eventualmente utilice el sistema.</w:t>
      </w:r>
    </w:p>
    <w:tbl>
      <w:tblPr>
        <w:tblStyle w:val="Tablaconcuadrcula"/>
        <w:tblW w:type="auto" w:w="0"/>
        <w:jc w:val="center"/>
        <w:tblLayout w:type="fixed"/>
        <w:tblLook w:firstColumn="1" w:firstRow="1" w:lastColumn="0" w:lastRow="0" w:noHBand="0" w:noVBand="1" w:val="04A0"/>
      </w:tblPr>
      <w:tblGrid>
        <w:gridCol w:w="1728"/>
        <w:gridCol w:w="4392"/>
        <w:gridCol w:w="2232"/>
      </w:tblGrid>
      <w:tr>
        <w:trPr>
          <w:tblHeader w:val="true"/>
          <w:cantSplit/>
        </w:trPr>
        <w:tc>
          <w:tcPr>
            <w:tcW w:type="dxa" w:w="172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Etapa</w:t>
            </w:r>
          </w:p>
        </w:tc>
        <w:tc>
          <w:tcPr>
            <w:tcW w:type="dxa" w:w="439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Regla resumida</w:t>
            </w:r>
          </w:p>
        </w:tc>
        <w:tc>
          <w:tcPr>
            <w:tcW w:type="dxa" w:w="223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Referencia indicada</w:t>
            </w:r>
          </w:p>
        </w:tc>
      </w:tr>
      <w:tr>
        <w:trPr>
          <w:cantSplit/>
        </w:trPr>
        <w:tc>
          <w:tcPr>
            <w:tcW w:type="dxa" w:w="172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Fusión del vidrio base</w:t>
            </w:r>
          </w:p>
        </w:tc>
        <w:tc>
          <w:tcPr>
            <w:tcW w:type="dxa" w:w="439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Peso × 1,03 kg CO₂e/kg. Con la opción de calcín: factor reducido a 0,925 kg CO₂e/kg, equivalente a una disminución del 7,5 % para esta etapa.</w:t>
            </w:r>
          </w:p>
        </w:tc>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EPD de AGC y Guardian; FEVE; Glass for Europe.</w:t>
            </w:r>
          </w:p>
        </w:tc>
      </w:tr>
      <w:tr>
        <w:trPr>
          <w:cantSplit/>
        </w:trPr>
        <w:tc>
          <w:tcPr>
            <w:tcW w:type="dxa" w:w="172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Templado</w:t>
            </w:r>
          </w:p>
        </w:tc>
        <w:tc>
          <w:tcPr>
            <w:tcW w:type="dxa" w:w="439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Área × espesor × 0,8 para estimar consumo eléctrico, multiplicado por 0,220 kg CO₂e/kWh para red o 0,03 para energía renovable.</w:t>
            </w:r>
          </w:p>
        </w:tc>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Factores energéticos documentados por el proyecto.</w:t>
            </w:r>
          </w:p>
        </w:tc>
      </w:tr>
      <w:tr>
        <w:trPr>
          <w:cantSplit/>
        </w:trPr>
        <w:tc>
          <w:tcPr>
            <w:tcW w:type="dxa" w:w="172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Lámina de PVB</w:t>
            </w:r>
          </w:p>
        </w:tc>
        <w:tc>
          <w:tcPr>
            <w:tcW w:type="dxa" w:w="439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Área × 3,6 kg CO₂e/m² para vidrios laminados y templado-laminados.</w:t>
            </w:r>
          </w:p>
        </w:tc>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Documentación de ciclo de vida de Eastman/Saflex.</w:t>
            </w:r>
          </w:p>
        </w:tc>
      </w:tr>
      <w:tr>
        <w:trPr>
          <w:cantSplit/>
        </w:trPr>
        <w:tc>
          <w:tcPr>
            <w:tcW w:type="dxa" w:w="172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Capa activa</w:t>
            </w:r>
          </w:p>
        </w:tc>
        <w:tc>
          <w:tcPr>
            <w:tcW w:type="dxa" w:w="439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Estimación equivalente al 80 % de las emisiones de fusión para vidrios inteligentes y fotovoltaicos.</w:t>
            </w:r>
          </w:p>
        </w:tc>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Estimación propia, al no disponer de EPD específica por m² en la documentación consultada.</w:t>
            </w:r>
          </w:p>
        </w:tc>
      </w:tr>
      <w:tr>
        <w:trPr>
          <w:cantSplit/>
        </w:trPr>
        <w:tc>
          <w:tcPr>
            <w:tcW w:type="dxa" w:w="172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Transporte</w:t>
            </w:r>
          </w:p>
        </w:tc>
        <w:tc>
          <w:tcPr>
            <w:tcW w:type="dxa" w:w="439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Peso en toneladas × 300 km × 0,097 kg CO₂e/(t·km).</w:t>
            </w:r>
          </w:p>
        </w:tc>
        <w:tc>
          <w:tcPr>
            <w:tcW w:type="dxa" w:w="2232"/>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Factor de transporte documentado por el proyecto a partir de GLEC/Climatiq.</w:t>
            </w:r>
          </w:p>
        </w:tc>
      </w:tr>
    </w:tbl>
    <w:p>
      <w:pPr>
        <w:spacing w:after="20"/>
      </w:pPr>
    </w:p>
    <w:p>
      <w:pPr>
        <w:spacing w:before="40" w:after="80"/>
        <w:jc w:val="center"/>
      </w:pPr>
      <w:r>
        <w:rPr>
          <w:rFonts w:ascii="Times New Roman" w:hAnsi="Times New Roman" w:eastAsia="Times New Roman"/>
          <w:i/>
          <w:color w:val="5C6670"/>
          <w:sz w:val="20"/>
        </w:rPr>
        <w:t>Tabla 2. Resumen de los factores del cálculo por etapas descrito en la documentación técnica de SmartGlass.</w:t>
      </w:r>
    </w:p>
    <w:p>
      <w:pPr>
        <w:widowControl/>
      </w:pPr>
      <w:r>
        <w:rPr>
          <w:rFonts w:ascii="Times New Roman" w:hAnsi="Times New Roman" w:eastAsia="Times New Roman"/>
          <w:i w:val="0"/>
          <w:sz w:val="24"/>
        </w:rPr>
        <w:t>Para una pieza de ducha de 90 × 190 cm, vidrio templado de 8 mm, la documentación del prototipo presenta un peso aproximado de 34,2 kg y una huella estimada de 38,6 kg CO₂e (35,2 por fusión, 2,4 por templado y 1,0 por transporte; otras etapas no aplican al ejemplo). Al activar calcín y energía renovable, la estimación se reduce a 33,9 kg CO₂e. Este ejemplo ilustra cómo cambian los resultados del cálculo por las opciones elegidas; no debe interpretarse como medición real de una ducha fabricada ni como una equivalencia universal.</w:t>
      </w:r>
    </w:p>
    <w:p>
      <w:pPr>
        <w:pStyle w:val="Ttulo3"/>
      </w:pPr>
      <w:r>
        <w:t>4.1.3 Resultados del modelo predictivo de minería de datos</w:t>
      </w:r>
    </w:p>
    <w:p>
      <w:pPr>
        <w:widowControl/>
      </w:pPr>
      <w:r>
        <w:rPr>
          <w:rFonts w:ascii="Times New Roman" w:hAnsi="Times New Roman" w:eastAsia="Times New Roman"/>
          <w:i w:val="0"/>
          <w:sz w:val="24"/>
        </w:rPr>
        <w:t>El componente de minería de datos usa 1.000 registros sintéticos, ocho columnas en el dataset fuente y seis variables predictoras: tipo de vidrio, proceso, área, espesor, porcentaje de calcín y energía por kilogramo. La variable objetivo es co2_kg. La masa se excluyó como predictor porque se calcula a partir de área y espesor, con una fórmula estrechamente vinculada a la respuesta, lo que generaba filtración de datos. Las variables categóricas se transformaron mediante One-Hot Encoding en un Pipeline de scikit-learn.</w:t>
      </w:r>
    </w:p>
    <w:tbl>
      <w:tblPr>
        <w:tblStyle w:val="Tablaconcuadrcula"/>
        <w:tblW w:type="auto" w:w="0"/>
        <w:jc w:val="center"/>
        <w:tblLayout w:type="fixed"/>
        <w:tblLook w:firstColumn="1" w:firstRow="1" w:lastColumn="0" w:lastRow="0" w:noHBand="0" w:noVBand="1" w:val="04A0"/>
      </w:tblPr>
      <w:tblGrid>
        <w:gridCol w:w="2477"/>
        <w:gridCol w:w="1238"/>
        <w:gridCol w:w="1238"/>
        <w:gridCol w:w="1296"/>
        <w:gridCol w:w="2102"/>
      </w:tblGrid>
      <w:tr>
        <w:trPr>
          <w:tblHeader w:val="true"/>
          <w:cantSplit/>
        </w:trPr>
        <w:tc>
          <w:tcPr>
            <w:tcW w:type="dxa" w:w="2477"/>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Modelo</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MAE (kg)</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RMSE (kg)</w:t>
            </w:r>
          </w:p>
        </w:tc>
        <w:tc>
          <w:tcPr>
            <w:tcW w:type="dxa" w:w="1296"/>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R² prueba</w:t>
            </w:r>
          </w:p>
        </w:tc>
        <w:tc>
          <w:tcPr>
            <w:tcW w:type="dxa" w:w="210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R² validación cruzada</w:t>
            </w:r>
          </w:p>
        </w:tc>
      </w:tr>
      <w:tr>
        <w:trPr>
          <w:cantSplit/>
        </w:trPr>
        <w:tc>
          <w:tcPr>
            <w:tcW w:type="dxa" w:w="2477"/>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Media de la variable objetivo</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111,61</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140,41</w:t>
            </w:r>
          </w:p>
        </w:tc>
        <w:tc>
          <w:tcPr>
            <w:tcW w:type="dxa" w:w="1296"/>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-0,012</w:t>
            </w:r>
          </w:p>
        </w:tc>
        <w:tc>
          <w:tcPr>
            <w:tcW w:type="dxa" w:w="210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-0,004</w:t>
            </w:r>
          </w:p>
        </w:tc>
      </w:tr>
      <w:tr>
        <w:trPr>
          <w:cantSplit/>
        </w:trPr>
        <w:tc>
          <w:tcPr>
            <w:tcW w:type="dxa" w:w="2477"/>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Regresión lineal</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34,41</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48,37</w:t>
            </w:r>
          </w:p>
        </w:tc>
        <w:tc>
          <w:tcPr>
            <w:tcW w:type="dxa" w:w="1296"/>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0,880</w:t>
            </w:r>
          </w:p>
        </w:tc>
        <w:tc>
          <w:tcPr>
            <w:tcW w:type="dxa" w:w="210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0,878 ± 0,018</w:t>
            </w:r>
          </w:p>
        </w:tc>
      </w:tr>
      <w:tr>
        <w:trPr>
          <w:cantSplit/>
        </w:trPr>
        <w:tc>
          <w:tcPr>
            <w:tcW w:type="dxa" w:w="2477"/>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7"/>
              </w:rPr>
              <w:t>Random Forest (200 árboles)</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23,25</w:t>
            </w:r>
          </w:p>
        </w:tc>
        <w:tc>
          <w:tcPr>
            <w:tcW w:type="dxa" w:w="123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33,22</w:t>
            </w:r>
          </w:p>
        </w:tc>
        <w:tc>
          <w:tcPr>
            <w:tcW w:type="dxa" w:w="1296"/>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0,9433</w:t>
            </w:r>
          </w:p>
        </w:tc>
        <w:tc>
          <w:tcPr>
            <w:tcW w:type="dxa" w:w="2102"/>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b w:val="0"/>
                <w:sz w:val="17"/>
              </w:rPr>
              <w:t>0,9271 ± 0,0115</w:t>
            </w:r>
          </w:p>
        </w:tc>
      </w:tr>
    </w:tbl>
    <w:p>
      <w:pPr>
        <w:spacing w:after="20"/>
      </w:pPr>
    </w:p>
    <w:p>
      <w:pPr>
        <w:spacing w:before="40" w:after="80"/>
        <w:jc w:val="center"/>
      </w:pPr>
      <w:r>
        <w:rPr>
          <w:rFonts w:ascii="Times New Roman" w:hAnsi="Times New Roman" w:eastAsia="Times New Roman"/>
          <w:i/>
          <w:color w:val="5C6670"/>
          <w:sz w:val="20"/>
        </w:rPr>
        <w:t>Tabla 3. Comparación de modelos sobre los datos sintéticos. Fuente: metricas_modelo.csv y documentación metodológica del proyecto.</w:t>
      </w:r>
    </w:p>
    <w:p>
      <w:pPr>
        <w:widowControl/>
      </w:pPr>
      <w:r>
        <w:rPr>
          <w:rFonts w:ascii="Times New Roman" w:hAnsi="Times New Roman" w:eastAsia="Times New Roman"/>
          <w:i w:val="0"/>
          <w:sz w:val="24"/>
        </w:rPr>
        <w:t>Random Forest obtuvo MAE de 23,25 kg, RMSE de 33,22 kg y R² de 0,9433 en el conjunto de prueba. El R² medio de validación cruzada de cinco particiones fue 0,9271 con desviación reportada de ± 0,0115; es la cifra más prudente para resumir el rendimiento en distintas particiones. En la misma evaluación, la regresión lineal obtuvo MAE de 34,41 kg y R² de prueba de 0,880, mientras que el modelo que siempre predice la media obtuvo MAE de 111,61 kg y R² de prueba negativo. Con los datos actuales, Random Forest redujo el error medio en aproximadamente un 32 % frente a la regresión lineal y un 79 % frente a la referencia de la media.</w:t>
      </w:r>
    </w:p>
    <w:p>
      <w:pPr>
        <w:widowControl/>
      </w:pPr>
      <w:r>
        <w:rPr>
          <w:rFonts w:ascii="Times New Roman" w:hAnsi="Times New Roman" w:eastAsia="Times New Roman"/>
          <w:i w:val="0"/>
          <w:sz w:val="24"/>
        </w:rPr>
        <w:t>La importancia de variables reportada para Random Forest fue: área 56,2 %, espesor 28,4 %, energía 9,3 %, tipo de vidrio 4,5 %, proceso 1,1 % y calcín 0,5 %. En conjunto, área y espesor concentraron el 84,6 % de la importancia, lo cual es coherente con que el tamaño de la pieza determine gran parte de la cantidad de material considerada por la fórmula que originó el dataset.</w:t>
      </w:r>
    </w:p>
    <w:tbl>
      <w:tblPr>
        <w:tblStyle w:val="Tablaconcuadrcula"/>
        <w:tblW w:type="auto" w:w="0"/>
        <w:jc w:val="center"/>
        <w:tblLook w:firstColumn="1" w:firstRow="1" w:lastColumn="0" w:lastRow="0" w:noHBand="0" w:noVBand="1" w:val="04A0"/>
      </w:tblPr>
      <w:tblGrid>
        <w:gridCol w:w="8504"/>
      </w:tblGrid>
      <w:tr>
        <w:tc>
          <w:tcPr>
            <w:tcW w:type="dxa" w:w="8504"/>
            <w:tcMar>
              <w:top w:w="120" w:type="dxa"/>
              <w:start w:w="160" w:type="dxa"/>
              <w:bottom w:w="120" w:type="dxa"/>
              <w:end w:w="160" w:type="dxa"/>
            </w:tcMar>
          </w:tcPr>
          <w:p>
            <w:pPr>
              <w:spacing w:after="60"/>
            </w:pPr>
            <w:r/>
            <w:r>
              <w:rPr>
                <w:rFonts w:ascii="Times New Roman" w:hAnsi="Times New Roman" w:eastAsia="Times New Roman"/>
                <w:sz w:val="21"/>
              </w:rPr>
              <w:t>Interpretación correcta de las métricas</w:t>
              <w:br/>
            </w:r>
            <w:r>
              <w:rPr>
                <w:rFonts w:ascii="Times New Roman" w:hAnsi="Times New Roman" w:eastAsia="Times New Roman"/>
                <w:sz w:val="21"/>
              </w:rPr>
              <w:t>El R² de validación cruzada de 0,9271 corresponde al modelo evaluado sobre registros sintéticos generados a partir de factores y reglas teóricas. No significa que SmartGlass estime con 92,7 % de precisión las emisiones medidas en cualquier vidriería. Las métricas sirven para demostrar viabilidad metodológica dentro de ese conjunto y para comparar modelos de referencia; la siguiente validación debe utilizar datos reales y representativos.</w:t>
            </w:r>
          </w:p>
        </w:tc>
      </w:tr>
    </w:tbl>
    <w:p>
      <w:pPr>
        <w:spacing w:after="20"/>
      </w:pPr>
    </w:p>
    <w:p>
      <w:pPr>
        <w:widowControl/>
      </w:pPr>
      <w:r>
        <w:rPr>
          <w:rFonts w:ascii="Times New Roman" w:hAnsi="Times New Roman" w:eastAsia="Times New Roman"/>
          <w:i w:val="0"/>
          <w:sz w:val="24"/>
        </w:rPr>
        <w:t>Las cifras corregidas difieren de una primera versión del análisis que había incluido masa_kg. Como esa variable repetía parte de la fórmula que generaba co2_kg, su inclusión proporcionaba información derivada de la respuesta y sobreestimaba el desempeño. Tras excluirla, el MAE de prueba pasó a 23,25 kg y el R² de validación cruzada a 0,9271 ± 0,0115. Esta corrección fortalece la transparencia de la evaluación.</w:t>
      </w:r>
    </w:p>
    <w:p>
      <w:pPr>
        <w:pStyle w:val="Ttulo3"/>
      </w:pPr>
      <w:r>
        <w:t>4.1.4 Pruebas y limitaciones identificadas</w:t>
      </w:r>
    </w:p>
    <w:p>
      <w:pPr>
        <w:widowControl/>
      </w:pPr>
      <w:r>
        <w:rPr>
          <w:rFonts w:ascii="Times New Roman" w:hAnsi="Times New Roman" w:eastAsia="Times New Roman"/>
          <w:i w:val="0"/>
          <w:sz w:val="24"/>
        </w:rPr>
        <w:t>La documentación registra ocho pruebas automáticas: comprobación del arranque de la aplicación, seis casos de cálculo de huella por etapas y verificación de que los iconos referenciados por la interfaz existan. También se realizaron revisiones de navegación en navegador a lo largo de las entregas. Estas pruebas aportan evidencia funcional acotada, pero no equivalen a una prueba de carga, una auditoría de seguridad ni a una validación de aceptación por clientes reales.</w:t>
      </w:r>
    </w:p>
    <w:tbl>
      <w:tblPr>
        <w:tblStyle w:val="Tablaconcuadrcula"/>
        <w:tblW w:type="auto" w:w="0"/>
        <w:jc w:val="center"/>
        <w:tblLayout w:type="fixed"/>
        <w:tblLook w:firstColumn="1" w:firstRow="1" w:lastColumn="0" w:lastRow="0" w:noHBand="0" w:noVBand="1" w:val="04A0"/>
      </w:tblPr>
      <w:tblGrid>
        <w:gridCol w:w="1944"/>
        <w:gridCol w:w="6408"/>
      </w:tblGrid>
      <w:tr>
        <w:trPr>
          <w:tblHeader w:val="true"/>
          <w:cantSplit/>
        </w:trPr>
        <w:tc>
          <w:tcPr>
            <w:tcW w:type="dxa" w:w="1944"/>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Aspecto</w:t>
            </w:r>
          </w:p>
        </w:tc>
        <w:tc>
          <w:tcPr>
            <w:tcW w:type="dxa" w:w="6408"/>
            <w:vAlign w:val="center"/>
            <w:tcMar>
              <w:top w:w="80" w:type="dxa"/>
              <w:start w:w="100" w:type="dxa"/>
              <w:bottom w:w="80" w:type="dxa"/>
              <w:end w:w="100" w:type="dxa"/>
            </w:tcMar>
          </w:tcPr>
          <w:p>
            <w:pPr>
              <w:spacing w:before="0" w:after="0" w:line="240" w:lineRule="auto"/>
              <w:jc w:val="center"/>
            </w:pPr>
            <w:r/>
            <w:r>
              <w:rPr>
                <w:rFonts w:ascii="Times New Roman" w:hAnsi="Times New Roman" w:eastAsia="Times New Roman"/>
                <w:sz w:val="19"/>
              </w:rPr>
              <w:t>Limitación actual</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Pago</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El flujo registra el pedido, pero el pago no se cobra mediante una pasarela real.</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Factura</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El documento generado es un soporte de compra y no una factura electrónica válida ante la DIAN.</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Precios</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Los precios por metro cuadrado y ciertos recargos del configurador requieren cambios en el programa; deben gestionarse desde el panel.</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Huella</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Se usan factores promedio y transporte fijo de 300 km; la capa activa es una estimación propia y faltan datos del proveedor y de la planta.</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Modelo predictivo</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Random Forest es un estudio independiente y todavía no está conectado al cálculo que muestra la aplicación.</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Validación</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No hay aún una vidriería real participante ni pruebas con dinero real o una muestra de clientes externos.</w:t>
            </w:r>
          </w:p>
        </w:tc>
      </w:tr>
      <w:tr>
        <w:trPr>
          <w:cantSplit/>
        </w:trPr>
        <w:tc>
          <w:tcPr>
            <w:tcW w:type="dxa" w:w="1944"/>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Seguridad y operación</w:t>
            </w:r>
          </w:p>
        </w:tc>
        <w:tc>
          <w:tcPr>
            <w:tcW w:type="dxa" w:w="6408"/>
            <w:vAlign w:val="center"/>
            <w:tcMar>
              <w:top w:w="80" w:type="dxa"/>
              <w:start w:w="100" w:type="dxa"/>
              <w:bottom w:w="80" w:type="dxa"/>
              <w:end w:w="100" w:type="dxa"/>
            </w:tcMar>
          </w:tcPr>
          <w:p>
            <w:pPr>
              <w:spacing w:before="0" w:after="0" w:line="240" w:lineRule="auto"/>
              <w:jc w:val="left"/>
            </w:pPr>
            <w:r/>
            <w:r>
              <w:rPr>
                <w:rFonts w:ascii="Times New Roman" w:hAnsi="Times New Roman" w:eastAsia="Times New Roman"/>
                <w:b w:val="0"/>
                <w:sz w:val="18"/>
              </w:rPr>
              <w:t>La documentación identifica protección CSRF pendiente de fortalecimiento, además de tareas de respaldo y preparación operativa antes de escalar.</w:t>
            </w:r>
          </w:p>
        </w:tc>
      </w:tr>
    </w:tbl>
    <w:p>
      <w:pPr>
        <w:spacing w:after="20"/>
      </w:pPr>
    </w:p>
    <w:p>
      <w:pPr>
        <w:pStyle w:val="Ttulo2"/>
      </w:pPr>
      <w:r>
        <w:t>4.2 Conclusiones</w:t>
      </w:r>
    </w:p>
    <w:p>
      <w:pPr>
        <w:widowControl/>
      </w:pPr>
      <w:r>
        <w:rPr>
          <w:rFonts w:ascii="Times New Roman" w:hAnsi="Times New Roman" w:eastAsia="Times New Roman"/>
          <w:i w:val="0"/>
          <w:sz w:val="24"/>
        </w:rPr>
        <w:t>SmartGlass evolucionó desde una propuesta de gestión de inventario y cálculo ambiental hacia un prototipo web que organiza el recorrido comercial de una pieza de vidrio a medida. Integra catálogo, configuración, estimaciones, cotizaciones con revisión del taller, pedidos, panel administrativo y notificaciones. De esta manera, ofrece una base funcional para explorar cómo una vidriería podría centralizar su atención comercial y mostrar información técnica junto al precio.</w:t>
      </w:r>
    </w:p>
    <w:p>
      <w:pPr>
        <w:widowControl/>
      </w:pPr>
      <w:r>
        <w:rPr>
          <w:rFonts w:ascii="Times New Roman" w:hAnsi="Times New Roman" w:eastAsia="Times New Roman"/>
          <w:i w:val="0"/>
          <w:sz w:val="24"/>
        </w:rPr>
        <w:t>El cálculo de huella por etapas permite desglosar la estimación en factores asociados a la fusión, el templado, el PVB, la capa activa y el transporte. La transparencia sobre fórmulas, fuentes y supuestos constituye una parte central de su aporte. No obstante, mientras se utilicen promedios y distancias asumidas, las cifras deben comunicarse como estimaciones comparativas y no como mediciones exactas de cada empresa o como una declaración ambiental certificada.</w:t>
      </w:r>
    </w:p>
    <w:p>
      <w:pPr>
        <w:widowControl/>
      </w:pPr>
      <w:r>
        <w:rPr>
          <w:rFonts w:ascii="Times New Roman" w:hAnsi="Times New Roman" w:eastAsia="Times New Roman"/>
          <w:i w:val="0"/>
          <w:sz w:val="24"/>
        </w:rPr>
        <w:t>El experimento de minería de datos muestra que un Random Forest puede aprender relaciones entre las variables técnicas sintéticas y el CO₂ generado por las reglas del dataset. Con la masa excluida para evitar filtración, el modelo logró R² de 0,9433 en prueba y 0,9271 ± 0,0115 en validación cruzada, con MAE de 23,25 kg. La comparación con modelos de referencia respalda la elección metodológica dentro del entorno construido, pero no sustituye una validación con datos reales; además, el modelo predictivo no está integrado en la plataforma actual.</w:t>
      </w:r>
    </w:p>
    <w:p>
      <w:pPr>
        <w:widowControl/>
      </w:pPr>
      <w:r>
        <w:rPr>
          <w:rFonts w:ascii="Times New Roman" w:hAnsi="Times New Roman" w:eastAsia="Times New Roman"/>
          <w:i w:val="0"/>
          <w:sz w:val="24"/>
        </w:rPr>
        <w:t>Las pruebas documentadas respaldan el funcionamiento de componentes seleccionados, pero el proyecto no ha demostrado todavía ahorro real de tiempo, incremento de ventas ni reducción de emisiones en una vidriería operativa. Esas afirmaciones requieren un piloto con usuarios externos e indicadores definidos antes y después de la implementación. Por tanto, el resultado actual es un prototipo funcional en fase de preparación para piloto, no un producto comercial validado en operación real.</w:t>
      </w:r>
    </w:p>
    <w:p>
      <w:pPr>
        <w:widowControl/>
      </w:pPr>
      <w:r>
        <w:rPr>
          <w:rFonts w:ascii="Times New Roman" w:hAnsi="Times New Roman" w:eastAsia="Times New Roman"/>
          <w:i w:val="0"/>
          <w:sz w:val="24"/>
        </w:rPr>
        <w:t>Como trabajo futuro se recomienda realizar un piloto con una vidriería de Cartagena u otra ciudad colombiana; recoger datos reales de tipos de vidrio, precios, consumos, tiempos y distancias; permitir editar tarifas desde el panel; integrar una pasarela de pago y facturación electrónica; fortalecer los controles de seguridad y los respaldos; y evaluar si el modelo predictivo aporta valor como segunda estimación junto al cálculo por etapas. Esta fase también debe medir tiempo de respuesta, conversión de cotizaciones a pedidos, errores de medidas y proporción de clientes que eligen opciones de menor huella.</w:t>
      </w:r>
    </w:p>
    <w:p>
      <w:r>
        <w:br w:type="page"/>
      </w:r>
    </w:p>
    <w:p>
      <w:pPr>
        <w:pStyle w:val="Ttulo1"/>
      </w:pPr>
      <w:r>
        <w:t>Referencias bibliográficas</w:t>
      </w:r>
    </w:p>
    <w:p>
      <w:pPr>
        <w:spacing w:after="140" w:line="240" w:lineRule="auto"/>
        <w:ind w:left="504" w:hanging="504"/>
        <w:jc w:val="left"/>
      </w:pPr>
      <w:r>
        <w:rPr>
          <w:rFonts w:ascii="Times New Roman" w:hAnsi="Times New Roman" w:eastAsia="Times New Roman"/>
          <w:sz w:val="21"/>
        </w:rPr>
        <w:t xml:space="preserve">Aldana Rivera, H. A., &amp; De Ávila Flórez, W. J. (2023). </w:t>
      </w:r>
      <w:r>
        <w:rPr>
          <w:rFonts w:ascii="Times New Roman" w:hAnsi="Times New Roman" w:eastAsia="Times New Roman"/>
          <w:i/>
          <w:sz w:val="21"/>
        </w:rPr>
        <w:t>Efectos de la adición de vidrio reciclado para la estabilización de un suelo arcilloso de la ciudad de Cartagena</w:t>
      </w:r>
      <w:r>
        <w:rPr>
          <w:rFonts w:ascii="Times New Roman" w:hAnsi="Times New Roman" w:eastAsia="Times New Roman"/>
          <w:sz w:val="21"/>
        </w:rPr>
        <w:t xml:space="preserve">. Universidad de Cartagena. </w:t>
      </w:r>
      <w:hyperlink r:id="rId18" w:history="1">
        <w:r>
          <w:rPr>
            <w:rFonts w:ascii="Times New Roman" w:hAnsi="Times New Roman" w:eastAsia="Times New Roman"/>
            <w:sz w:val="21"/>
            <w:color w:val="0563C1"/>
            <w:u w:val="single"/>
          </w:rPr>
          <w:t>https://hdl.handle.net/11227/17580</w:t>
        </w:r>
      </w:hyperlink>
    </w:p>
    <w:p>
      <w:pPr>
        <w:spacing w:after="140" w:line="240" w:lineRule="auto"/>
        <w:ind w:left="504" w:hanging="504"/>
        <w:jc w:val="left"/>
      </w:pPr>
      <w:r>
        <w:rPr>
          <w:rFonts w:ascii="Times New Roman" w:hAnsi="Times New Roman" w:eastAsia="Times New Roman"/>
          <w:sz w:val="21"/>
        </w:rPr>
        <w:t xml:space="preserve">Amaya Guevara, B. D., &amp; Virviescas Rincón, J. S. (2023). </w:t>
      </w:r>
      <w:r>
        <w:rPr>
          <w:rFonts w:ascii="Times New Roman" w:hAnsi="Times New Roman" w:eastAsia="Times New Roman"/>
          <w:i/>
          <w:sz w:val="21"/>
        </w:rPr>
        <w:t>Diseño e implementación de un sistema de supervisión y control para el proceso de vidrio laminado para la planta AGP Colombia de Bogotá</w:t>
      </w:r>
      <w:r>
        <w:rPr>
          <w:rFonts w:ascii="Times New Roman" w:hAnsi="Times New Roman" w:eastAsia="Times New Roman"/>
          <w:sz w:val="21"/>
        </w:rPr>
        <w:t xml:space="preserve"> [Trabajo de grado]. Universidad Antonio Nariño. </w:t>
      </w:r>
      <w:hyperlink r:id="rId19" w:history="1">
        <w:r>
          <w:rPr>
            <w:rFonts w:ascii="Times New Roman" w:hAnsi="Times New Roman" w:eastAsia="Times New Roman"/>
            <w:sz w:val="21"/>
            <w:color w:val="0563C1"/>
            <w:u w:val="single"/>
          </w:rPr>
          <w:t>https://repositorio.uan.edu.co/handle/123456789/7998</w:t>
        </w:r>
      </w:hyperlink>
    </w:p>
    <w:p>
      <w:pPr>
        <w:spacing w:after="140" w:line="240" w:lineRule="auto"/>
        <w:ind w:left="504" w:hanging="504"/>
        <w:jc w:val="left"/>
      </w:pPr>
      <w:r>
        <w:rPr>
          <w:rFonts w:ascii="Times New Roman" w:hAnsi="Times New Roman" w:eastAsia="Times New Roman"/>
          <w:sz w:val="21"/>
        </w:rPr>
        <w:t xml:space="preserve">Avery, G., &amp; Carpenter, A. (2023). Supply chain energy and greenhouse gas analysis using the Materials Flows through Industry (MFI) tool: Examination of decarbonization technology scenarios for the U.S. glass manufacturing sector (NREL/TP-6A20-83730). National Renewable Energy Laboratory. </w:t>
      </w:r>
      <w:hyperlink r:id="rId35" w:history="1">
        <w:r>
          <w:rPr>
            <w:rFonts w:ascii="Times New Roman" w:hAnsi="Times New Roman" w:eastAsia="Times New Roman"/>
            <w:sz w:val="21"/>
            <w:color w:val="0563C1"/>
            <w:u w:val="single"/>
          </w:rPr>
          <w:t>https://www.nrel.gov/docs/fy23osti/83730.pdf</w:t>
        </w:r>
      </w:hyperlink>
    </w:p>
    <w:p>
      <w:pPr>
        <w:spacing w:after="140" w:line="240" w:lineRule="auto"/>
        <w:ind w:left="504" w:hanging="504"/>
        <w:jc w:val="left"/>
      </w:pPr>
      <w:r>
        <w:rPr>
          <w:rFonts w:ascii="Times New Roman" w:hAnsi="Times New Roman" w:eastAsia="Times New Roman"/>
          <w:sz w:val="21"/>
        </w:rPr>
        <w:t xml:space="preserve">Branca, T. A., Colla, V., &amp; Algermissen, D. (2020). </w:t>
      </w:r>
      <w:r>
        <w:rPr>
          <w:rFonts w:ascii="Times New Roman" w:hAnsi="Times New Roman" w:eastAsia="Times New Roman"/>
          <w:i/>
          <w:sz w:val="21"/>
        </w:rPr>
        <w:t>Reducing CO₂ emissions in energy-intensive industries: A review on potential decarbonization pathways in the glass manufacturing sector</w:t>
      </w:r>
      <w:r>
        <w:rPr>
          <w:rFonts w:ascii="Times New Roman" w:hAnsi="Times New Roman" w:eastAsia="Times New Roman"/>
          <w:sz w:val="21"/>
        </w:rPr>
        <w:t xml:space="preserve">. Energy, 211, 118650. </w:t>
      </w:r>
      <w:hyperlink r:id="rId20" w:history="1">
        <w:r>
          <w:rPr>
            <w:rFonts w:ascii="Times New Roman" w:hAnsi="Times New Roman" w:eastAsia="Times New Roman"/>
            <w:sz w:val="21"/>
            <w:color w:val="0563C1"/>
            <w:u w:val="single"/>
          </w:rPr>
          <w:t>https://doi.org/10.1016/j.energy.2020.118650</w:t>
        </w:r>
      </w:hyperlink>
    </w:p>
    <w:p>
      <w:pPr>
        <w:spacing w:after="140" w:line="240" w:lineRule="auto"/>
        <w:ind w:left="504" w:hanging="504"/>
        <w:jc w:val="left"/>
      </w:pPr>
      <w:r>
        <w:rPr>
          <w:rFonts w:ascii="Times New Roman" w:hAnsi="Times New Roman" w:eastAsia="Times New Roman"/>
          <w:sz w:val="21"/>
        </w:rPr>
        <w:t xml:space="preserve">Congreso de Colombia. (1993, 22 de diciembre). </w:t>
      </w:r>
      <w:r>
        <w:rPr>
          <w:rFonts w:ascii="Times New Roman" w:hAnsi="Times New Roman" w:eastAsia="Times New Roman"/>
          <w:i/>
          <w:sz w:val="21"/>
        </w:rPr>
        <w:t>Ley 99 de 1993</w:t>
      </w:r>
      <w:r>
        <w:rPr>
          <w:rFonts w:ascii="Times New Roman" w:hAnsi="Times New Roman" w:eastAsia="Times New Roman"/>
          <w:sz w:val="21"/>
        </w:rPr>
        <w:t xml:space="preserve">. Ministerio de Ambiente y Desarrollo Sostenible. </w:t>
      </w:r>
      <w:hyperlink r:id="rId21" w:history="1">
        <w:r>
          <w:rPr>
            <w:rFonts w:ascii="Times New Roman" w:hAnsi="Times New Roman" w:eastAsia="Times New Roman"/>
            <w:sz w:val="21"/>
            <w:color w:val="0563C1"/>
            <w:u w:val="single"/>
          </w:rPr>
          <w:t>https://www.minambiente.gov.co/documento-normativa/ley-99-de-1993/</w:t>
        </w:r>
      </w:hyperlink>
    </w:p>
    <w:p>
      <w:pPr>
        <w:spacing w:after="140" w:line="240" w:lineRule="auto"/>
        <w:ind w:left="504" w:hanging="504"/>
        <w:jc w:val="left"/>
      </w:pPr>
      <w:r>
        <w:rPr>
          <w:rFonts w:ascii="Times New Roman" w:hAnsi="Times New Roman" w:eastAsia="Times New Roman"/>
          <w:sz w:val="21"/>
        </w:rPr>
        <w:t xml:space="preserve">Congreso de Colombia. (1999, 18 de agosto). </w:t>
      </w:r>
      <w:r>
        <w:rPr>
          <w:rFonts w:ascii="Times New Roman" w:hAnsi="Times New Roman" w:eastAsia="Times New Roman"/>
          <w:i/>
          <w:sz w:val="21"/>
        </w:rPr>
        <w:t>Ley 527 de 1999</w:t>
      </w:r>
      <w:r>
        <w:rPr>
          <w:rFonts w:ascii="Times New Roman" w:hAnsi="Times New Roman" w:eastAsia="Times New Roman"/>
          <w:sz w:val="21"/>
        </w:rPr>
        <w:t xml:space="preserve">. Departamento Administrativo de la Función Pública. </w:t>
      </w:r>
      <w:hyperlink r:id="rId22" w:history="1">
        <w:r>
          <w:rPr>
            <w:rFonts w:ascii="Times New Roman" w:hAnsi="Times New Roman" w:eastAsia="Times New Roman"/>
            <w:sz w:val="21"/>
            <w:color w:val="0563C1"/>
            <w:u w:val="single"/>
          </w:rPr>
          <w:t>https://www1.funcionpublica.gov.co/eva/gestornormativo/norma.php?i=4276</w:t>
        </w:r>
      </w:hyperlink>
    </w:p>
    <w:p>
      <w:pPr>
        <w:spacing w:after="140" w:line="240" w:lineRule="auto"/>
        <w:ind w:left="504" w:hanging="504"/>
        <w:jc w:val="left"/>
      </w:pPr>
      <w:r>
        <w:rPr>
          <w:rFonts w:ascii="Times New Roman" w:hAnsi="Times New Roman" w:eastAsia="Times New Roman"/>
          <w:sz w:val="21"/>
        </w:rPr>
        <w:t xml:space="preserve">Congreso de Colombia. (2001, 3 de octubre). </w:t>
      </w:r>
      <w:r>
        <w:rPr>
          <w:rFonts w:ascii="Times New Roman" w:hAnsi="Times New Roman" w:eastAsia="Times New Roman"/>
          <w:i/>
          <w:sz w:val="21"/>
        </w:rPr>
        <w:t>Ley 697 de 2001</w:t>
      </w:r>
      <w:r>
        <w:rPr>
          <w:rFonts w:ascii="Times New Roman" w:hAnsi="Times New Roman" w:eastAsia="Times New Roman"/>
          <w:sz w:val="21"/>
        </w:rPr>
        <w:t xml:space="preserve">. Departamento Administrativo de la Función Pública. </w:t>
      </w:r>
      <w:hyperlink r:id="rId23" w:history="1">
        <w:r>
          <w:rPr>
            <w:rFonts w:ascii="Times New Roman" w:hAnsi="Times New Roman" w:eastAsia="Times New Roman"/>
            <w:sz w:val="21"/>
            <w:color w:val="0563C1"/>
            <w:u w:val="single"/>
          </w:rPr>
          <w:t>https://www.funcionpublica.gov.co/eva/gestornormativo/norma.php?i=4449</w:t>
        </w:r>
      </w:hyperlink>
    </w:p>
    <w:p>
      <w:pPr>
        <w:spacing w:after="140" w:line="240" w:lineRule="auto"/>
        <w:ind w:left="504" w:hanging="504"/>
        <w:jc w:val="left"/>
      </w:pPr>
      <w:r>
        <w:rPr>
          <w:rFonts w:ascii="Times New Roman" w:hAnsi="Times New Roman" w:eastAsia="Times New Roman"/>
          <w:sz w:val="21"/>
        </w:rPr>
        <w:t xml:space="preserve">Congreso de Colombia. (2011, 12 de octubre). </w:t>
      </w:r>
      <w:r>
        <w:rPr>
          <w:rFonts w:ascii="Times New Roman" w:hAnsi="Times New Roman" w:eastAsia="Times New Roman"/>
          <w:i/>
          <w:sz w:val="21"/>
        </w:rPr>
        <w:t>Ley 1480 de 2011: Estatuto del Consumidor</w:t>
      </w:r>
      <w:r>
        <w:rPr>
          <w:rFonts w:ascii="Times New Roman" w:hAnsi="Times New Roman" w:eastAsia="Times New Roman"/>
          <w:sz w:val="21"/>
        </w:rPr>
        <w:t xml:space="preserve">. Departamento Administrativo de la Función Pública. </w:t>
      </w:r>
      <w:hyperlink r:id="rId24" w:history="1">
        <w:r>
          <w:rPr>
            <w:rFonts w:ascii="Times New Roman" w:hAnsi="Times New Roman" w:eastAsia="Times New Roman"/>
            <w:sz w:val="21"/>
            <w:color w:val="0563C1"/>
            <w:u w:val="single"/>
          </w:rPr>
          <w:t>https://www.funcionpublica.gov.co/eva/gestornormativo/norma.php?i=44306</w:t>
        </w:r>
      </w:hyperlink>
    </w:p>
    <w:p>
      <w:pPr>
        <w:spacing w:after="140" w:line="240" w:lineRule="auto"/>
        <w:ind w:left="504" w:hanging="504"/>
        <w:jc w:val="left"/>
      </w:pPr>
      <w:r>
        <w:rPr>
          <w:rFonts w:ascii="Times New Roman" w:hAnsi="Times New Roman" w:eastAsia="Times New Roman"/>
          <w:sz w:val="21"/>
        </w:rPr>
        <w:t xml:space="preserve">Congreso de Colombia. (2012, 17 de octubre). </w:t>
      </w:r>
      <w:r>
        <w:rPr>
          <w:rFonts w:ascii="Times New Roman" w:hAnsi="Times New Roman" w:eastAsia="Times New Roman"/>
          <w:i/>
          <w:sz w:val="21"/>
        </w:rPr>
        <w:t>Ley 1581 de 2012</w:t>
      </w:r>
      <w:r>
        <w:rPr>
          <w:rFonts w:ascii="Times New Roman" w:hAnsi="Times New Roman" w:eastAsia="Times New Roman"/>
          <w:sz w:val="21"/>
        </w:rPr>
        <w:t xml:space="preserve">. Departamento Administrativo de la Función Pública. </w:t>
      </w:r>
      <w:hyperlink r:id="rId25" w:history="1">
        <w:r>
          <w:rPr>
            <w:rFonts w:ascii="Times New Roman" w:hAnsi="Times New Roman" w:eastAsia="Times New Roman"/>
            <w:sz w:val="21"/>
            <w:color w:val="0563C1"/>
            <w:u w:val="single"/>
          </w:rPr>
          <w:t>https://www1.funcionpublica.gov.co/eva/gestornormativo/norma.php?i=49981</w:t>
        </w:r>
      </w:hyperlink>
    </w:p>
    <w:p>
      <w:pPr>
        <w:spacing w:after="140" w:line="240" w:lineRule="auto"/>
        <w:ind w:left="504" w:hanging="504"/>
        <w:jc w:val="left"/>
      </w:pPr>
      <w:r>
        <w:rPr>
          <w:rFonts w:ascii="Times New Roman" w:hAnsi="Times New Roman" w:eastAsia="Times New Roman"/>
          <w:sz w:val="21"/>
        </w:rPr>
        <w:t xml:space="preserve">Congreso de Colombia. (2014, 13 de mayo). </w:t>
      </w:r>
      <w:r>
        <w:rPr>
          <w:rFonts w:ascii="Times New Roman" w:hAnsi="Times New Roman" w:eastAsia="Times New Roman"/>
          <w:i/>
          <w:sz w:val="21"/>
        </w:rPr>
        <w:t>Ley 1715 de 2014</w:t>
      </w:r>
      <w:r>
        <w:rPr>
          <w:rFonts w:ascii="Times New Roman" w:hAnsi="Times New Roman" w:eastAsia="Times New Roman"/>
          <w:sz w:val="21"/>
        </w:rPr>
        <w:t xml:space="preserve">. Sistema Único de Información Normativa. </w:t>
      </w:r>
      <w:hyperlink r:id="rId26" w:history="1">
        <w:r>
          <w:rPr>
            <w:rFonts w:ascii="Times New Roman" w:hAnsi="Times New Roman" w:eastAsia="Times New Roman"/>
            <w:sz w:val="21"/>
            <w:color w:val="0563C1"/>
            <w:u w:val="single"/>
          </w:rPr>
          <w:t>https://www.funcionpublica.gov.co/eva/gestornormativo/norma.php?i=57353</w:t>
        </w:r>
      </w:hyperlink>
    </w:p>
    <w:p>
      <w:pPr>
        <w:spacing w:after="140" w:line="240" w:lineRule="auto"/>
        <w:ind w:left="504" w:hanging="504"/>
        <w:jc w:val="left"/>
      </w:pPr>
      <w:r>
        <w:rPr>
          <w:rFonts w:ascii="Times New Roman" w:hAnsi="Times New Roman" w:eastAsia="Times New Roman"/>
          <w:sz w:val="21"/>
        </w:rPr>
        <w:t xml:space="preserve">Congreso de Colombia. (2021, 22 de diciembre). </w:t>
      </w:r>
      <w:r>
        <w:rPr>
          <w:rFonts w:ascii="Times New Roman" w:hAnsi="Times New Roman" w:eastAsia="Times New Roman"/>
          <w:i/>
          <w:sz w:val="21"/>
        </w:rPr>
        <w:t>Ley 2169 de 2021</w:t>
      </w:r>
      <w:r>
        <w:rPr>
          <w:rFonts w:ascii="Times New Roman" w:hAnsi="Times New Roman" w:eastAsia="Times New Roman"/>
          <w:sz w:val="21"/>
        </w:rPr>
        <w:t xml:space="preserve">. Ministerio de Relaciones Exteriores. </w:t>
      </w:r>
      <w:hyperlink r:id="rId27" w:history="1">
        <w:r>
          <w:rPr>
            <w:rFonts w:ascii="Times New Roman" w:hAnsi="Times New Roman" w:eastAsia="Times New Roman"/>
            <w:sz w:val="21"/>
            <w:color w:val="0563C1"/>
            <w:u w:val="single"/>
          </w:rPr>
          <w:t>https://www.cancilleria.gov.co/normograma/compilacion/docs/ley_2169_2021.htm</w:t>
        </w:r>
      </w:hyperlink>
    </w:p>
    <w:p>
      <w:pPr>
        <w:spacing w:after="140" w:line="240" w:lineRule="auto"/>
        <w:ind w:left="504" w:hanging="504"/>
        <w:jc w:val="left"/>
      </w:pPr>
      <w:r>
        <w:rPr>
          <w:rFonts w:ascii="Times New Roman" w:hAnsi="Times New Roman" w:eastAsia="Times New Roman"/>
          <w:sz w:val="21"/>
        </w:rPr>
        <w:t xml:space="preserve">Congreso de Colombia. (2024, 19 de diciembre). </w:t>
      </w:r>
      <w:r>
        <w:rPr>
          <w:rFonts w:ascii="Times New Roman" w:hAnsi="Times New Roman" w:eastAsia="Times New Roman"/>
          <w:i/>
          <w:sz w:val="21"/>
        </w:rPr>
        <w:t>Ley 2439 de 2024</w:t>
      </w:r>
      <w:r>
        <w:rPr>
          <w:rFonts w:ascii="Times New Roman" w:hAnsi="Times New Roman" w:eastAsia="Times New Roman"/>
          <w:sz w:val="21"/>
        </w:rPr>
        <w:t xml:space="preserve">. Departamento Administrativo de la Función Pública. </w:t>
      </w:r>
      <w:hyperlink r:id="rId28" w:history="1">
        <w:r>
          <w:rPr>
            <w:rFonts w:ascii="Times New Roman" w:hAnsi="Times New Roman" w:eastAsia="Times New Roman"/>
            <w:sz w:val="21"/>
            <w:color w:val="0563C1"/>
            <w:u w:val="single"/>
          </w:rPr>
          <w:t>https://www1.funcionpublica.gov.co/eva/gestornormativo/norma.php?i=257116</w:t>
        </w:r>
      </w:hyperlink>
    </w:p>
    <w:p>
      <w:pPr>
        <w:spacing w:after="140" w:line="240" w:lineRule="auto"/>
        <w:ind w:left="504" w:hanging="504"/>
        <w:jc w:val="left"/>
      </w:pPr>
      <w:r>
        <w:rPr>
          <w:rFonts w:ascii="Times New Roman" w:hAnsi="Times New Roman" w:eastAsia="Times New Roman"/>
          <w:sz w:val="21"/>
        </w:rPr>
        <w:t xml:space="preserve">Díaz, R., Velarde, G., &amp; Lino, G. (2021). </w:t>
      </w:r>
      <w:r>
        <w:rPr>
          <w:rFonts w:ascii="Times New Roman" w:hAnsi="Times New Roman" w:eastAsia="Times New Roman"/>
          <w:i/>
          <w:sz w:val="21"/>
        </w:rPr>
        <w:t>Glass packaging material flow analysis for production, consumption, and trade in Peru during 2018</w:t>
      </w:r>
      <w:r>
        <w:rPr>
          <w:rFonts w:ascii="Times New Roman" w:hAnsi="Times New Roman" w:eastAsia="Times New Roman"/>
          <w:sz w:val="21"/>
        </w:rPr>
        <w:t xml:space="preserve">. South Sustainability, 2(1). </w:t>
      </w:r>
      <w:hyperlink r:id="rId29" w:history="1">
        <w:r>
          <w:rPr>
            <w:rFonts w:ascii="Times New Roman" w:hAnsi="Times New Roman" w:eastAsia="Times New Roman"/>
            <w:sz w:val="21"/>
            <w:color w:val="0563C1"/>
            <w:u w:val="single"/>
          </w:rPr>
          <w:t>https://doi.org/10.21142/SS-0201-2021-002</w:t>
        </w:r>
      </w:hyperlink>
    </w:p>
    <w:p>
      <w:pPr>
        <w:spacing w:after="140" w:line="240" w:lineRule="auto"/>
        <w:ind w:left="504" w:hanging="504"/>
        <w:jc w:val="left"/>
      </w:pPr>
      <w:r>
        <w:rPr>
          <w:rFonts w:ascii="Times New Roman" w:hAnsi="Times New Roman" w:eastAsia="Times New Roman"/>
          <w:sz w:val="21"/>
        </w:rPr>
        <w:t xml:space="preserve">Furszyfer Del Rio, D. D., Sovacool, B. K., Foley, A. M., Griffiths, S., Bazilian, M., Kim, J., &amp; Rooney, D. (2022). Decarbonizing the glass industry: A critical and systematic review of developments, sociotechnical systems and policy options. Renewable and Sustainable Energy Reviews, 155, 111885. </w:t>
      </w:r>
      <w:hyperlink r:id="rId36" w:history="1">
        <w:r>
          <w:rPr>
            <w:rFonts w:ascii="Times New Roman" w:hAnsi="Times New Roman" w:eastAsia="Times New Roman"/>
            <w:sz w:val="21"/>
            <w:color w:val="0563C1"/>
            <w:u w:val="single"/>
          </w:rPr>
          <w:t>https://doi.org/10.1016/j.rser.2021.111885</w:t>
        </w:r>
      </w:hyperlink>
    </w:p>
    <w:p>
      <w:pPr>
        <w:spacing w:after="140" w:line="240" w:lineRule="auto"/>
        <w:ind w:left="504" w:hanging="504"/>
        <w:jc w:val="left"/>
      </w:pPr>
      <w:r>
        <w:rPr>
          <w:rFonts w:ascii="Times New Roman" w:hAnsi="Times New Roman" w:eastAsia="Times New Roman"/>
          <w:sz w:val="21"/>
        </w:rPr>
        <w:t xml:space="preserve">Géron, A. (2022). Hands-on machine learning with Scikit-Learn, Keras, and TensorFlow (3.ª ed.). O’Reilly Media. </w:t>
      </w:r>
      <w:hyperlink r:id="rId37" w:history="1">
        <w:r>
          <w:rPr>
            <w:rFonts w:ascii="Times New Roman" w:hAnsi="Times New Roman" w:eastAsia="Times New Roman"/>
            <w:sz w:val="21"/>
            <w:color w:val="0563C1"/>
            <w:u w:val="single"/>
          </w:rPr>
          <w:t>https://www.oreilly.com/library/view/hands-on-machine-learning/9781098125967/</w:t>
        </w:r>
      </w:hyperlink>
    </w:p>
    <w:p>
      <w:pPr>
        <w:spacing w:after="140" w:line="240" w:lineRule="auto"/>
        <w:ind w:left="504" w:hanging="504"/>
        <w:jc w:val="left"/>
      </w:pPr>
      <w:r>
        <w:rPr>
          <w:rFonts w:ascii="Times New Roman" w:hAnsi="Times New Roman" w:eastAsia="Times New Roman"/>
          <w:sz w:val="21"/>
        </w:rPr>
        <w:t xml:space="preserve">Hernández-Sampieri, R., &amp; Mendoza Torres, C. P. (2018). Metodología de la investigación: Las rutas cuantitativa, cualitativa y mixta. McGraw-Hill Interamericana.</w:t>
      </w:r>
    </w:p>
    <w:p>
      <w:pPr>
        <w:spacing w:after="140" w:line="240" w:lineRule="auto"/>
        <w:ind w:left="504" w:hanging="504"/>
        <w:jc w:val="left"/>
      </w:pPr>
      <w:r>
        <w:rPr>
          <w:rFonts w:ascii="Times New Roman" w:hAnsi="Times New Roman" w:eastAsia="Times New Roman"/>
          <w:sz w:val="21"/>
        </w:rPr>
        <w:t xml:space="preserve">Quintero Serrano, L. Á., &amp; Díaz Padilla, R. (2022). </w:t>
      </w:r>
      <w:r>
        <w:rPr>
          <w:rFonts w:ascii="Times New Roman" w:hAnsi="Times New Roman" w:eastAsia="Times New Roman"/>
          <w:i/>
          <w:sz w:val="21"/>
        </w:rPr>
        <w:t>Formulación de propuestas para la óptima gestión de residuos sólidos aprovechables en el distrito de Cartagena de Indias</w:t>
      </w:r>
      <w:r>
        <w:rPr>
          <w:rFonts w:ascii="Times New Roman" w:hAnsi="Times New Roman" w:eastAsia="Times New Roman"/>
          <w:sz w:val="21"/>
        </w:rPr>
        <w:t xml:space="preserve"> [Trabajo de grado]. Universidad Tecnológica de Bolívar. </w:t>
      </w:r>
      <w:hyperlink r:id="rId33" w:history="1">
        <w:r>
          <w:rPr>
            <w:rFonts w:ascii="Times New Roman" w:hAnsi="Times New Roman" w:eastAsia="Times New Roman"/>
            <w:sz w:val="21"/>
            <w:color w:val="0563C1"/>
            <w:u w:val="single"/>
          </w:rPr>
          <w:t>https://hdl.handle.net/20.500.12585/14045</w:t>
        </w:r>
      </w:hyperlink>
    </w:p>
    <w:p>
      <w:pPr>
        <w:spacing w:after="140" w:line="240" w:lineRule="auto"/>
        <w:ind w:left="504" w:hanging="504"/>
        <w:jc w:val="left"/>
      </w:pPr>
      <w:r>
        <w:rPr>
          <w:rFonts w:ascii="Times New Roman" w:hAnsi="Times New Roman" w:eastAsia="Times New Roman"/>
          <w:sz w:val="21"/>
        </w:rPr>
        <w:t xml:space="preserve">SmartGlass. (2026). </w:t>
      </w:r>
      <w:r>
        <w:rPr>
          <w:rFonts w:ascii="Times New Roman" w:hAnsi="Times New Roman" w:eastAsia="Times New Roman"/>
          <w:i/>
          <w:sz w:val="21"/>
        </w:rPr>
        <w:t>Documentación técnica del proyecto</w:t>
      </w:r>
      <w:r>
        <w:rPr>
          <w:rFonts w:ascii="Times New Roman" w:hAnsi="Times New Roman" w:eastAsia="Times New Roman"/>
          <w:sz w:val="21"/>
        </w:rPr>
        <w:t xml:space="preserve"> [Documento interno del proyecto, versión de octubre de 2026]. </w:t>
      </w:r>
      <w:hyperlink r:id="rId34" w:history="1">
        <w:r>
          <w:rPr>
            <w:rFonts w:ascii="Times New Roman" w:hAnsi="Times New Roman" w:eastAsia="Times New Roman"/>
            <w:sz w:val="21"/>
            <w:color w:val="0563C1"/>
            <w:u w:val="single"/>
          </w:rPr>
          <w:t>https://github.com/OpTicXit/Smartglass</w:t>
        </w:r>
      </w:hyperlink>
    </w:p>
    <w:p>
      <w:pPr>
        <w:spacing w:after="140" w:line="240" w:lineRule="auto"/>
        <w:ind w:left="504" w:hanging="504"/>
        <w:jc w:val="left"/>
      </w:pPr>
      <w:r>
        <w:rPr>
          <w:rFonts w:ascii="Times New Roman" w:hAnsi="Times New Roman" w:eastAsia="Times New Roman"/>
          <w:sz w:val="21"/>
        </w:rPr>
        <w:t xml:space="preserve">SmartGlass. (2026). </w:t>
      </w:r>
      <w:r>
        <w:rPr>
          <w:rFonts w:ascii="Times New Roman" w:hAnsi="Times New Roman" w:eastAsia="Times New Roman"/>
          <w:i/>
          <w:sz w:val="21"/>
        </w:rPr>
        <w:t>Explicación para clientes</w:t>
      </w:r>
      <w:r>
        <w:rPr>
          <w:rFonts w:ascii="Times New Roman" w:hAnsi="Times New Roman" w:eastAsia="Times New Roman"/>
          <w:sz w:val="21"/>
        </w:rPr>
        <w:t xml:space="preserve"> [Documento interno del proyecto, versión de octubre de 2026].</w:t>
      </w:r>
    </w:p>
    <w:p>
      <w:pPr>
        <w:spacing w:after="140" w:line="240" w:lineRule="auto"/>
        <w:ind w:left="504" w:hanging="504"/>
        <w:jc w:val="left"/>
      </w:pPr>
      <w:r>
        <w:rPr>
          <w:rFonts w:ascii="Times New Roman" w:hAnsi="Times New Roman" w:eastAsia="Times New Roman"/>
          <w:sz w:val="21"/>
        </w:rPr>
        <w:t xml:space="preserve">SmartGlass. (2026). </w:t>
      </w:r>
      <w:r>
        <w:rPr>
          <w:rFonts w:ascii="Times New Roman" w:hAnsi="Times New Roman" w:eastAsia="Times New Roman"/>
          <w:i/>
          <w:sz w:val="21"/>
        </w:rPr>
        <w:t>Informe metodológico: modelo predictivo de huella de carbono</w:t>
      </w:r>
      <w:r>
        <w:rPr>
          <w:rFonts w:ascii="Times New Roman" w:hAnsi="Times New Roman" w:eastAsia="Times New Roman"/>
          <w:sz w:val="21"/>
        </w:rPr>
        <w:t xml:space="preserve"> [Documento académico del proyecto, versión de octubre de 2026].</w:t>
      </w:r>
    </w:p>
    <w:sectPr w:rsidR="00FE14AB" w:rsidRPr="00D2186C" w:rsidSect="00B344CE">
      <w:footerReference w:type="default" r:id="rId14"/>
      <w:pgSz w:w="11906" w:h="16838"/>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6C314" w14:textId="77777777" w:rsidR="007C3C20" w:rsidRDefault="007C3C20" w:rsidP="00810762">
      <w:pPr>
        <w:spacing w:after="0" w:line="240" w:lineRule="auto"/>
      </w:pPr>
      <w:r>
        <w:separator/>
      </w:r>
    </w:p>
  </w:endnote>
  <w:endnote w:type="continuationSeparator" w:id="0">
    <w:p w14:paraId="66A545AA" w14:textId="77777777" w:rsidR="007C3C20" w:rsidRDefault="007C3C20" w:rsidP="00810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2B72" w14:textId="033B5BC7" w:rsidR="000D5298" w:rsidRDefault="000D5298" w:rsidP="00944C5A">
    <w:pPr>
      <w:pStyle w:val="Piedepgina"/>
      <w:tabs>
        <w:tab w:val="clear" w:pos="4419"/>
        <w:tab w:val="clear" w:pos="8838"/>
        <w:tab w:val="left" w:pos="1005"/>
      </w:tabs>
    </w:pPr>
    <w:r>
      <w:rPr>
        <w:noProof/>
        <w:lang w:val="es-CO" w:eastAsia="es-CO"/>
      </w:rPr>
      <w:drawing>
        <wp:anchor distT="0" distB="0" distL="114300" distR="114300" simplePos="0" relativeHeight="251661312" behindDoc="1" locked="0" layoutInCell="1" allowOverlap="1" wp14:anchorId="144E4A04" wp14:editId="2B1D0147">
          <wp:simplePos x="0" y="0"/>
          <wp:positionH relativeFrom="page">
            <wp:align>left</wp:align>
          </wp:positionH>
          <wp:positionV relativeFrom="page">
            <wp:align>bottom</wp:align>
          </wp:positionV>
          <wp:extent cx="7886700" cy="76581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de Pag-01.png"/>
                  <pic:cNvPicPr/>
                </pic:nvPicPr>
                <pic:blipFill>
                  <a:blip r:embed="rId1">
                    <a:extLst>
                      <a:ext uri="{28A0092B-C50C-407E-A947-70E740481C1C}">
                        <a14:useLocalDpi xmlns:a14="http://schemas.microsoft.com/office/drawing/2010/main" val="0"/>
                      </a:ext>
                    </a:extLst>
                  </a:blip>
                  <a:stretch>
                    <a:fillRect/>
                  </a:stretch>
                </pic:blipFill>
                <pic:spPr>
                  <a:xfrm>
                    <a:off x="0" y="0"/>
                    <a:ext cx="7886700" cy="765810"/>
                  </a:xfrm>
                  <a:prstGeom prst="rect">
                    <a:avLst/>
                  </a:prstGeom>
                </pic:spPr>
              </pic:pic>
            </a:graphicData>
          </a:graphic>
          <wp14:sizeRelH relativeFrom="margin">
            <wp14:pctWidth>0</wp14:pctWidth>
          </wp14:sizeRelH>
          <wp14:sizeRelV relativeFrom="margin">
            <wp14:pctHeight>0</wp14:pctHeight>
          </wp14:sizeRelV>
        </wp:anchor>
      </w:drawing>
    </w:r>
    <w:r w:rsidR="00944C5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CF43F" w14:textId="77777777" w:rsidR="007C3C20" w:rsidRDefault="007C3C20" w:rsidP="00810762">
      <w:pPr>
        <w:spacing w:after="0" w:line="240" w:lineRule="auto"/>
      </w:pPr>
      <w:r>
        <w:separator/>
      </w:r>
    </w:p>
  </w:footnote>
  <w:footnote w:type="continuationSeparator" w:id="0">
    <w:p w14:paraId="5FF9DFCC" w14:textId="77777777" w:rsidR="007C3C20" w:rsidRDefault="007C3C20" w:rsidP="00810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93FFA"/>
    <w:multiLevelType w:val="multilevel"/>
    <w:tmpl w:val="426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1D33"/>
    <w:multiLevelType w:val="multilevel"/>
    <w:tmpl w:val="C362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73110"/>
    <w:multiLevelType w:val="hybridMultilevel"/>
    <w:tmpl w:val="EC54ED64"/>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1B467831"/>
    <w:multiLevelType w:val="hybridMultilevel"/>
    <w:tmpl w:val="77021D0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 w15:restartNumberingAfterBreak="0">
    <w:nsid w:val="1D736B05"/>
    <w:multiLevelType w:val="multilevel"/>
    <w:tmpl w:val="E61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44D56"/>
    <w:multiLevelType w:val="multilevel"/>
    <w:tmpl w:val="6618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57FC3"/>
    <w:multiLevelType w:val="multilevel"/>
    <w:tmpl w:val="6F6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34679"/>
    <w:multiLevelType w:val="hybridMultilevel"/>
    <w:tmpl w:val="CCF42256"/>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2B3B4360"/>
    <w:multiLevelType w:val="hybridMultilevel"/>
    <w:tmpl w:val="9A90FD4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9" w15:restartNumberingAfterBreak="0">
    <w:nsid w:val="2B9649AA"/>
    <w:multiLevelType w:val="multilevel"/>
    <w:tmpl w:val="77A0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D1BF1"/>
    <w:multiLevelType w:val="multilevel"/>
    <w:tmpl w:val="466AB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527F9"/>
    <w:multiLevelType w:val="hybridMultilevel"/>
    <w:tmpl w:val="86DC4572"/>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C975466"/>
    <w:multiLevelType w:val="hybridMultilevel"/>
    <w:tmpl w:val="4C68B73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3" w15:restartNumberingAfterBreak="0">
    <w:nsid w:val="2CA164BA"/>
    <w:multiLevelType w:val="multilevel"/>
    <w:tmpl w:val="1196F520"/>
    <w:lvl w:ilvl="0">
      <w:start w:val="1"/>
      <w:numFmt w:val="decimal"/>
      <w:lvlText w:val="%1."/>
      <w:lvlJc w:val="left"/>
      <w:pPr>
        <w:tabs>
          <w:tab w:val="num" w:pos="0"/>
        </w:tabs>
        <w:ind w:left="720" w:hanging="360"/>
      </w:pPr>
    </w:lvl>
    <w:lvl w:ilvl="1">
      <w:numFmt w:val="bullet"/>
      <w:lvlText w:val=""/>
      <w:lvlJc w:val="left"/>
      <w:pPr>
        <w:tabs>
          <w:tab w:val="num" w:pos="0"/>
        </w:tabs>
        <w:ind w:left="1440" w:hanging="360"/>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D46064C"/>
    <w:multiLevelType w:val="hybridMultilevel"/>
    <w:tmpl w:val="66B0C918"/>
    <w:lvl w:ilvl="0" w:tplc="240A000B">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5" w15:restartNumberingAfterBreak="0">
    <w:nsid w:val="382221B8"/>
    <w:multiLevelType w:val="multilevel"/>
    <w:tmpl w:val="A03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B7336"/>
    <w:multiLevelType w:val="hybridMultilevel"/>
    <w:tmpl w:val="80A6FED6"/>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461A2568"/>
    <w:multiLevelType w:val="multilevel"/>
    <w:tmpl w:val="68363A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14E744F"/>
    <w:multiLevelType w:val="hybridMultilevel"/>
    <w:tmpl w:val="9A4A9A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46D185C"/>
    <w:multiLevelType w:val="multilevel"/>
    <w:tmpl w:val="334C6682"/>
    <w:lvl w:ilvl="0">
      <w:start w:val="1"/>
      <w:numFmt w:val="decimal"/>
      <w:lvlText w:val="%1."/>
      <w:lvlJc w:val="left"/>
      <w:pPr>
        <w:tabs>
          <w:tab w:val="num" w:pos="360"/>
        </w:tabs>
        <w:ind w:left="360" w:hanging="360"/>
      </w:pPr>
      <w:rPr>
        <w:b/>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87C60F8"/>
    <w:multiLevelType w:val="multilevel"/>
    <w:tmpl w:val="CC2C6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33DE2"/>
    <w:multiLevelType w:val="hybridMultilevel"/>
    <w:tmpl w:val="9C4C863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2" w15:restartNumberingAfterBreak="0">
    <w:nsid w:val="5EA77EFA"/>
    <w:multiLevelType w:val="multilevel"/>
    <w:tmpl w:val="0490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64568A"/>
    <w:multiLevelType w:val="hybridMultilevel"/>
    <w:tmpl w:val="5B6EE39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61455DF7"/>
    <w:multiLevelType w:val="hybridMultilevel"/>
    <w:tmpl w:val="4338478C"/>
    <w:lvl w:ilvl="0" w:tplc="893C45D4">
      <w:numFmt w:val="bullet"/>
      <w:lvlText w:val="-"/>
      <w:lvlJc w:val="left"/>
      <w:pPr>
        <w:ind w:left="720" w:hanging="360"/>
      </w:pPr>
      <w:rPr>
        <w:rFonts w:ascii="Times New Roman" w:eastAsia="Aptos" w:hAnsi="Times New Roman" w:cs="Times New Roman"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15:restartNumberingAfterBreak="0">
    <w:nsid w:val="61BE7D6A"/>
    <w:multiLevelType w:val="multilevel"/>
    <w:tmpl w:val="3E18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4F1326"/>
    <w:multiLevelType w:val="multilevel"/>
    <w:tmpl w:val="FA02DE1C"/>
    <w:lvl w:ilvl="0">
      <w:start w:val="1"/>
      <w:numFmt w:val="decimal"/>
      <w:lvlText w:val="%1."/>
      <w:lvlJc w:val="left"/>
      <w:pPr>
        <w:tabs>
          <w:tab w:val="num" w:pos="360"/>
        </w:tabs>
        <w:ind w:left="360" w:hanging="360"/>
      </w:pPr>
      <w:rPr>
        <w:b/>
        <w:bCs w:val="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7" w15:restartNumberingAfterBreak="0">
    <w:nsid w:val="799D54D3"/>
    <w:multiLevelType w:val="multilevel"/>
    <w:tmpl w:val="EC8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C5D79"/>
    <w:multiLevelType w:val="hybridMultilevel"/>
    <w:tmpl w:val="709C9E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2"/>
  </w:num>
  <w:num w:numId="4">
    <w:abstractNumId w:val="3"/>
  </w:num>
  <w:num w:numId="5">
    <w:abstractNumId w:val="21"/>
  </w:num>
  <w:num w:numId="6">
    <w:abstractNumId w:val="12"/>
  </w:num>
  <w:num w:numId="7">
    <w:abstractNumId w:val="28"/>
  </w:num>
  <w:num w:numId="8">
    <w:abstractNumId w:val="23"/>
  </w:num>
  <w:num w:numId="9">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24"/>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24"/>
  </w:num>
  <w:num w:numId="15">
    <w:abstractNumId w:val="11"/>
  </w:num>
  <w:num w:numId="16">
    <w:abstractNumId w:val="7"/>
  </w:num>
  <w:num w:numId="17">
    <w:abstractNumId w:val="19"/>
  </w:num>
  <w:num w:numId="18">
    <w:abstractNumId w:val="17"/>
  </w:num>
  <w:num w:numId="19">
    <w:abstractNumId w:val="16"/>
  </w:num>
  <w:num w:numId="20">
    <w:abstractNumId w:val="6"/>
  </w:num>
  <w:num w:numId="21">
    <w:abstractNumId w:val="15"/>
  </w:num>
  <w:num w:numId="22">
    <w:abstractNumId w:val="0"/>
  </w:num>
  <w:num w:numId="23">
    <w:abstractNumId w:val="1"/>
  </w:num>
  <w:num w:numId="24">
    <w:abstractNumId w:val="10"/>
  </w:num>
  <w:num w:numId="25">
    <w:abstractNumId w:val="4"/>
  </w:num>
  <w:num w:numId="26">
    <w:abstractNumId w:val="27"/>
  </w:num>
  <w:num w:numId="27">
    <w:abstractNumId w:val="25"/>
  </w:num>
  <w:num w:numId="28">
    <w:abstractNumId w:val="9"/>
  </w:num>
  <w:num w:numId="29">
    <w:abstractNumId w:val="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E9C"/>
    <w:rsid w:val="0000322F"/>
    <w:rsid w:val="0000388E"/>
    <w:rsid w:val="00010A93"/>
    <w:rsid w:val="00013A2C"/>
    <w:rsid w:val="00022503"/>
    <w:rsid w:val="00023580"/>
    <w:rsid w:val="00027C84"/>
    <w:rsid w:val="00036206"/>
    <w:rsid w:val="00044593"/>
    <w:rsid w:val="00050939"/>
    <w:rsid w:val="000557CC"/>
    <w:rsid w:val="000660B9"/>
    <w:rsid w:val="00071B6A"/>
    <w:rsid w:val="00082B61"/>
    <w:rsid w:val="00084B26"/>
    <w:rsid w:val="00091498"/>
    <w:rsid w:val="00092118"/>
    <w:rsid w:val="000A1FD8"/>
    <w:rsid w:val="000A22BA"/>
    <w:rsid w:val="000C06A8"/>
    <w:rsid w:val="000C09AD"/>
    <w:rsid w:val="000C2F0A"/>
    <w:rsid w:val="000D5298"/>
    <w:rsid w:val="000D6CD4"/>
    <w:rsid w:val="000D7A22"/>
    <w:rsid w:val="000E0920"/>
    <w:rsid w:val="000E3469"/>
    <w:rsid w:val="000E4952"/>
    <w:rsid w:val="000F608D"/>
    <w:rsid w:val="001103F1"/>
    <w:rsid w:val="00110BDE"/>
    <w:rsid w:val="00122840"/>
    <w:rsid w:val="001245BF"/>
    <w:rsid w:val="00124E7D"/>
    <w:rsid w:val="00147214"/>
    <w:rsid w:val="001548B1"/>
    <w:rsid w:val="00166DF1"/>
    <w:rsid w:val="001754A3"/>
    <w:rsid w:val="00181174"/>
    <w:rsid w:val="00184F26"/>
    <w:rsid w:val="00190BF0"/>
    <w:rsid w:val="00195BD4"/>
    <w:rsid w:val="001A3B03"/>
    <w:rsid w:val="001A6321"/>
    <w:rsid w:val="001A65F7"/>
    <w:rsid w:val="001C2848"/>
    <w:rsid w:val="001D5F15"/>
    <w:rsid w:val="001F2E3B"/>
    <w:rsid w:val="002077BD"/>
    <w:rsid w:val="0022034A"/>
    <w:rsid w:val="00264C0D"/>
    <w:rsid w:val="002737F1"/>
    <w:rsid w:val="00276084"/>
    <w:rsid w:val="002A058B"/>
    <w:rsid w:val="002A307F"/>
    <w:rsid w:val="002C2BB6"/>
    <w:rsid w:val="002D3B14"/>
    <w:rsid w:val="002D4438"/>
    <w:rsid w:val="002E18B9"/>
    <w:rsid w:val="002E3610"/>
    <w:rsid w:val="002F382F"/>
    <w:rsid w:val="002F5638"/>
    <w:rsid w:val="002F6C17"/>
    <w:rsid w:val="0030347D"/>
    <w:rsid w:val="003101EE"/>
    <w:rsid w:val="00310B35"/>
    <w:rsid w:val="00316E21"/>
    <w:rsid w:val="003376AD"/>
    <w:rsid w:val="00347212"/>
    <w:rsid w:val="00350DA5"/>
    <w:rsid w:val="003703C2"/>
    <w:rsid w:val="00370E04"/>
    <w:rsid w:val="003849D7"/>
    <w:rsid w:val="00385B41"/>
    <w:rsid w:val="003A4A59"/>
    <w:rsid w:val="003A4A7A"/>
    <w:rsid w:val="003A5B6F"/>
    <w:rsid w:val="003B1020"/>
    <w:rsid w:val="003E5F56"/>
    <w:rsid w:val="00400AA3"/>
    <w:rsid w:val="00402933"/>
    <w:rsid w:val="00407C60"/>
    <w:rsid w:val="0041021D"/>
    <w:rsid w:val="00427DD1"/>
    <w:rsid w:val="004304CF"/>
    <w:rsid w:val="00432FAC"/>
    <w:rsid w:val="00433DDB"/>
    <w:rsid w:val="00437A37"/>
    <w:rsid w:val="00456D86"/>
    <w:rsid w:val="00460B1C"/>
    <w:rsid w:val="0046422C"/>
    <w:rsid w:val="00472F3E"/>
    <w:rsid w:val="00484B19"/>
    <w:rsid w:val="004B26FE"/>
    <w:rsid w:val="004C0F4C"/>
    <w:rsid w:val="004C2E5B"/>
    <w:rsid w:val="004D0B56"/>
    <w:rsid w:val="00500FDB"/>
    <w:rsid w:val="00504143"/>
    <w:rsid w:val="00513073"/>
    <w:rsid w:val="00514CB3"/>
    <w:rsid w:val="00524AEF"/>
    <w:rsid w:val="0055548C"/>
    <w:rsid w:val="00563552"/>
    <w:rsid w:val="00565E2C"/>
    <w:rsid w:val="0057581B"/>
    <w:rsid w:val="00576F0F"/>
    <w:rsid w:val="0058253C"/>
    <w:rsid w:val="00584027"/>
    <w:rsid w:val="00587316"/>
    <w:rsid w:val="00596541"/>
    <w:rsid w:val="005969FB"/>
    <w:rsid w:val="005A0F9E"/>
    <w:rsid w:val="005D095B"/>
    <w:rsid w:val="005D5E3F"/>
    <w:rsid w:val="005E04C1"/>
    <w:rsid w:val="005F530D"/>
    <w:rsid w:val="005F6FA9"/>
    <w:rsid w:val="006001DD"/>
    <w:rsid w:val="00603DCF"/>
    <w:rsid w:val="00605166"/>
    <w:rsid w:val="006051E6"/>
    <w:rsid w:val="0061136A"/>
    <w:rsid w:val="0063238C"/>
    <w:rsid w:val="00633F1D"/>
    <w:rsid w:val="006471B9"/>
    <w:rsid w:val="00651BA2"/>
    <w:rsid w:val="00654D47"/>
    <w:rsid w:val="0066330A"/>
    <w:rsid w:val="006674F7"/>
    <w:rsid w:val="00671F9C"/>
    <w:rsid w:val="00672ED0"/>
    <w:rsid w:val="00694213"/>
    <w:rsid w:val="00697559"/>
    <w:rsid w:val="006A164A"/>
    <w:rsid w:val="006A2E66"/>
    <w:rsid w:val="006B53A3"/>
    <w:rsid w:val="006C0F49"/>
    <w:rsid w:val="006C3F2F"/>
    <w:rsid w:val="006C4A82"/>
    <w:rsid w:val="006D0AC7"/>
    <w:rsid w:val="006D1718"/>
    <w:rsid w:val="006D3784"/>
    <w:rsid w:val="006E1F2E"/>
    <w:rsid w:val="00706296"/>
    <w:rsid w:val="00716C6E"/>
    <w:rsid w:val="007259D1"/>
    <w:rsid w:val="00726EBF"/>
    <w:rsid w:val="00734393"/>
    <w:rsid w:val="00741CD6"/>
    <w:rsid w:val="00743042"/>
    <w:rsid w:val="00747A3D"/>
    <w:rsid w:val="00754BA2"/>
    <w:rsid w:val="00763339"/>
    <w:rsid w:val="00786965"/>
    <w:rsid w:val="00794175"/>
    <w:rsid w:val="007A11FD"/>
    <w:rsid w:val="007A726B"/>
    <w:rsid w:val="007B1BB2"/>
    <w:rsid w:val="007C3C20"/>
    <w:rsid w:val="007E0F17"/>
    <w:rsid w:val="007E710C"/>
    <w:rsid w:val="007F0E7B"/>
    <w:rsid w:val="007F436B"/>
    <w:rsid w:val="007F530B"/>
    <w:rsid w:val="007F59FC"/>
    <w:rsid w:val="007F6270"/>
    <w:rsid w:val="007F7CEF"/>
    <w:rsid w:val="008020ED"/>
    <w:rsid w:val="00807B6F"/>
    <w:rsid w:val="00810762"/>
    <w:rsid w:val="008147FB"/>
    <w:rsid w:val="00815A20"/>
    <w:rsid w:val="00822E3E"/>
    <w:rsid w:val="00825A07"/>
    <w:rsid w:val="00834F66"/>
    <w:rsid w:val="0083741F"/>
    <w:rsid w:val="0085090A"/>
    <w:rsid w:val="008604AE"/>
    <w:rsid w:val="00863609"/>
    <w:rsid w:val="00866C4A"/>
    <w:rsid w:val="00872E8E"/>
    <w:rsid w:val="00885FD7"/>
    <w:rsid w:val="00890D39"/>
    <w:rsid w:val="008A032E"/>
    <w:rsid w:val="008A1615"/>
    <w:rsid w:val="008A33EC"/>
    <w:rsid w:val="008A732C"/>
    <w:rsid w:val="008A7847"/>
    <w:rsid w:val="008C20AC"/>
    <w:rsid w:val="008D66D9"/>
    <w:rsid w:val="008E1E91"/>
    <w:rsid w:val="008F43D6"/>
    <w:rsid w:val="008F44F3"/>
    <w:rsid w:val="0090366B"/>
    <w:rsid w:val="00910F01"/>
    <w:rsid w:val="009171FF"/>
    <w:rsid w:val="00927209"/>
    <w:rsid w:val="00944C5A"/>
    <w:rsid w:val="00944C7F"/>
    <w:rsid w:val="00951553"/>
    <w:rsid w:val="00954D5A"/>
    <w:rsid w:val="00960DDA"/>
    <w:rsid w:val="0096761A"/>
    <w:rsid w:val="00973D25"/>
    <w:rsid w:val="0098061D"/>
    <w:rsid w:val="009807F2"/>
    <w:rsid w:val="00981D34"/>
    <w:rsid w:val="00985069"/>
    <w:rsid w:val="009958B1"/>
    <w:rsid w:val="009B119B"/>
    <w:rsid w:val="009C232D"/>
    <w:rsid w:val="009D05CB"/>
    <w:rsid w:val="009E1022"/>
    <w:rsid w:val="009F7774"/>
    <w:rsid w:val="00A01938"/>
    <w:rsid w:val="00A0597B"/>
    <w:rsid w:val="00A43425"/>
    <w:rsid w:val="00A47347"/>
    <w:rsid w:val="00A474FF"/>
    <w:rsid w:val="00A50CA6"/>
    <w:rsid w:val="00A61CFB"/>
    <w:rsid w:val="00A816A1"/>
    <w:rsid w:val="00A94DDF"/>
    <w:rsid w:val="00AA03CC"/>
    <w:rsid w:val="00AA33D6"/>
    <w:rsid w:val="00AA4D06"/>
    <w:rsid w:val="00AB2814"/>
    <w:rsid w:val="00AC2D13"/>
    <w:rsid w:val="00AC66FF"/>
    <w:rsid w:val="00AD1C49"/>
    <w:rsid w:val="00B018DB"/>
    <w:rsid w:val="00B17E94"/>
    <w:rsid w:val="00B2052B"/>
    <w:rsid w:val="00B344CE"/>
    <w:rsid w:val="00B405E2"/>
    <w:rsid w:val="00B41795"/>
    <w:rsid w:val="00B521C2"/>
    <w:rsid w:val="00B722FD"/>
    <w:rsid w:val="00B94999"/>
    <w:rsid w:val="00B9629E"/>
    <w:rsid w:val="00BA3116"/>
    <w:rsid w:val="00BA5496"/>
    <w:rsid w:val="00BF5820"/>
    <w:rsid w:val="00C10CB5"/>
    <w:rsid w:val="00C2322E"/>
    <w:rsid w:val="00C23BE3"/>
    <w:rsid w:val="00C25B56"/>
    <w:rsid w:val="00C3702C"/>
    <w:rsid w:val="00C370A1"/>
    <w:rsid w:val="00C37B30"/>
    <w:rsid w:val="00C4676C"/>
    <w:rsid w:val="00C556E2"/>
    <w:rsid w:val="00C565FE"/>
    <w:rsid w:val="00C56FE6"/>
    <w:rsid w:val="00C62934"/>
    <w:rsid w:val="00C7228B"/>
    <w:rsid w:val="00C91566"/>
    <w:rsid w:val="00CA4A5E"/>
    <w:rsid w:val="00CC5AFB"/>
    <w:rsid w:val="00CE23C3"/>
    <w:rsid w:val="00CE780D"/>
    <w:rsid w:val="00CE7B5C"/>
    <w:rsid w:val="00CF109C"/>
    <w:rsid w:val="00CF16EB"/>
    <w:rsid w:val="00CF4D22"/>
    <w:rsid w:val="00CF51CE"/>
    <w:rsid w:val="00D02E09"/>
    <w:rsid w:val="00D04776"/>
    <w:rsid w:val="00D07C65"/>
    <w:rsid w:val="00D164B1"/>
    <w:rsid w:val="00D2186C"/>
    <w:rsid w:val="00D239FE"/>
    <w:rsid w:val="00D25500"/>
    <w:rsid w:val="00D32C2A"/>
    <w:rsid w:val="00D45471"/>
    <w:rsid w:val="00D6059B"/>
    <w:rsid w:val="00D67005"/>
    <w:rsid w:val="00D86D7A"/>
    <w:rsid w:val="00D8758F"/>
    <w:rsid w:val="00D929D4"/>
    <w:rsid w:val="00D96EDB"/>
    <w:rsid w:val="00DA101D"/>
    <w:rsid w:val="00DA241A"/>
    <w:rsid w:val="00DB4369"/>
    <w:rsid w:val="00DB7574"/>
    <w:rsid w:val="00DC657C"/>
    <w:rsid w:val="00DD27CB"/>
    <w:rsid w:val="00DD6781"/>
    <w:rsid w:val="00DE73E0"/>
    <w:rsid w:val="00DF2E8C"/>
    <w:rsid w:val="00DF4E6B"/>
    <w:rsid w:val="00E24172"/>
    <w:rsid w:val="00E25825"/>
    <w:rsid w:val="00E25B5B"/>
    <w:rsid w:val="00E37556"/>
    <w:rsid w:val="00E410E1"/>
    <w:rsid w:val="00E66A9F"/>
    <w:rsid w:val="00E75EB3"/>
    <w:rsid w:val="00EA32CB"/>
    <w:rsid w:val="00EB1E64"/>
    <w:rsid w:val="00EB3BE1"/>
    <w:rsid w:val="00EC5F2A"/>
    <w:rsid w:val="00ED20C0"/>
    <w:rsid w:val="00ED6A10"/>
    <w:rsid w:val="00ED72B6"/>
    <w:rsid w:val="00EE11A7"/>
    <w:rsid w:val="00F110C7"/>
    <w:rsid w:val="00F326B6"/>
    <w:rsid w:val="00F3564E"/>
    <w:rsid w:val="00F62176"/>
    <w:rsid w:val="00F62A2C"/>
    <w:rsid w:val="00F72D66"/>
    <w:rsid w:val="00F77F99"/>
    <w:rsid w:val="00F90C01"/>
    <w:rsid w:val="00F93262"/>
    <w:rsid w:val="00F93A9D"/>
    <w:rsid w:val="00FA1E9C"/>
    <w:rsid w:val="00FA71BE"/>
    <w:rsid w:val="00FB28AC"/>
    <w:rsid w:val="00FB4031"/>
    <w:rsid w:val="00FB4CAE"/>
    <w:rsid w:val="00FC199F"/>
    <w:rsid w:val="00FE14AB"/>
    <w:rsid w:val="00FE6A17"/>
    <w:rsid w:val="00FF20BA"/>
    <w:rsid w:val="00FF30E1"/>
    <w:rsid w:val="00FF37E4"/>
    <w:rsid w:val="458D09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60171D"/>
  <w15:chartTrackingRefBased/>
  <w15:docId w15:val="{2AF1D6B7-E9E7-4701-B853-5A2F4BE2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4AE"/>
    <w:pPr>
      <w:widowControl/>
      <w:spacing w:line="276" w:lineRule="auto" w:after="120"/>
      <w:jc w:val="both"/>
    </w:pPr>
    <w:rPr>
      <w:rFonts w:ascii="Times New Roman" w:hAnsi="Times New Roman"/>
      <w:color w:val="000000"/>
      <w:sz w:val="24"/>
    </w:rPr>
  </w:style>
  <w:style w:type="paragraph" w:styleId="Ttulo1">
    <w:name w:val="heading 1"/>
    <w:basedOn w:val="Normal"/>
    <w:next w:val="Normal"/>
    <w:link w:val="Ttulo1Car"/>
    <w:uiPriority w:val="9"/>
    <w:qFormat/>
    <w:rsid w:val="001754A3"/>
    <w:pPr>
      <w:keepNext/>
      <w:keepLines/>
      <w:spacing w:before="240" w:after="160"/>
      <w:jc w:val="center"/>
      <w:outlineLvl w:val="0"/>
    </w:pPr>
    <w:rPr>
      <w:rFonts w:eastAsiaTheme="majorEastAsia" w:cstheme="majorBidi" w:ascii="Times New Roman" w:hAnsi="Times New Roman"/>
      <w:b/>
      <w:i w:val="0"/>
      <w:color w:val="0B2447"/>
      <w:sz w:val="28"/>
      <w:szCs w:val="32"/>
    </w:rPr>
  </w:style>
  <w:style w:type="paragraph" w:styleId="Ttulo2">
    <w:name w:val="heading 2"/>
    <w:basedOn w:val="Normal"/>
    <w:next w:val="Normal"/>
    <w:link w:val="Ttulo2Car"/>
    <w:uiPriority w:val="9"/>
    <w:unhideWhenUsed/>
    <w:qFormat/>
    <w:rsid w:val="008604AE"/>
    <w:pPr>
      <w:keepNext/>
      <w:keepLines/>
      <w:spacing w:before="200" w:after="100"/>
      <w:jc w:val="left"/>
      <w:outlineLvl w:val="1"/>
    </w:pPr>
    <w:rPr>
      <w:rFonts w:eastAsiaTheme="majorEastAsia" w:cstheme="majorBidi" w:ascii="Times New Roman" w:hAnsi="Times New Roman"/>
      <w:b/>
      <w:i w:val="0"/>
      <w:color w:val="0B2447"/>
      <w:sz w:val="24"/>
      <w:szCs w:val="26"/>
    </w:rPr>
  </w:style>
  <w:style w:type="paragraph" w:styleId="Ttulo3">
    <w:name w:val="heading 3"/>
    <w:basedOn w:val="Normal"/>
    <w:next w:val="Normal"/>
    <w:link w:val="Ttulo3Car"/>
    <w:uiPriority w:val="9"/>
    <w:semiHidden/>
    <w:unhideWhenUsed/>
    <w:qFormat/>
    <w:rsid w:val="00CF4D22"/>
    <w:pPr>
      <w:keepNext/>
      <w:keepLines/>
      <w:spacing w:before="160" w:after="80"/>
      <w:jc w:val="left"/>
      <w:outlineLvl w:val="2"/>
    </w:pPr>
    <w:rPr>
      <w:rFonts w:asciiTheme="majorHAnsi" w:eastAsiaTheme="majorEastAsia" w:hAnsiTheme="majorHAnsi" w:cstheme="majorBidi" w:ascii="Times New Roman" w:hAnsi="Times New Roman"/>
      <w:b/>
      <w:i w:val="0"/>
      <w:color w:val="1F4D78"/>
      <w:sz w:val="23"/>
      <w:szCs w:val="24"/>
    </w:rPr>
  </w:style>
  <w:style w:type="paragraph" w:styleId="Ttulo4">
    <w:name w:val="heading 4"/>
    <w:basedOn w:val="Normal"/>
    <w:next w:val="Normal"/>
    <w:link w:val="Ttulo4Car"/>
    <w:uiPriority w:val="9"/>
    <w:semiHidden/>
    <w:unhideWhenUsed/>
    <w:qFormat/>
    <w:rsid w:val="00CF4D22"/>
    <w:pPr>
      <w:keepNext/>
      <w:keepLines/>
      <w:spacing w:before="120" w:after="60"/>
      <w:jc w:val="left"/>
      <w:outlineLvl w:val="3"/>
    </w:pPr>
    <w:rPr>
      <w:rFonts w:asciiTheme="majorHAnsi" w:eastAsiaTheme="majorEastAsia" w:hAnsiTheme="majorHAnsi" w:cstheme="majorBidi" w:ascii="Times New Roman" w:hAnsi="Times New Roman"/>
      <w:b/>
      <w:i/>
      <w:iCs/>
      <w:color w:val="1F4D78"/>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B2814"/>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AB2814"/>
    <w:rPr>
      <w:color w:val="0563C1" w:themeColor="hyperlink"/>
      <w:u w:val="single"/>
    </w:rPr>
  </w:style>
  <w:style w:type="paragraph" w:styleId="Encabezado">
    <w:name w:val="header"/>
    <w:basedOn w:val="Normal"/>
    <w:link w:val="EncabezadoCar"/>
    <w:uiPriority w:val="99"/>
    <w:unhideWhenUsed/>
    <w:rsid w:val="008107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0762"/>
  </w:style>
  <w:style w:type="paragraph" w:styleId="Piedepgina">
    <w:name w:val="footer"/>
    <w:basedOn w:val="Normal"/>
    <w:link w:val="PiedepginaCar"/>
    <w:uiPriority w:val="99"/>
    <w:unhideWhenUsed/>
    <w:rsid w:val="008107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0762"/>
  </w:style>
  <w:style w:type="paragraph" w:styleId="Sinespaciado">
    <w:name w:val="No Spacing"/>
    <w:uiPriority w:val="1"/>
    <w:qFormat/>
    <w:rsid w:val="00310B35"/>
    <w:pPr>
      <w:spacing w:after="0" w:line="240" w:lineRule="auto"/>
    </w:pPr>
  </w:style>
  <w:style w:type="table" w:customStyle="1" w:styleId="Tablanormal11">
    <w:name w:val="Tabla normal 11"/>
    <w:basedOn w:val="Tablanormal"/>
    <w:next w:val="Tablanormal1"/>
    <w:uiPriority w:val="41"/>
    <w:rsid w:val="0022034A"/>
    <w:pPr>
      <w:spacing w:after="0" w:line="240" w:lineRule="auto"/>
    </w:pPr>
    <w:rPr>
      <w:kern w:val="2"/>
      <w:lang w:val="es-CO"/>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ario">
    <w:name w:val="annotation reference"/>
    <w:basedOn w:val="Fuentedeprrafopredeter"/>
    <w:uiPriority w:val="99"/>
    <w:semiHidden/>
    <w:unhideWhenUsed/>
    <w:rsid w:val="0022034A"/>
    <w:rPr>
      <w:sz w:val="16"/>
      <w:szCs w:val="16"/>
    </w:rPr>
  </w:style>
  <w:style w:type="paragraph" w:customStyle="1" w:styleId="Textocomentario1">
    <w:name w:val="Texto comentario1"/>
    <w:basedOn w:val="Normal"/>
    <w:next w:val="Textocomentario"/>
    <w:link w:val="TextocomentarioCar"/>
    <w:uiPriority w:val="99"/>
    <w:unhideWhenUsed/>
    <w:rsid w:val="0022034A"/>
    <w:pPr>
      <w:spacing w:after="0" w:line="240" w:lineRule="auto"/>
      <w:ind w:firstLine="284"/>
    </w:pPr>
    <w:rPr>
      <w:sz w:val="20"/>
      <w:szCs w:val="20"/>
    </w:rPr>
  </w:style>
  <w:style w:type="character" w:customStyle="1" w:styleId="TextocomentarioCar">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1"/>
    <w:uiPriority w:val="99"/>
    <w:unhideWhenUsed/>
    <w:rsid w:val="0022034A"/>
    <w:pPr>
      <w:spacing w:line="240" w:lineRule="auto"/>
    </w:pPr>
    <w:rPr>
      <w:sz w:val="20"/>
      <w:szCs w:val="20"/>
    </w:rPr>
  </w:style>
  <w:style w:type="character" w:customStyle="1" w:styleId="TextocomentarioCar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unhideWhenUsed/>
    <w:rsid w:val="00694213"/>
    <w:rPr>
      <w:b/>
      <w:bCs/>
    </w:rPr>
  </w:style>
  <w:style w:type="character" w:customStyle="1" w:styleId="AsuntodelcomentarioCar">
    <w:name w:val="Asunto del comentario Car"/>
    <w:basedOn w:val="TextocomentarioCar1"/>
    <w:link w:val="Asuntodelcomentario"/>
    <w:uiPriority w:val="99"/>
    <w:semiHidden/>
    <w:rsid w:val="00694213"/>
    <w:rPr>
      <w:b/>
      <w:bCs/>
      <w:sz w:val="20"/>
      <w:szCs w:val="20"/>
    </w:rPr>
  </w:style>
  <w:style w:type="character" w:customStyle="1" w:styleId="cf01">
    <w:name w:val="cf01"/>
    <w:basedOn w:val="Fuentedeprrafopredeter"/>
    <w:rsid w:val="00385B41"/>
    <w:rPr>
      <w:rFonts w:ascii="Segoe UI" w:hAnsi="Segoe UI" w:cs="Segoe UI" w:hint="default"/>
      <w:sz w:val="18"/>
      <w:szCs w:val="18"/>
    </w:rPr>
  </w:style>
  <w:style w:type="paragraph" w:styleId="Prrafodelista">
    <w:name w:val="List Paragraph"/>
    <w:basedOn w:val="Normal"/>
    <w:uiPriority w:val="34"/>
    <w:qFormat/>
    <w:rsid w:val="00AD1C49"/>
    <w:pPr>
      <w:ind w:left="720"/>
      <w:contextualSpacing/>
    </w:pPr>
  </w:style>
  <w:style w:type="table" w:styleId="Tablaconcuadrcula">
    <w:name w:val="Table Grid"/>
    <w:basedOn w:val="Tablanormal"/>
    <w:uiPriority w:val="59"/>
    <w:rsid w:val="00CA4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66A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E04C1"/>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754A3"/>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604AE"/>
    <w:rPr>
      <w:rFonts w:ascii="Times New Roman" w:eastAsiaTheme="majorEastAsia" w:hAnsi="Times New Roman" w:cstheme="majorBidi"/>
      <w:b/>
      <w:color w:val="000000" w:themeColor="text1"/>
      <w:sz w:val="24"/>
      <w:szCs w:val="26"/>
    </w:rPr>
  </w:style>
  <w:style w:type="character" w:styleId="Mencinsinresolver">
    <w:name w:val="Unresolved Mention"/>
    <w:basedOn w:val="Fuentedeprrafopredeter"/>
    <w:uiPriority w:val="99"/>
    <w:semiHidden/>
    <w:unhideWhenUsed/>
    <w:rsid w:val="009B119B"/>
    <w:rPr>
      <w:color w:val="605E5C"/>
      <w:shd w:val="clear" w:color="auto" w:fill="E1DFDD"/>
    </w:rPr>
  </w:style>
  <w:style w:type="paragraph" w:styleId="NormalWeb">
    <w:name w:val="Normal (Web)"/>
    <w:basedOn w:val="Normal"/>
    <w:uiPriority w:val="99"/>
    <w:unhideWhenUsed/>
    <w:rsid w:val="00890D39"/>
    <w:pPr>
      <w:spacing w:before="100" w:beforeAutospacing="1" w:after="100" w:afterAutospacing="1" w:line="240" w:lineRule="auto"/>
    </w:pPr>
    <w:rPr>
      <w:rFonts w:eastAsia="Times New Roman" w:cs="Times New Roman"/>
      <w:color w:val="auto"/>
      <w:szCs w:val="24"/>
      <w:lang w:val="es-CO" w:eastAsia="es-CO"/>
    </w:rPr>
  </w:style>
  <w:style w:type="character" w:customStyle="1" w:styleId="math-inline">
    <w:name w:val="math-inline"/>
    <w:basedOn w:val="Fuentedeprrafopredeter"/>
    <w:rsid w:val="00A47347"/>
  </w:style>
  <w:style w:type="character" w:customStyle="1" w:styleId="Ttulo3Car">
    <w:name w:val="Título 3 Car"/>
    <w:basedOn w:val="Fuentedeprrafopredeter"/>
    <w:link w:val="Ttulo3"/>
    <w:uiPriority w:val="9"/>
    <w:semiHidden/>
    <w:rsid w:val="00CF4D22"/>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F4D22"/>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1233">
      <w:bodyDiv w:val="1"/>
      <w:marLeft w:val="0"/>
      <w:marRight w:val="0"/>
      <w:marTop w:val="0"/>
      <w:marBottom w:val="0"/>
      <w:divBdr>
        <w:top w:val="none" w:sz="0" w:space="0" w:color="auto"/>
        <w:left w:val="none" w:sz="0" w:space="0" w:color="auto"/>
        <w:bottom w:val="none" w:sz="0" w:space="0" w:color="auto"/>
        <w:right w:val="none" w:sz="0" w:space="0" w:color="auto"/>
      </w:divBdr>
    </w:div>
    <w:div w:id="90132424">
      <w:bodyDiv w:val="1"/>
      <w:marLeft w:val="0"/>
      <w:marRight w:val="0"/>
      <w:marTop w:val="0"/>
      <w:marBottom w:val="0"/>
      <w:divBdr>
        <w:top w:val="none" w:sz="0" w:space="0" w:color="auto"/>
        <w:left w:val="none" w:sz="0" w:space="0" w:color="auto"/>
        <w:bottom w:val="none" w:sz="0" w:space="0" w:color="auto"/>
        <w:right w:val="none" w:sz="0" w:space="0" w:color="auto"/>
      </w:divBdr>
    </w:div>
    <w:div w:id="118300968">
      <w:bodyDiv w:val="1"/>
      <w:marLeft w:val="0"/>
      <w:marRight w:val="0"/>
      <w:marTop w:val="0"/>
      <w:marBottom w:val="0"/>
      <w:divBdr>
        <w:top w:val="none" w:sz="0" w:space="0" w:color="auto"/>
        <w:left w:val="none" w:sz="0" w:space="0" w:color="auto"/>
        <w:bottom w:val="none" w:sz="0" w:space="0" w:color="auto"/>
        <w:right w:val="none" w:sz="0" w:space="0" w:color="auto"/>
      </w:divBdr>
    </w:div>
    <w:div w:id="155072397">
      <w:bodyDiv w:val="1"/>
      <w:marLeft w:val="0"/>
      <w:marRight w:val="0"/>
      <w:marTop w:val="0"/>
      <w:marBottom w:val="0"/>
      <w:divBdr>
        <w:top w:val="none" w:sz="0" w:space="0" w:color="auto"/>
        <w:left w:val="none" w:sz="0" w:space="0" w:color="auto"/>
        <w:bottom w:val="none" w:sz="0" w:space="0" w:color="auto"/>
        <w:right w:val="none" w:sz="0" w:space="0" w:color="auto"/>
      </w:divBdr>
    </w:div>
    <w:div w:id="257911664">
      <w:bodyDiv w:val="1"/>
      <w:marLeft w:val="0"/>
      <w:marRight w:val="0"/>
      <w:marTop w:val="0"/>
      <w:marBottom w:val="0"/>
      <w:divBdr>
        <w:top w:val="none" w:sz="0" w:space="0" w:color="auto"/>
        <w:left w:val="none" w:sz="0" w:space="0" w:color="auto"/>
        <w:bottom w:val="none" w:sz="0" w:space="0" w:color="auto"/>
        <w:right w:val="none" w:sz="0" w:space="0" w:color="auto"/>
      </w:divBdr>
    </w:div>
    <w:div w:id="273171987">
      <w:bodyDiv w:val="1"/>
      <w:marLeft w:val="0"/>
      <w:marRight w:val="0"/>
      <w:marTop w:val="0"/>
      <w:marBottom w:val="0"/>
      <w:divBdr>
        <w:top w:val="none" w:sz="0" w:space="0" w:color="auto"/>
        <w:left w:val="none" w:sz="0" w:space="0" w:color="auto"/>
        <w:bottom w:val="none" w:sz="0" w:space="0" w:color="auto"/>
        <w:right w:val="none" w:sz="0" w:space="0" w:color="auto"/>
      </w:divBdr>
    </w:div>
    <w:div w:id="302394400">
      <w:bodyDiv w:val="1"/>
      <w:marLeft w:val="0"/>
      <w:marRight w:val="0"/>
      <w:marTop w:val="0"/>
      <w:marBottom w:val="0"/>
      <w:divBdr>
        <w:top w:val="none" w:sz="0" w:space="0" w:color="auto"/>
        <w:left w:val="none" w:sz="0" w:space="0" w:color="auto"/>
        <w:bottom w:val="none" w:sz="0" w:space="0" w:color="auto"/>
        <w:right w:val="none" w:sz="0" w:space="0" w:color="auto"/>
      </w:divBdr>
    </w:div>
    <w:div w:id="321087456">
      <w:bodyDiv w:val="1"/>
      <w:marLeft w:val="0"/>
      <w:marRight w:val="0"/>
      <w:marTop w:val="0"/>
      <w:marBottom w:val="0"/>
      <w:divBdr>
        <w:top w:val="none" w:sz="0" w:space="0" w:color="auto"/>
        <w:left w:val="none" w:sz="0" w:space="0" w:color="auto"/>
        <w:bottom w:val="none" w:sz="0" w:space="0" w:color="auto"/>
        <w:right w:val="none" w:sz="0" w:space="0" w:color="auto"/>
      </w:divBdr>
    </w:div>
    <w:div w:id="342630529">
      <w:bodyDiv w:val="1"/>
      <w:marLeft w:val="0"/>
      <w:marRight w:val="0"/>
      <w:marTop w:val="0"/>
      <w:marBottom w:val="0"/>
      <w:divBdr>
        <w:top w:val="none" w:sz="0" w:space="0" w:color="auto"/>
        <w:left w:val="none" w:sz="0" w:space="0" w:color="auto"/>
        <w:bottom w:val="none" w:sz="0" w:space="0" w:color="auto"/>
        <w:right w:val="none" w:sz="0" w:space="0" w:color="auto"/>
      </w:divBdr>
    </w:div>
    <w:div w:id="361053706">
      <w:bodyDiv w:val="1"/>
      <w:marLeft w:val="0"/>
      <w:marRight w:val="0"/>
      <w:marTop w:val="0"/>
      <w:marBottom w:val="0"/>
      <w:divBdr>
        <w:top w:val="none" w:sz="0" w:space="0" w:color="auto"/>
        <w:left w:val="none" w:sz="0" w:space="0" w:color="auto"/>
        <w:bottom w:val="none" w:sz="0" w:space="0" w:color="auto"/>
        <w:right w:val="none" w:sz="0" w:space="0" w:color="auto"/>
      </w:divBdr>
    </w:div>
    <w:div w:id="363360674">
      <w:bodyDiv w:val="1"/>
      <w:marLeft w:val="0"/>
      <w:marRight w:val="0"/>
      <w:marTop w:val="0"/>
      <w:marBottom w:val="0"/>
      <w:divBdr>
        <w:top w:val="none" w:sz="0" w:space="0" w:color="auto"/>
        <w:left w:val="none" w:sz="0" w:space="0" w:color="auto"/>
        <w:bottom w:val="none" w:sz="0" w:space="0" w:color="auto"/>
        <w:right w:val="none" w:sz="0" w:space="0" w:color="auto"/>
      </w:divBdr>
    </w:div>
    <w:div w:id="379091666">
      <w:bodyDiv w:val="1"/>
      <w:marLeft w:val="0"/>
      <w:marRight w:val="0"/>
      <w:marTop w:val="0"/>
      <w:marBottom w:val="0"/>
      <w:divBdr>
        <w:top w:val="none" w:sz="0" w:space="0" w:color="auto"/>
        <w:left w:val="none" w:sz="0" w:space="0" w:color="auto"/>
        <w:bottom w:val="none" w:sz="0" w:space="0" w:color="auto"/>
        <w:right w:val="none" w:sz="0" w:space="0" w:color="auto"/>
      </w:divBdr>
    </w:div>
    <w:div w:id="534081605">
      <w:bodyDiv w:val="1"/>
      <w:marLeft w:val="0"/>
      <w:marRight w:val="0"/>
      <w:marTop w:val="0"/>
      <w:marBottom w:val="0"/>
      <w:divBdr>
        <w:top w:val="none" w:sz="0" w:space="0" w:color="auto"/>
        <w:left w:val="none" w:sz="0" w:space="0" w:color="auto"/>
        <w:bottom w:val="none" w:sz="0" w:space="0" w:color="auto"/>
        <w:right w:val="none" w:sz="0" w:space="0" w:color="auto"/>
      </w:divBdr>
    </w:div>
    <w:div w:id="547454398">
      <w:bodyDiv w:val="1"/>
      <w:marLeft w:val="0"/>
      <w:marRight w:val="0"/>
      <w:marTop w:val="0"/>
      <w:marBottom w:val="0"/>
      <w:divBdr>
        <w:top w:val="none" w:sz="0" w:space="0" w:color="auto"/>
        <w:left w:val="none" w:sz="0" w:space="0" w:color="auto"/>
        <w:bottom w:val="none" w:sz="0" w:space="0" w:color="auto"/>
        <w:right w:val="none" w:sz="0" w:space="0" w:color="auto"/>
      </w:divBdr>
    </w:div>
    <w:div w:id="560360786">
      <w:bodyDiv w:val="1"/>
      <w:marLeft w:val="0"/>
      <w:marRight w:val="0"/>
      <w:marTop w:val="0"/>
      <w:marBottom w:val="0"/>
      <w:divBdr>
        <w:top w:val="none" w:sz="0" w:space="0" w:color="auto"/>
        <w:left w:val="none" w:sz="0" w:space="0" w:color="auto"/>
        <w:bottom w:val="none" w:sz="0" w:space="0" w:color="auto"/>
        <w:right w:val="none" w:sz="0" w:space="0" w:color="auto"/>
      </w:divBdr>
    </w:div>
    <w:div w:id="589004564">
      <w:bodyDiv w:val="1"/>
      <w:marLeft w:val="0"/>
      <w:marRight w:val="0"/>
      <w:marTop w:val="0"/>
      <w:marBottom w:val="0"/>
      <w:divBdr>
        <w:top w:val="none" w:sz="0" w:space="0" w:color="auto"/>
        <w:left w:val="none" w:sz="0" w:space="0" w:color="auto"/>
        <w:bottom w:val="none" w:sz="0" w:space="0" w:color="auto"/>
        <w:right w:val="none" w:sz="0" w:space="0" w:color="auto"/>
      </w:divBdr>
    </w:div>
    <w:div w:id="751316032">
      <w:bodyDiv w:val="1"/>
      <w:marLeft w:val="0"/>
      <w:marRight w:val="0"/>
      <w:marTop w:val="0"/>
      <w:marBottom w:val="0"/>
      <w:divBdr>
        <w:top w:val="none" w:sz="0" w:space="0" w:color="auto"/>
        <w:left w:val="none" w:sz="0" w:space="0" w:color="auto"/>
        <w:bottom w:val="none" w:sz="0" w:space="0" w:color="auto"/>
        <w:right w:val="none" w:sz="0" w:space="0" w:color="auto"/>
      </w:divBdr>
    </w:div>
    <w:div w:id="790436394">
      <w:bodyDiv w:val="1"/>
      <w:marLeft w:val="0"/>
      <w:marRight w:val="0"/>
      <w:marTop w:val="0"/>
      <w:marBottom w:val="0"/>
      <w:divBdr>
        <w:top w:val="none" w:sz="0" w:space="0" w:color="auto"/>
        <w:left w:val="none" w:sz="0" w:space="0" w:color="auto"/>
        <w:bottom w:val="none" w:sz="0" w:space="0" w:color="auto"/>
        <w:right w:val="none" w:sz="0" w:space="0" w:color="auto"/>
      </w:divBdr>
    </w:div>
    <w:div w:id="923804640">
      <w:bodyDiv w:val="1"/>
      <w:marLeft w:val="0"/>
      <w:marRight w:val="0"/>
      <w:marTop w:val="0"/>
      <w:marBottom w:val="0"/>
      <w:divBdr>
        <w:top w:val="none" w:sz="0" w:space="0" w:color="auto"/>
        <w:left w:val="none" w:sz="0" w:space="0" w:color="auto"/>
        <w:bottom w:val="none" w:sz="0" w:space="0" w:color="auto"/>
        <w:right w:val="none" w:sz="0" w:space="0" w:color="auto"/>
      </w:divBdr>
    </w:div>
    <w:div w:id="1008604758">
      <w:bodyDiv w:val="1"/>
      <w:marLeft w:val="0"/>
      <w:marRight w:val="0"/>
      <w:marTop w:val="0"/>
      <w:marBottom w:val="0"/>
      <w:divBdr>
        <w:top w:val="none" w:sz="0" w:space="0" w:color="auto"/>
        <w:left w:val="none" w:sz="0" w:space="0" w:color="auto"/>
        <w:bottom w:val="none" w:sz="0" w:space="0" w:color="auto"/>
        <w:right w:val="none" w:sz="0" w:space="0" w:color="auto"/>
      </w:divBdr>
    </w:div>
    <w:div w:id="1075326283">
      <w:bodyDiv w:val="1"/>
      <w:marLeft w:val="0"/>
      <w:marRight w:val="0"/>
      <w:marTop w:val="0"/>
      <w:marBottom w:val="0"/>
      <w:divBdr>
        <w:top w:val="none" w:sz="0" w:space="0" w:color="auto"/>
        <w:left w:val="none" w:sz="0" w:space="0" w:color="auto"/>
        <w:bottom w:val="none" w:sz="0" w:space="0" w:color="auto"/>
        <w:right w:val="none" w:sz="0" w:space="0" w:color="auto"/>
      </w:divBdr>
    </w:div>
    <w:div w:id="1230724958">
      <w:bodyDiv w:val="1"/>
      <w:marLeft w:val="0"/>
      <w:marRight w:val="0"/>
      <w:marTop w:val="0"/>
      <w:marBottom w:val="0"/>
      <w:divBdr>
        <w:top w:val="none" w:sz="0" w:space="0" w:color="auto"/>
        <w:left w:val="none" w:sz="0" w:space="0" w:color="auto"/>
        <w:bottom w:val="none" w:sz="0" w:space="0" w:color="auto"/>
        <w:right w:val="none" w:sz="0" w:space="0" w:color="auto"/>
      </w:divBdr>
    </w:div>
    <w:div w:id="1338653034">
      <w:bodyDiv w:val="1"/>
      <w:marLeft w:val="0"/>
      <w:marRight w:val="0"/>
      <w:marTop w:val="0"/>
      <w:marBottom w:val="0"/>
      <w:divBdr>
        <w:top w:val="none" w:sz="0" w:space="0" w:color="auto"/>
        <w:left w:val="none" w:sz="0" w:space="0" w:color="auto"/>
        <w:bottom w:val="none" w:sz="0" w:space="0" w:color="auto"/>
        <w:right w:val="none" w:sz="0" w:space="0" w:color="auto"/>
      </w:divBdr>
    </w:div>
    <w:div w:id="1350326622">
      <w:bodyDiv w:val="1"/>
      <w:marLeft w:val="0"/>
      <w:marRight w:val="0"/>
      <w:marTop w:val="0"/>
      <w:marBottom w:val="0"/>
      <w:divBdr>
        <w:top w:val="none" w:sz="0" w:space="0" w:color="auto"/>
        <w:left w:val="none" w:sz="0" w:space="0" w:color="auto"/>
        <w:bottom w:val="none" w:sz="0" w:space="0" w:color="auto"/>
        <w:right w:val="none" w:sz="0" w:space="0" w:color="auto"/>
      </w:divBdr>
    </w:div>
    <w:div w:id="1440371053">
      <w:bodyDiv w:val="1"/>
      <w:marLeft w:val="0"/>
      <w:marRight w:val="0"/>
      <w:marTop w:val="0"/>
      <w:marBottom w:val="0"/>
      <w:divBdr>
        <w:top w:val="none" w:sz="0" w:space="0" w:color="auto"/>
        <w:left w:val="none" w:sz="0" w:space="0" w:color="auto"/>
        <w:bottom w:val="none" w:sz="0" w:space="0" w:color="auto"/>
        <w:right w:val="none" w:sz="0" w:space="0" w:color="auto"/>
      </w:divBdr>
    </w:div>
    <w:div w:id="1522011145">
      <w:bodyDiv w:val="1"/>
      <w:marLeft w:val="0"/>
      <w:marRight w:val="0"/>
      <w:marTop w:val="0"/>
      <w:marBottom w:val="0"/>
      <w:divBdr>
        <w:top w:val="none" w:sz="0" w:space="0" w:color="auto"/>
        <w:left w:val="none" w:sz="0" w:space="0" w:color="auto"/>
        <w:bottom w:val="none" w:sz="0" w:space="0" w:color="auto"/>
        <w:right w:val="none" w:sz="0" w:space="0" w:color="auto"/>
      </w:divBdr>
    </w:div>
    <w:div w:id="1604262868">
      <w:bodyDiv w:val="1"/>
      <w:marLeft w:val="0"/>
      <w:marRight w:val="0"/>
      <w:marTop w:val="0"/>
      <w:marBottom w:val="0"/>
      <w:divBdr>
        <w:top w:val="none" w:sz="0" w:space="0" w:color="auto"/>
        <w:left w:val="none" w:sz="0" w:space="0" w:color="auto"/>
        <w:bottom w:val="none" w:sz="0" w:space="0" w:color="auto"/>
        <w:right w:val="none" w:sz="0" w:space="0" w:color="auto"/>
      </w:divBdr>
    </w:div>
    <w:div w:id="1608197663">
      <w:bodyDiv w:val="1"/>
      <w:marLeft w:val="0"/>
      <w:marRight w:val="0"/>
      <w:marTop w:val="0"/>
      <w:marBottom w:val="0"/>
      <w:divBdr>
        <w:top w:val="none" w:sz="0" w:space="0" w:color="auto"/>
        <w:left w:val="none" w:sz="0" w:space="0" w:color="auto"/>
        <w:bottom w:val="none" w:sz="0" w:space="0" w:color="auto"/>
        <w:right w:val="none" w:sz="0" w:space="0" w:color="auto"/>
      </w:divBdr>
    </w:div>
    <w:div w:id="1623461319">
      <w:bodyDiv w:val="1"/>
      <w:marLeft w:val="0"/>
      <w:marRight w:val="0"/>
      <w:marTop w:val="0"/>
      <w:marBottom w:val="0"/>
      <w:divBdr>
        <w:top w:val="none" w:sz="0" w:space="0" w:color="auto"/>
        <w:left w:val="none" w:sz="0" w:space="0" w:color="auto"/>
        <w:bottom w:val="none" w:sz="0" w:space="0" w:color="auto"/>
        <w:right w:val="none" w:sz="0" w:space="0" w:color="auto"/>
      </w:divBdr>
    </w:div>
    <w:div w:id="1627156411">
      <w:bodyDiv w:val="1"/>
      <w:marLeft w:val="0"/>
      <w:marRight w:val="0"/>
      <w:marTop w:val="0"/>
      <w:marBottom w:val="0"/>
      <w:divBdr>
        <w:top w:val="none" w:sz="0" w:space="0" w:color="auto"/>
        <w:left w:val="none" w:sz="0" w:space="0" w:color="auto"/>
        <w:bottom w:val="none" w:sz="0" w:space="0" w:color="auto"/>
        <w:right w:val="none" w:sz="0" w:space="0" w:color="auto"/>
      </w:divBdr>
    </w:div>
    <w:div w:id="1689020410">
      <w:bodyDiv w:val="1"/>
      <w:marLeft w:val="0"/>
      <w:marRight w:val="0"/>
      <w:marTop w:val="0"/>
      <w:marBottom w:val="0"/>
      <w:divBdr>
        <w:top w:val="none" w:sz="0" w:space="0" w:color="auto"/>
        <w:left w:val="none" w:sz="0" w:space="0" w:color="auto"/>
        <w:bottom w:val="none" w:sz="0" w:space="0" w:color="auto"/>
        <w:right w:val="none" w:sz="0" w:space="0" w:color="auto"/>
      </w:divBdr>
    </w:div>
    <w:div w:id="1736466320">
      <w:bodyDiv w:val="1"/>
      <w:marLeft w:val="0"/>
      <w:marRight w:val="0"/>
      <w:marTop w:val="0"/>
      <w:marBottom w:val="0"/>
      <w:divBdr>
        <w:top w:val="none" w:sz="0" w:space="0" w:color="auto"/>
        <w:left w:val="none" w:sz="0" w:space="0" w:color="auto"/>
        <w:bottom w:val="none" w:sz="0" w:space="0" w:color="auto"/>
        <w:right w:val="none" w:sz="0" w:space="0" w:color="auto"/>
      </w:divBdr>
    </w:div>
    <w:div w:id="1756632368">
      <w:bodyDiv w:val="1"/>
      <w:marLeft w:val="0"/>
      <w:marRight w:val="0"/>
      <w:marTop w:val="0"/>
      <w:marBottom w:val="0"/>
      <w:divBdr>
        <w:top w:val="none" w:sz="0" w:space="0" w:color="auto"/>
        <w:left w:val="none" w:sz="0" w:space="0" w:color="auto"/>
        <w:bottom w:val="none" w:sz="0" w:space="0" w:color="auto"/>
        <w:right w:val="none" w:sz="0" w:space="0" w:color="auto"/>
      </w:divBdr>
    </w:div>
    <w:div w:id="1801728719">
      <w:bodyDiv w:val="1"/>
      <w:marLeft w:val="0"/>
      <w:marRight w:val="0"/>
      <w:marTop w:val="0"/>
      <w:marBottom w:val="0"/>
      <w:divBdr>
        <w:top w:val="none" w:sz="0" w:space="0" w:color="auto"/>
        <w:left w:val="none" w:sz="0" w:space="0" w:color="auto"/>
        <w:bottom w:val="none" w:sz="0" w:space="0" w:color="auto"/>
        <w:right w:val="none" w:sz="0" w:space="0" w:color="auto"/>
      </w:divBdr>
    </w:div>
    <w:div w:id="1862086314">
      <w:bodyDiv w:val="1"/>
      <w:marLeft w:val="0"/>
      <w:marRight w:val="0"/>
      <w:marTop w:val="0"/>
      <w:marBottom w:val="0"/>
      <w:divBdr>
        <w:top w:val="none" w:sz="0" w:space="0" w:color="auto"/>
        <w:left w:val="none" w:sz="0" w:space="0" w:color="auto"/>
        <w:bottom w:val="none" w:sz="0" w:space="0" w:color="auto"/>
        <w:right w:val="none" w:sz="0" w:space="0" w:color="auto"/>
      </w:divBdr>
    </w:div>
    <w:div w:id="1876504386">
      <w:bodyDiv w:val="1"/>
      <w:marLeft w:val="0"/>
      <w:marRight w:val="0"/>
      <w:marTop w:val="0"/>
      <w:marBottom w:val="0"/>
      <w:divBdr>
        <w:top w:val="none" w:sz="0" w:space="0" w:color="auto"/>
        <w:left w:val="none" w:sz="0" w:space="0" w:color="auto"/>
        <w:bottom w:val="none" w:sz="0" w:space="0" w:color="auto"/>
        <w:right w:val="none" w:sz="0" w:space="0" w:color="auto"/>
      </w:divBdr>
    </w:div>
    <w:div w:id="1900088696">
      <w:bodyDiv w:val="1"/>
      <w:marLeft w:val="0"/>
      <w:marRight w:val="0"/>
      <w:marTop w:val="0"/>
      <w:marBottom w:val="0"/>
      <w:divBdr>
        <w:top w:val="none" w:sz="0" w:space="0" w:color="auto"/>
        <w:left w:val="none" w:sz="0" w:space="0" w:color="auto"/>
        <w:bottom w:val="none" w:sz="0" w:space="0" w:color="auto"/>
        <w:right w:val="none" w:sz="0" w:space="0" w:color="auto"/>
      </w:divBdr>
    </w:div>
    <w:div w:id="1992446540">
      <w:bodyDiv w:val="1"/>
      <w:marLeft w:val="0"/>
      <w:marRight w:val="0"/>
      <w:marTop w:val="0"/>
      <w:marBottom w:val="0"/>
      <w:divBdr>
        <w:top w:val="none" w:sz="0" w:space="0" w:color="auto"/>
        <w:left w:val="none" w:sz="0" w:space="0" w:color="auto"/>
        <w:bottom w:val="none" w:sz="0" w:space="0" w:color="auto"/>
        <w:right w:val="none" w:sz="0" w:space="0" w:color="auto"/>
      </w:divBdr>
    </w:div>
    <w:div w:id="1996227517">
      <w:bodyDiv w:val="1"/>
      <w:marLeft w:val="0"/>
      <w:marRight w:val="0"/>
      <w:marTop w:val="0"/>
      <w:marBottom w:val="0"/>
      <w:divBdr>
        <w:top w:val="none" w:sz="0" w:space="0" w:color="auto"/>
        <w:left w:val="none" w:sz="0" w:space="0" w:color="auto"/>
        <w:bottom w:val="none" w:sz="0" w:space="0" w:color="auto"/>
        <w:right w:val="none" w:sz="0" w:space="0" w:color="auto"/>
      </w:divBdr>
    </w:div>
    <w:div w:id="2006861858">
      <w:bodyDiv w:val="1"/>
      <w:marLeft w:val="0"/>
      <w:marRight w:val="0"/>
      <w:marTop w:val="0"/>
      <w:marBottom w:val="0"/>
      <w:divBdr>
        <w:top w:val="none" w:sz="0" w:space="0" w:color="auto"/>
        <w:left w:val="none" w:sz="0" w:space="0" w:color="auto"/>
        <w:bottom w:val="none" w:sz="0" w:space="0" w:color="auto"/>
        <w:right w:val="none" w:sz="0" w:space="0" w:color="auto"/>
      </w:divBdr>
    </w:div>
    <w:div w:id="212357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hyperlink" Target="https://hdl.handle.net/11227/17580" TargetMode="External"/><Relationship Id="rId19" Type="http://schemas.openxmlformats.org/officeDocument/2006/relationships/hyperlink" Target="https://repositorio.uan.edu.co/handle/123456789/7998" TargetMode="External"/><Relationship Id="rId20" Type="http://schemas.openxmlformats.org/officeDocument/2006/relationships/hyperlink" Target="https://doi.org/10.1016/j.energy.2020.118650" TargetMode="External"/><Relationship Id="rId21" Type="http://schemas.openxmlformats.org/officeDocument/2006/relationships/hyperlink" Target="https://www.minambiente.gov.co/documento-normativa/ley-99-de-1993/" TargetMode="External"/><Relationship Id="rId22" Type="http://schemas.openxmlformats.org/officeDocument/2006/relationships/hyperlink" Target="https://www1.funcionpublica.gov.co/eva/gestornormativo/norma.php?i=4276" TargetMode="External"/><Relationship Id="rId23" Type="http://schemas.openxmlformats.org/officeDocument/2006/relationships/hyperlink" Target="https://www.funcionpublica.gov.co/eva/gestornormativo/norma.php?i=4449" TargetMode="External"/><Relationship Id="rId24" Type="http://schemas.openxmlformats.org/officeDocument/2006/relationships/hyperlink" Target="https://www.funcionpublica.gov.co/eva/gestornormativo/norma.php?i=44306" TargetMode="External"/><Relationship Id="rId25" Type="http://schemas.openxmlformats.org/officeDocument/2006/relationships/hyperlink" Target="https://www1.funcionpublica.gov.co/eva/gestornormativo/norma.php?i=49981" TargetMode="External"/><Relationship Id="rId26" Type="http://schemas.openxmlformats.org/officeDocument/2006/relationships/hyperlink" Target="https://www.funcionpublica.gov.co/eva/gestornormativo/norma.php?i=57353" TargetMode="External"/><Relationship Id="rId27" Type="http://schemas.openxmlformats.org/officeDocument/2006/relationships/hyperlink" Target="https://www.cancilleria.gov.co/normograma/compilacion/docs/ley_2169_2021.htm" TargetMode="External"/><Relationship Id="rId28" Type="http://schemas.openxmlformats.org/officeDocument/2006/relationships/hyperlink" Target="https://www1.funcionpublica.gov.co/eva/gestornormativo/norma.php?i=257116" TargetMode="External"/><Relationship Id="rId29" Type="http://schemas.openxmlformats.org/officeDocument/2006/relationships/hyperlink" Target="https://doi.org/10.21142/SS-0201-2021-002" TargetMode="External"/><Relationship Id="rId30" Type="http://schemas.openxmlformats.org/officeDocument/2006/relationships/hyperlink" Target="https://www.guardianglass.com/mx/es/why-glass/understand-glass/how-glass-is-made" TargetMode="External"/><Relationship Id="rId31" Type="http://schemas.openxmlformats.org/officeDocument/2006/relationships/hyperlink" Target="https://www.miteco.gob.es/content/dam/miteco/es/calidad-y-evaluacion-ambiental/temas/sistema-espanol-de-inventario-sei-/040613-fabricac-vidrio-proceso_tcm30-456139.pdf" TargetMode="External"/><Relationship Id="rId32" Type="http://schemas.openxmlformats.org/officeDocument/2006/relationships/hyperlink" Target="https://scikit-learn.org/stable/about.html" TargetMode="External"/><Relationship Id="rId33" Type="http://schemas.openxmlformats.org/officeDocument/2006/relationships/hyperlink" Target="https://hdl.handle.net/20.500.12585/14045" TargetMode="External"/><Relationship Id="rId34" Type="http://schemas.openxmlformats.org/officeDocument/2006/relationships/hyperlink" Target="https://github.com/OpTicXit/Smartglass" TargetMode="External"/><Relationship Id="rId35" Type="http://schemas.openxmlformats.org/officeDocument/2006/relationships/hyperlink" Target="https://www.nrel.gov/docs/fy23osti/83730.pdf" TargetMode="External"/><Relationship Id="rId36" Type="http://schemas.openxmlformats.org/officeDocument/2006/relationships/hyperlink" Target="https://doi.org/10.1016/j.rser.2021.111885" TargetMode="External"/><Relationship Id="rId37" Type="http://schemas.openxmlformats.org/officeDocument/2006/relationships/hyperlink" Target="https://www.oreilly.com/library/view/hands-on-machine-learning/978109812596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75F35-FF10-4740-B76E-7239EE12A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28</Pages>
  <Words>6108</Words>
  <Characters>33596</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una plataforma web para la gestión comercial de vidrierías y la estimación de la huella de carbono en piezas de vidrio a medida</dc:title>
  <dc:subject>Informe académico actualizado de SmartGlass</dc:subject>
  <dc:creator>Javier Berrio; Argenis Caro; Miguel Ángel Martínez Utria</dc:creator>
  <cp:keywords>SmartGlass, vidrio, CO2, huella de carbono, minería de datos, Random Forest, plataforma web</cp:keywords>
  <dc:description>Actualización del documento institucional con base en la documentación técnica de SmartGlass de octubre de 2026.</dc:description>
  <cp:lastModifiedBy>OpTic Xit</cp:lastModifiedBy>
  <cp:revision>6</cp:revision>
  <cp:lastPrinted>2019-05-06T21:40:00Z</cp:lastPrinted>
  <dcterms:created xsi:type="dcterms:W3CDTF">2025-10-11T04:21:00Z</dcterms:created>
  <dcterms:modified xsi:type="dcterms:W3CDTF">2026-05-15T20:08:00Z</dcterms:modified>
</cp:coreProperties>
</file>