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62015" cy="503555"/>
            <wp:effectExtent b="0" l="0" r="0" t="0"/>
            <wp:docPr descr="" title="" id="21" name="Picture"/>
            <a:graphic>
              <a:graphicData uri="http://schemas.openxmlformats.org/drawingml/2006/picture">
                <pic:pic>
                  <pic:nvPicPr>
                    <pic:cNvPr descr="media/image1.png" id="22" name="Picture"/>
                    <pic:cNvPicPr>
                      <a:picLocks noChangeArrowheads="1" noChangeAspect="1"/>
                    </pic:cNvPicPr>
                  </pic:nvPicPr>
                  <pic:blipFill>
                    <a:blip r:embed="rId20"/>
                    <a:stretch>
                      <a:fillRect/>
                    </a:stretch>
                  </pic:blipFill>
                  <pic:spPr bwMode="auto">
                    <a:xfrm>
                      <a:off x="0" y="0"/>
                      <a:ext cx="5962015" cy="503555"/>
                    </a:xfrm>
                    <a:prstGeom prst="rect">
                      <a:avLst/>
                    </a:prstGeom>
                    <a:noFill/>
                    <a:ln w="9525">
                      <a:noFill/>
                      <a:headEnd/>
                      <a:tailEnd/>
                    </a:ln>
                  </pic:spPr>
                </pic:pic>
              </a:graphicData>
            </a:graphic>
          </wp:inline>
        </w:drawing>
      </w:r>
      <w:r>
        <w:drawing>
          <wp:inline>
            <wp:extent cx="5962015" cy="503555"/>
            <wp:effectExtent b="0" l="0" r="0" t="0"/>
            <wp:docPr descr="" title="" id="24" name="Picture"/>
            <a:graphic>
              <a:graphicData uri="http://schemas.openxmlformats.org/drawingml/2006/picture">
                <pic:pic>
                  <pic:nvPicPr>
                    <pic:cNvPr descr="media/image2.png" id="25" name="Picture"/>
                    <pic:cNvPicPr>
                      <a:picLocks noChangeArrowheads="1" noChangeAspect="1"/>
                    </pic:cNvPicPr>
                  </pic:nvPicPr>
                  <pic:blipFill>
                    <a:blip r:embed="rId23"/>
                    <a:stretch>
                      <a:fillRect/>
                    </a:stretch>
                  </pic:blipFill>
                  <pic:spPr bwMode="auto">
                    <a:xfrm>
                      <a:off x="0" y="0"/>
                      <a:ext cx="5962015" cy="503555"/>
                    </a:xfrm>
                    <a:prstGeom prst="rect">
                      <a:avLst/>
                    </a:prstGeom>
                    <a:noFill/>
                    <a:ln w="9525">
                      <a:noFill/>
                      <a:headEnd/>
                      <a:tailEnd/>
                    </a:ln>
                  </pic:spPr>
                </pic:pic>
              </a:graphicData>
            </a:graphic>
          </wp:inline>
        </w:drawing>
      </w:r>
    </w:p>
    <w:p>
      <w:pPr>
        <w:pStyle w:val="BodyText"/>
      </w:pPr>
      <w:r>
        <w:t xml:space="preserve">UNIVERSITATEA “ALEXANDRU IOAN CUZA” DIN IAȘI</w:t>
      </w:r>
    </w:p>
    <w:p>
      <w:pPr>
        <w:pStyle w:val="BodyText"/>
      </w:pPr>
      <w:r>
        <w:t xml:space="preserve">Facultatea de Economie și Administrarea Afacerilor</w:t>
      </w:r>
    </w:p>
    <w:p>
      <w:pPr>
        <w:pStyle w:val="BodyText"/>
      </w:pPr>
      <w:r>
        <w:rPr>
          <w:bCs/>
          <w:b/>
        </w:rPr>
        <w:t xml:space="preserve">Specializarea Informatică Economică</w:t>
      </w:r>
    </w:p>
    <w:p>
      <w:pPr>
        <w:pStyle w:val="BodyText"/>
      </w:pPr>
      <w:r>
        <w:rPr>
          <w:bCs/>
          <w:b/>
        </w:rPr>
        <w:t xml:space="preserve">LUCRARE DE LICENȚĂ</w:t>
      </w:r>
    </w:p>
    <w:p>
      <w:pPr>
        <w:pStyle w:val="BodyText"/>
      </w:pPr>
      <w:r>
        <w:t xml:space="preserve">Coordonator științific:</w:t>
      </w:r>
    </w:p>
    <w:p>
      <w:pPr>
        <w:pStyle w:val="BodyText"/>
      </w:pPr>
      <w:r>
        <w:t xml:space="preserve">Conf. Univ. dr.</w:t>
      </w:r>
    </w:p>
    <w:p>
      <w:pPr>
        <w:pStyle w:val="BodyText"/>
      </w:pPr>
      <w:r>
        <w:t xml:space="preserve">Absolvent:</w:t>
      </w:r>
    </w:p>
    <w:p>
      <w:pPr>
        <w:pStyle w:val="BodyText"/>
      </w:pPr>
      <w:r>
        <w:rPr>
          <w:bCs/>
          <w:b/>
        </w:rPr>
        <w:t xml:space="preserve">Ciocan Sebastian</w:t>
      </w:r>
    </w:p>
    <w:p>
      <w:pPr>
        <w:pStyle w:val="BodyText"/>
      </w:pPr>
      <w:r>
        <w:rPr>
          <w:bCs/>
          <w:b/>
        </w:rPr>
        <w:t xml:space="preserve">Iași</w:t>
      </w:r>
    </w:p>
    <w:p>
      <w:pPr>
        <w:pStyle w:val="BodyText"/>
      </w:pPr>
      <w:r>
        <w:rPr>
          <w:bCs/>
          <w:b/>
        </w:rPr>
        <w:t xml:space="preserve">2025-2026</w:t>
      </w:r>
    </w:p>
    <w:p>
      <w:pPr>
        <w:pStyle w:val="BodyText"/>
      </w:pPr>
      <w:r>
        <w:t xml:space="preserve">KEYWORDS: inginerie prompt inteligență artificială generativă prompt engineering arhitecturi hibride (SSR / SSG / CSR) colaborare în timp real bază de date reactivă</w:t>
      </w:r>
      <w:r>
        <w:t xml:space="preserve"> </w:t>
      </w:r>
      <w:hyperlink r:id="rId26">
        <w:r>
          <w:rPr>
            <w:rStyle w:val="Hyperlink"/>
          </w:rPr>
          <w:t xml:space="preserve">Next.js</w:t>
        </w:r>
      </w:hyperlink>
      <w:r>
        <w:t xml:space="preserve"> </w:t>
      </w:r>
      <w:r>
        <w:t xml:space="preserve">Convex productivitate AI Web 4.0</w:t>
      </w:r>
    </w:p>
    <w:bookmarkStart w:id="27" w:name="introducere"/>
    <w:p>
      <w:pPr>
        <w:pStyle w:val="Heading1"/>
      </w:pPr>
      <w:r>
        <w:t xml:space="preserve">INTRODUCERE</w:t>
      </w:r>
    </w:p>
    <w:p>
      <w:pPr>
        <w:pStyle w:val="FirstParagraph"/>
      </w:pPr>
      <w:r>
        <w:t xml:space="preserve">Într-o lume în care inteligența artificială generativă a devenit un motor economic real – cu un potențial de adăugare anuală de 2,6 până la 4,4 trilioane de dolari la economia globală, conform raportului McKinsey Global Institute din 2023 (valoare comparabilă cu PIB-ul Marii Britanii din 2021) –, un singur element decide dacă un model de limbaj mare (LLM) produce valoare autentică sau doar risipă de resurse: promptul.</w:t>
      </w:r>
    </w:p>
    <w:p>
      <w:pPr>
        <w:pStyle w:val="BodyText"/>
      </w:pPr>
      <w:r>
        <w:t xml:space="preserve">Promptul reprezintă noua formă de programare a erei inteligenței artificiale. Nu se mai programează mașinile prin cod rigid, ci prin limbaj natural care le ghidează să-și dezlănțuie creativitatea, raționamentul și productivitatea la scară largă. Totuși, în anul 2025–2026, ingineria prompturilor rămâne în mare parte o activitate individuală, empirică și ineficientă. Un inginer testează zeci de variante manual, compară rezultatele în mod subiectiv, iar cunoștințele acumulate se risipesc în chat-uri Slack, documente Google sau notițe personale. Platformele care să transforme această practică artizanală într-un proces colaborativ, măsurabil și scalabil la nivel de comunitate lipsesc aproape complet.</w:t>
      </w:r>
    </w:p>
    <w:p>
      <w:pPr>
        <w:pStyle w:val="BodyText"/>
      </w:pPr>
      <w:r>
        <w:t xml:space="preserve">Prezenta lucrare de licență propune o soluție concretă la această problemă: dezvoltarea unei platforme web colaborative de prompt engineering. Platforma permite utilizatorilor – de la dezvoltatori independenți până la echipe enterprise – să realizeze următoarele operațiuni:</w:t>
      </w:r>
    </w:p>
    <w:p>
      <w:pPr>
        <w:numPr>
          <w:ilvl w:val="0"/>
          <w:numId w:val="1001"/>
        </w:numPr>
      </w:pPr>
      <w:r>
        <w:t xml:space="preserve">testarea prompturilor în timp real pe multiple modele de limbaj mari (OpenAI, Anthropic, Google, modele open-source etc.);</w:t>
      </w:r>
    </w:p>
    <w:p>
      <w:pPr>
        <w:numPr>
          <w:ilvl w:val="0"/>
          <w:numId w:val="1001"/>
        </w:numPr>
      </w:pPr>
      <w:r>
        <w:t xml:space="preserve">votarea prompturilor și a variantelor acestora într-un sistem de tip „arenă” comunitar, inspirat de LMSYS Chatbot Arena, dar orientat exclusiv spre calitatea prompturilor;</w:t>
      </w:r>
    </w:p>
    <w:p>
      <w:pPr>
        <w:numPr>
          <w:ilvl w:val="0"/>
          <w:numId w:val="1001"/>
        </w:numPr>
      </w:pPr>
      <w:r>
        <w:t xml:space="preserve">rularea de teste batch automate pe seturi întregi de prompturi, seturi de date și parametri de generare (temperature, top-p, presence penalty etc.), însoțite de metrici obiective de evaluare (coerență, factualitate, creativitate, cost în tokeni, latență);</w:t>
      </w:r>
    </w:p>
    <w:p>
      <w:pPr>
        <w:numPr>
          <w:ilvl w:val="0"/>
          <w:numId w:val="1001"/>
        </w:numPr>
      </w:pPr>
      <w:r>
        <w:t xml:space="preserve">colaborarea în timp real – mai mulți utilizatori pot edita, comenta și rafina simultan același prompt, beneficiind de sincronizare instantanee a modificărilor și istoric complet al versiunilor;</w:t>
      </w:r>
    </w:p>
    <w:p>
      <w:pPr>
        <w:numPr>
          <w:ilvl w:val="0"/>
          <w:numId w:val="1001"/>
        </w:numPr>
      </w:pPr>
      <w:r>
        <w:t xml:space="preserve">partajarea bibliotecilor publice sau private de prompturi optimizate, echipate cu etichetare semantică, căutare avansată și recomandări bazate pe performanța istorică.</w:t>
      </w:r>
    </w:p>
    <w:p>
      <w:pPr>
        <w:pStyle w:val="FirstParagraph"/>
      </w:pPr>
      <w:r>
        <w:t xml:space="preserve">Astfel, aplicația transformă ingineria prompturilor dintr-o activitate solitară și subiectivă într-un ecosistem inteligent, în care cea mai bună variantă de prompt nu mai depinde exclusiv de intuiția individuală, ci de înțelepciunea colectivă validată prin voturi și date.</w:t>
      </w:r>
    </w:p>
    <w:p>
      <w:pPr>
        <w:pStyle w:val="BodyText"/>
      </w:pPr>
      <w:r>
        <w:t xml:space="preserve">Realizarea platformei nu a constituit doar un exercițiu tehnic, ci o demonstrație practică a modului în care arhitecturile web moderne (hibride SSR/SSG combinate cu componente reactive) pot accelera inovația în domeniul inteligenței artificiale. A fost utilizat stack-ul</w:t>
      </w:r>
      <w:r>
        <w:t xml:space="preserve"> </w:t>
      </w:r>
      <w:r>
        <w:rPr>
          <w:bCs/>
          <w:b/>
        </w:rPr>
        <w:t xml:space="preserve">Next.js 15</w:t>
      </w:r>
      <w:r>
        <w:t xml:space="preserve"> </w:t>
      </w:r>
      <w:r>
        <w:t xml:space="preserve">(App Router, React Server Components, Streaming), TypeScript cu tipizare strictă, Tailwind CSS + Shadcn/UI pentru o interfață accesibilă și, în mod esențial, baza de date reactivă</w:t>
      </w:r>
      <w:r>
        <w:t xml:space="preserve"> </w:t>
      </w:r>
      <w:r>
        <w:rPr>
          <w:bCs/>
          <w:b/>
        </w:rPr>
        <w:t xml:space="preserve">Convex</w:t>
      </w:r>
      <w:r>
        <w:t xml:space="preserve"> </w:t>
      </w:r>
      <w:r>
        <w:t xml:space="preserve">care asigură sincronizarea în timp real fără gestionarea manuală a conexiunilor WebSocket. Performanța rapidă de încărcare, indexarea SEO pentru prompturile publice și scalabilitatea cu costuri minime la început au reprezentat priorități arhitecturale de la concepție, aspecte detaliate în capitolele următoare.</w:t>
      </w:r>
    </w:p>
    <w:p>
      <w:pPr>
        <w:pStyle w:val="BodyText"/>
      </w:pPr>
      <w:r>
        <w:t xml:space="preserve">Impactul economic al unei astfel de platforme este evident: o îmbunătățire chiar și modestă, de 10–20 %, a calității prompturilor se traduce în reduceri semnificative ale costurilor cu tokenii, diminuarea numărului de iterații umane și obținerea unor rezultate de calitate superioară. Studii și rapoarte recente indică faptul că echipele care adoptă procese structurate de prompt engineering pot înregistra creșteri de productivitate cuprinse între 20 % și 50 % (iar în anumite cazuri chiar dublarea output-ului zilnic prin utilizare intensivă și bine ghidată a inteligenței artificiale). Aplicația democratizează aceste beneficii, oferind startup-urilor mici și profesioniștilor independenți acces la instrumente care până recent erau rezervate exclusiv marilor corporații (ex. Maxim AI, PromptLayer, Lilypad).</w:t>
      </w:r>
    </w:p>
    <w:bookmarkEnd w:id="27"/>
    <w:bookmarkStart w:id="28" w:name="section"/>
    <w:p>
      <w:pPr>
        <w:pStyle w:val="Heading1"/>
      </w:pPr>
    </w:p>
    <w:bookmarkEnd w:id="28"/>
    <w:bookmarkStart w:id="36" w:name="X5737882b80703d33426a85a99c2b4e21f7d101e"/>
    <w:p>
      <w:pPr>
        <w:pStyle w:val="Heading1"/>
      </w:pPr>
      <w:r>
        <w:t xml:space="preserve">Capitolul 1. Analiza contextului tehnologic și economic al aplicațiilor web moderne</w:t>
      </w:r>
    </w:p>
    <w:p>
      <w:pPr>
        <w:pStyle w:val="FirstParagraph"/>
      </w:pPr>
      <w:r>
        <w:t xml:space="preserve">Capitolul va oferi o imagine de ansamblu asupra modului în care tehnologia a schimbat mediul digital, economic și de afaceri în ultimele decenii, analizând World Wide Web-ul și evoluția sa de la pagini web statice la sistemele extrem de inteligente și colaborative disponibile acum pe piața actuală. În plus, va evidenția relația dintre performanța aplicațiilor informatice și profitabilitatea afacerilor prin dovezi că viteza mai mare a aplicațiilor nu este doar o caracteristică tehnică, ci a devenit un predictor semnificativ al generării de venituri. Capitolul se va încheia cu o examinare a implicațiilor inteligenței artificiale generative pentru crearea de noi arhitecturi software și creșterea productivității la nivel global.</w:t>
      </w:r>
    </w:p>
    <w:bookmarkStart w:id="29" w:name="dinamica-evolutivă-a-world-wide-web"/>
    <w:p>
      <w:pPr>
        <w:pStyle w:val="Heading2"/>
      </w:pPr>
      <w:r>
        <w:t xml:space="preserve">Dinamica evolutivă a World Wide Web</w:t>
      </w:r>
    </w:p>
    <w:p>
      <w:pPr>
        <w:pStyle w:val="FirstParagraph"/>
      </w:pPr>
      <w:r>
        <w:t xml:space="preserve">Evoluția sistemelor informatice bazate pe web din ultimele trei decenii urmează o traiectorie de complexitate crescătoare. Analiza cronologică indică o tranziție clară de la tehnologiile statice, destinate prezentării informațiilor, la ecosisteme inteligente masive de surse și rezervoare de informații care interacționează. Evoluția etapizată aduce la iveală atât exemple de aplicații de succes, cât și apariția unor modele de afaceri eficiente care accelerează și mai mult progresul tehnologiei. Tranziția poate fi împărțită în patru epoci succesive, fiecare cu o redefinire a operațiunilor utilizatorului și a puterii aplicațiilor.</w:t>
      </w:r>
    </w:p>
    <w:p>
      <w:pPr>
        <w:numPr>
          <w:ilvl w:val="0"/>
          <w:numId w:val="1002"/>
        </w:numPr>
      </w:pPr>
      <w:r>
        <w:rPr>
          <w:bCs/>
          <w:b/>
        </w:rPr>
        <w:t xml:space="preserve">WEB 1.0 | Web static (aprox. 1990 – 2004)</w:t>
      </w:r>
    </w:p>
    <w:p>
      <w:pPr>
        <w:pStyle w:val="FirstParagraph"/>
      </w:pPr>
      <w:r>
        <w:t xml:space="preserve">Această primă fază, denumită „Document Based Web” (Web bazat pe documente), s-a bazat în principal pe un model simplu de comunicare unidirecțională. Site-urile aveau pur și simplu sarcina de a afișa informații despre companii, îndeplinind funcția unui portal de informații sau a unei „broșuri digitale”.</w:t>
      </w:r>
    </w:p>
    <w:p>
      <w:pPr>
        <w:pStyle w:val="BodyText"/>
      </w:pPr>
      <w:r>
        <w:t xml:space="preserve">Dintr-o perspectivă economică, principala valoare adăugată a acestei faze a fost reducerea costurilor de distribuție a informațiilor și amplificarea vizibilității mărcii la nivel mondial, fără costuri logistice, la scară globală. Simultan, piața era cuprinsă de speculații despre potențialul digitalizării. Companiile care dominau acea epocă, Yahoo! în cel mai evident caz, au atins valori record de piață (peste 128 de miliarde de dolari americani (Hall, 2000)), consacrând internetul ca noul mediu global de furnizare a informațiilor.</w:t>
      </w:r>
    </w:p>
    <w:p>
      <w:pPr>
        <w:pStyle w:val="BodyText"/>
      </w:pPr>
      <w:r>
        <w:t xml:space="preserve">Totuși, puterea utilizatorului era limitată la aceleași ierarhii, permițând doar consumul pasiv de informații de pe site-urile preluate în aceste liste atent selectate, dintre care DMOZ era regele. Comunicarea bidirecțională dintre utilizator și companie era practic inexistentă, iar tehnologia principală era HTML.</w:t>
      </w:r>
    </w:p>
    <w:p>
      <w:pPr>
        <w:numPr>
          <w:ilvl w:val="0"/>
          <w:numId w:val="1003"/>
        </w:numPr>
      </w:pPr>
      <w:r>
        <w:rPr>
          <w:bCs/>
          <w:b/>
        </w:rPr>
        <w:t xml:space="preserve">WEB 2.0 | Web-ul social (aprox. 2004 -2010)</w:t>
      </w:r>
    </w:p>
    <w:p>
      <w:pPr>
        <w:pStyle w:val="FirstParagraph"/>
      </w:pPr>
      <w:r>
        <w:t xml:space="preserve">Odată cu apariția WEB 2.0, de la un web cu puțină interacțiune la ceea ce se numește „Web centrat pe oameni” cu concepte precum filtrarea colaborativă și spațiul de lucru virtual distribuit, unde comunicarea a devenit o stradă cu două sensuri, iar utilizatorul din spectator s-a transformat într-un creator de conținut, comunitățile online au crescut ca număr și s-au concentrat pe modelul „scriere-citire” și pe platformele de socializare.</w:t>
      </w:r>
    </w:p>
    <w:p>
      <w:pPr>
        <w:pStyle w:val="BodyText"/>
      </w:pPr>
      <w:r>
        <w:t xml:space="preserve">Perspectiva economică arată clar că modelul de afaceri s-a schimbat fundamental — nu mai este vorba de vânzarea de produse, ci mai degrabă de vânzarea de date, trafic și informații despre potențialii clienți. Iar principalul creator de valoare s-a dovedit a fi „efectul de rețea”, un model care a adus companii uriașe precum Facebook la o capitalizare de piață de peste 1 trilion de dolari (Feiner, 2021) la fel ca și Alphabet (Novet, 2020).</w:t>
      </w:r>
    </w:p>
    <w:p>
      <w:pPr>
        <w:numPr>
          <w:ilvl w:val="0"/>
          <w:numId w:val="1004"/>
        </w:numPr>
      </w:pPr>
      <w:r>
        <w:rPr>
          <w:bCs/>
          <w:b/>
        </w:rPr>
        <w:t xml:space="preserve">WEB 3.0 | Web-ul semantic (aprox. 2010 – 2020)</w:t>
      </w:r>
    </w:p>
    <w:p>
      <w:pPr>
        <w:pStyle w:val="FirstParagraph"/>
      </w:pPr>
      <w:r>
        <w:t xml:space="preserve">Explozia rețelelor sociale a generat cantități uriașe de date și a accelerat tranziția către un web „semantic”. În prezent, s-a trecut de la simpla stocare a informațiilor conținute în aceste date la organizarea acestora într-un format cât mai inteligibil pentru motoarele de căutare. Internetul este omniprezent și integrat în viața cotidiană prin dispozitivul mobil, iar modul de interacțiune evoluează către un model „scrie-citește-rulează”. Aplicațiile încep să interpreteze contextul utilizatorilor și să ia decizii în numele acestora.</w:t>
      </w:r>
    </w:p>
    <w:p>
      <w:pPr>
        <w:pStyle w:val="BodyText"/>
      </w:pPr>
      <w:r>
        <w:t xml:space="preserve">Din punct de vedere economic, WEB 3.0 a consolidat modelul de afaceri SaaS (Software as a Service) și a accelerat economia bazată pe abonament. Organizațiile au început externalizarea la scară largă a infrastructurii Cloud, segmentul SaaS devenind cel mai mare segment al pieței de servicii cloud publice (Gartner, Inc., 2019). Astfel, acestea au favorizat agilitatea și inventivitatea pentru a lansa pe piață produse noi profitabile. Giganții au adoptat metoda de fidelizare a clienților printr-un sistem sofisticat de recomandări făcute prin intermediul tehnologiilor Big Data.</w:t>
      </w:r>
    </w:p>
    <w:p>
      <w:pPr>
        <w:numPr>
          <w:ilvl w:val="0"/>
          <w:numId w:val="1005"/>
        </w:numPr>
      </w:pPr>
      <w:r>
        <w:rPr>
          <w:bCs/>
          <w:b/>
        </w:rPr>
        <w:t xml:space="preserve">WEB 4.0 | Web-ul inteligent (aprox. 2020 – prezent)</w:t>
      </w:r>
    </w:p>
    <w:p>
      <w:pPr>
        <w:pStyle w:val="FirstParagraph"/>
      </w:pPr>
      <w:r>
        <w:t xml:space="preserve">Spre deosebire de WEB 1.0, 2.0 și 3.0, Web 4.0 nu poate fi analizat încă prin perspectivă istorică. Evoluția este încă în desfășurare și este greu de caracterizat cu precizie etapa în care ne aflăm acum.</w:t>
      </w:r>
    </w:p>
    <w:p>
      <w:pPr>
        <w:pStyle w:val="BodyText"/>
      </w:pPr>
      <w:r>
        <w:t xml:space="preserve">Inteligența artificială generativă a încetat să mai fie un strat funcțional pe care îl adăugăm platformelor existente așa cum le cunoaștem și a început să le dezvolte arhitectura. McKinsey (McKinsey Global Institute, 2023) estimează un impact economic al GenAI de 4,4 trilioane de dolari pe an până în 2026, mai mult decât produsul intern brut al majorității țărilor din lume. Nu doar productivitatea este în mutație, ci și însăși natura modului în care schimbăm sens cu instrumentele noastre: relația noastră devine colaborativă, iar granița dintre interfață și utilizator devine tot mai fluidă, pe măsură ce instrumentele AI adoptă un rol activ în procesul de lucru. Acest ecosistem impune cerințe arhitecturale noi — performanță instantanee, indexabilitate și interactivitate simultană — pe care le vom analiza în secțiunea următoare.</w:t>
      </w:r>
    </w:p>
    <w:bookmarkEnd w:id="29"/>
    <w:bookmarkStart w:id="33" w:name="X9370cb08bf8fb0b625bfbf03d948f98c3871d29"/>
    <w:p>
      <w:pPr>
        <w:pStyle w:val="Heading2"/>
      </w:pPr>
      <w:r>
        <w:t xml:space="preserve">Arhitecturi software moderne: de la MPA la SPA și rolul dezvoltatorului full stack</w:t>
      </w:r>
    </w:p>
    <w:p>
      <w:pPr>
        <w:pStyle w:val="FirstParagraph"/>
      </w:pPr>
      <w:r>
        <w:t xml:space="preserve">Evoluția web-ului aduce cu sine necesitatea ca aplicațiile să își actualizeze capabilitățile. În cele din urmă, complexitatea aplicațiilor web a crescut de la simple pagini de afișare a conținutului la aplicații colaborative în timp real, conducând de la arhitectura MPA clasică la SPA modernă.</w:t>
      </w:r>
    </w:p>
    <w:p>
      <w:pPr>
        <w:pStyle w:val="BodyText"/>
      </w:pPr>
      <w:r>
        <w:t xml:space="preserve">Aplicațiile multi-page (MPA) au fost prima inovație web de la începutul internetului. Acest model în care, cu fiecare clic, întreaga pagină se reîncărca, reprezenta o arhitectură simplă și solidă, foarte potrivită pentru un site de știri sau un blog unde informațiile nu se schimbă des. Deși excelentă pentru indexarea de către motoarele de căutare, pentru utilizator experiența era fragmentată: trebuia să aștepte la fiecare pas, timpii de reîncărcare întrerupând fluxul de navigare.</w:t>
      </w:r>
    </w:p>
    <w:p>
      <w:pPr>
        <w:pStyle w:val="BodyText"/>
      </w:pPr>
      <w:r>
        <w:t xml:space="preserve">Apoi vine răspunsul la aceste noi nevoi: aplicațiile single-page (SPA) . Aici, scheletul aplicației se încarcă o singură dată la prima accesare, iar interacțiunile ulterioare actualizează dinamic doar fragmentele de ecran necesare, folosind JavaScript. Acest lucru conferă aplicațiilor timpi de răspuns reduși și experiențe de utilizator integrate și cuprinzătoare. Acestea se simt fluide, ca niște aplicații native, ca și cum ar fi instalate direct pe dispozitiv.</w:t>
      </w:r>
    </w:p>
    <w:p>
      <w:pPr>
        <w:pStyle w:val="BodyText"/>
      </w:pPr>
      <w:r>
        <w:t xml:space="preserve">Însă această abordare a reprezentat un compromis. SPA-urile aveau o problemă fundamentală cu motoarele de căutare; serverul livra o pagină aproape goală prima dată când cineva o accesa, iar ulterior JavaScript construia conținutul în browser. Motoarele de indexare — în special cele ale Google — nu reușeau să proceseze și să indexeze corect acel conținut, iar traficul organic către aplicațiile care se bazau exclusiv pe SPA era adesea inexistent.</w:t>
      </w:r>
    </w:p>
    <w:p>
      <w:pPr>
        <w:pStyle w:val="BodyText"/>
      </w:pPr>
      <w:r>
        <w:drawing>
          <wp:inline>
            <wp:extent cx="6146800" cy="1660422"/>
            <wp:effectExtent b="0" l="0" r="0" t="0"/>
            <wp:docPr descr="" title="" id="31" name="Picture"/>
            <a:graphic>
              <a:graphicData uri="http://schemas.openxmlformats.org/drawingml/2006/picture">
                <pic:pic>
                  <pic:nvPicPr>
                    <pic:cNvPr descr="media/image5.png" id="32" name="Picture"/>
                    <pic:cNvPicPr>
                      <a:picLocks noChangeArrowheads="1" noChangeAspect="1"/>
                    </pic:cNvPicPr>
                  </pic:nvPicPr>
                  <pic:blipFill>
                    <a:blip r:embed="rId30"/>
                    <a:stretch>
                      <a:fillRect/>
                    </a:stretch>
                  </pic:blipFill>
                  <pic:spPr bwMode="auto">
                    <a:xfrm>
                      <a:off x="0" y="0"/>
                      <a:ext cx="6146800" cy="1660422"/>
                    </a:xfrm>
                    <a:prstGeom prst="rect">
                      <a:avLst/>
                    </a:prstGeom>
                    <a:noFill/>
                    <a:ln w="9525">
                      <a:noFill/>
                      <a:headEnd/>
                      <a:tailEnd/>
                    </a:ln>
                  </pic:spPr>
                </pic:pic>
              </a:graphicData>
            </a:graphic>
          </wp:inline>
        </w:drawing>
      </w:r>
      <w:r>
        <w:t xml:space="preserve">Într-un peisaj digital saturat, viteza de încărcare a ajuns să conteze mai mult decât orice altă caracteristică a unui sistem web. Google a recunoscut această realitate și a formalizat-o prin Core Web Vitals — un set de metrici standardizate, transformate în factor oficial de clasare în algoritmii de căutare începând cu 2021 (Google Search Central, 2021) (Google Webmaster Central Blog, 2020). Cei trei indicatori prin care sunt evaluate arhitecturile moderne reflectă aspecte distincte ale experienței utilizatorului: LCP-ul — Largest Contentful Paint — surprinde momentul în care conținutul principal al paginii devine vizibil; CLS-ul — Cumulative Layout Shift — cuantifică stabilitatea vizuală pe parcursul încărcării; iar INP-ul — Interaction to Next Paint — introdus oficial în martie 2024 ca înlocuitor al First Input Delay, măsoară latența și responsivitatea la interacțiunile utilizatorului.</w:t>
      </w:r>
    </w:p>
    <w:p>
      <w:pPr>
        <w:pStyle w:val="BodyText"/>
      </w:pPr>
      <w:r>
        <w:t xml:space="preserve">Studiile privind comportamentul consumatorilor relevă faptul că toleranța utilizatorilor față de timpii de așteptare a scăzut drastic, iar performanța web a depășit statutul de metrică pur tehnică, devenind un indicator direct al veniturilor. Aceste analize, realizate de liderii industriei, evidențiază sensibilitatea crescută a publicului și demonstrează impactul critic pe care milisecundele de latență îl au asupra rezultatelor financiare:</w:t>
      </w:r>
    </w:p>
    <w:p>
      <w:pPr>
        <w:numPr>
          <w:ilvl w:val="0"/>
          <w:numId w:val="1006"/>
        </w:numPr>
      </w:pPr>
      <w:r>
        <w:t xml:space="preserve">Amazon a demonstrat că fiecare întârziere de 100 de milisecunde cauzează o scădere de aproximativ 1% din vânzări [5].</w:t>
      </w:r>
    </w:p>
    <w:p>
      <w:pPr>
        <w:numPr>
          <w:ilvl w:val="0"/>
          <w:numId w:val="1006"/>
        </w:numPr>
      </w:pPr>
      <w:r>
        <w:t xml:space="preserve">Google a arătat că, pe dispozitivele mobile, trecerea timpului de încărcare de la 1 secundă la 3 secunde crește probabilitatea de abandon al paginii cu 32% [6].</w:t>
      </w:r>
    </w:p>
    <w:p>
      <w:pPr>
        <w:numPr>
          <w:ilvl w:val="0"/>
          <w:numId w:val="1006"/>
        </w:numPr>
      </w:pPr>
      <w:r>
        <w:t xml:space="preserve">Walmart a constatat o relație liniară directă, înregistrând o creștere a ratei de conversie cu 2% pentru fiecare secundă câștigată în timpul de încărcare [7].</w:t>
      </w:r>
    </w:p>
    <w:p>
      <w:pPr>
        <w:pStyle w:val="FirstParagraph"/>
      </w:pPr>
      <w:r>
        <w:t xml:space="preserve">Așadar, pentru o afacere online, fiecare secundă suplimentară de încărcare se traduce direct în pierderi de venituri și în pierderea încrederii clienților. O arhitectură SPA pură se dovedește a fi insuficientă pentru aplicațiile moderne care trebuie să gestioneze simultan aceste compromisuri între performanță, indexare și interactivitate în timp real. Răspunsul industriei a fost adoptarea arhitecturilor hibride, capabile să combine randarea pe server — acolo unde viteza și SEO o necesită — cu interactivitatea pe client, unde experiența utilizatorului beneficiază de aceasta. Această abordare stă la baza framework-urilor moderne precum Next.js, tehnologia selectată și detaliată în Capitolul 2 al prezentei lucrări. Evoluția acestor modele arhitecturale este ilustrată comparativ în Figura 1.y.</w:t>
      </w:r>
    </w:p>
    <w:p>
      <w:pPr>
        <w:pStyle w:val="BodyText"/>
      </w:pPr>
      <w:r>
        <w:t xml:space="preserve">Această convergență arhitecturală — în care același limbaj (JavaScript/TypeScript) rulează atât pe server cât și în browser, iar granițele dintre frontend și backend devin tot mai fluide — a redefinit și profilul profesional al dezvoltatorului modern. Dacă în arhitecturile clasice separarea strictă între frontend și backend impunea echipe specializate și procese de coordonare costisitoare, Node.js și framework-urile hibride precum Next.js au făcut posibilă și eficientă abordarea full stack: un singur dezvoltator poate gestiona întregul ciclu de viață al unei funcționalități, de la interogarea bazei de date până la interfața pe care utilizatorul o vede. Spre deosebire de modelul clasic, unde aceleași validări logice se scriau de două ori — o dată pe server, o dată pe client — ecosistemul unificat elimină această duplicare a efortului. Mai mult decât o eficientizare a codului, această abordare reduce fricțiunile de comunicare dintre straturi, o sursă frecventă de erori și întârzieri în proiectele complexe. Aplicația dezvoltată în cadrul acestei lucrări a fost concepută și implementată urmând tocmai această paradigmă, valorificând avantajele unui ecosistem tehnologic unificat pentru a maximiza viteza de dezvoltare și coerența arhitecturală.</w:t>
      </w:r>
    </w:p>
    <w:bookmarkEnd w:id="33"/>
    <w:bookmarkStart w:id="34" w:name="Xddb4ea0b8695d8990755f3d23146d13aef89e24"/>
    <w:p>
      <w:pPr>
        <w:pStyle w:val="Heading2"/>
      </w:pPr>
      <w:r>
        <w:t xml:space="preserve">1.3. Inteligența artificială generativă și economia prompturilor</w:t>
      </w:r>
    </w:p>
    <w:p>
      <w:pPr>
        <w:pStyle w:val="FirstParagraph"/>
      </w:pPr>
      <w:r>
        <w:t xml:space="preserve">Adoptarea pe scară largă a large language models (LLM) a marcat trecerea către o nouă eră a productivității digitale. Dincolo de capacitatea de a genera text, cod sau imagini, inteligența artificială generativă a creat un nou strat de abstractizare în arhitecturile software moderne. Așa cum s-a menționat anterior, impactul economic estimat al GenAI este masiv, raportul McKinsey din 2023 sugerând că această tehnologie ar putea adăuga anual între 2,6 și 4,4 trilioane de dolari la economia globală, optimizând procese în industrii de la dezvoltare software la relații cu clienții.</w:t>
      </w:r>
    </w:p>
    <w:p>
      <w:pPr>
        <w:pStyle w:val="BodyText"/>
      </w:pPr>
      <w:r>
        <w:t xml:space="preserve">Cu toate acestea, capabilitățile teoretice ale unui LLM nu garantează automat extragerea acestei valori economice. Interfața principală de comunicare dintre intenția umană și rețeaua neuronală este limbajul natural, iar procesul de formulare a acestor instrucțiuni — cunoscut sub denumirea de</w:t>
      </w:r>
      <w:r>
        <w:t xml:space="preserve"> </w:t>
      </w:r>
      <w:r>
        <w:rPr>
          <w:iCs/>
          <w:i/>
        </w:rPr>
        <w:t xml:space="preserve">Prompt Engineering (PE)</w:t>
      </w:r>
      <w:r>
        <w:t xml:space="preserve"> </w:t>
      </w:r>
      <w:r>
        <w:t xml:space="preserve">— a devenit principalul punct de blocaj în adoptarea eficientă a inteligenței artificiale.</w:t>
      </w:r>
    </w:p>
    <w:p>
      <w:pPr>
        <w:pStyle w:val="BodyText"/>
      </w:pPr>
      <w:r>
        <w:t xml:space="preserve">Calitatea unui prompt dictează direct rentabilitatea investiției în tehnologiile AI. Un prompt bine structurat minimizează halucinațiile modelului, reduce consumul de tokeni (și, implicit, costurile operaționale) și elimină necesitatea intervenției umane repetate pe când, un prompt ambiguu sau slab optimizat generează rezultate generice, erori logice și cicluri inutile de procesare. Astfel, „economia prompturilor” a devenit o piață de sine stătătoare, în care claritatea instrucțiunii este resursa fundamentală.</w:t>
      </w:r>
    </w:p>
    <w:p>
      <w:pPr>
        <w:pStyle w:val="BodyText"/>
      </w:pPr>
      <w:r>
        <w:t xml:space="preserve">Natura profund individuală și neorganizată a PE constituie astăzi o problemă majoră. În majoritatea organizațiilor și echipelor de dezvoltare, crearea prompturilor se bazează pe o metodă de trial-and-error . Utilizatorii experimentează izolat, salvând variante de prompturi în documente personale, notițe sau fragmente de cod hardcoded în repozitoare locale. Nu există o vizibilitate clară asupra istoricului modificărilor, nu există metrici obiective care să ateste că „Versiunea B” a unui prompt este mai performantă decât „Versiunea A” și, cel mai important, lipsește o validare încrucișată a rezultatelor obținute pe diferite LLM-uri. Această fragmentare face ca ingineria prompturilor să fie extrem de ineficientă la scară largă, forțând dezvoltatorii să rezolve individual probleme care au fost deja soluționate de alții.</w:t>
      </w:r>
    </w:p>
    <w:p>
      <w:pPr>
        <w:pStyle w:val="BodyText"/>
      </w:pPr>
      <w:r>
        <w:t xml:space="preserve">Depășirea acestui blocaj necesită o evoluție: de la efortul solitar către o inteligență colectivă. O ilustrare relevantă este modul în care platformele de tip open-source, precum GitHub, au revoluționat scrierea codului sursă prin transformarea programării dintr-o activitate izolată într-un proces colaborativ bazat pe versionare și peer-review, ceea ce a dus la creșterea exponențială a calității și securității codului — o tranziție similară de care are nevoie ingineria prompturilor.</w:t>
      </w:r>
    </w:p>
    <w:p>
      <w:pPr>
        <w:pStyle w:val="BodyText"/>
      </w:pPr>
      <w:r>
        <w:t xml:space="preserve">Eficiența colaborării și a principiului „wisdom of crowds" în domeniul inteligenței artificiale a fost deja demonstrată cu succes de inițiative academice. Un exemplu reprezentativ este LMSYS Chatbot Arena, o platformă de cercetare care utilizează mecanisme de crowdsourcing și blind voting pentru a clasifica și evalua performanța diferitelor LLM-uri într-un mod descentralizat și obiectiv. (Chiang, et al., 2024) (Zheng, et al., 2023) . Succesul LMSYS demonstrează că evaluarea calitativă a output-ului generat de AI nu poate fi lăsată exclusiv în seama benchmark-urilor sintetice, ci necesită un consens uman distribuit.</w:t>
      </w:r>
    </w:p>
    <w:p>
      <w:pPr>
        <w:pStyle w:val="BodyText"/>
      </w:pPr>
      <w:r>
        <w:t xml:space="preserve">Aplicând această logică, aplicația dezvoltată în cadrul acestei lucrări de licență umple direct golul din ecosistemul actual. Platforma propusă transformă PE dintr-un experiment izolat într-un proces ingineresc colaborativ, integrând un sistem de versionare a prompturilor și un mecanism opțional de votare crowdsourced care permite atât dezvoltatorilor indie cât și firmelor enterprise să partajeze instrucțiuni, să evalueze și să compare performanța aceluiași prompt rulat pe LLM-uri diferite. În acest ecosistem, cele mai eficiente prompturi sunt validate organic prin votul utilizatorilor, eliminând subiectivitatea. Această trecere de la un flux de lucru fragmentat la un mediu de dezvoltare transparent și iterativ este esențială pentru maturizarea interacțiunii om-AI și justifică necesitatea arhitecturală a platformei propuse. Diferența structurală dintre abordarea tradițională și ecosistemul propus este detaliată în</w:t>
      </w:r>
      <w:r>
        <w:t xml:space="preserve"> </w:t>
      </w:r>
      <w:r>
        <w:rPr>
          <w:bCs/>
          <w:b/>
        </w:rPr>
        <w:t xml:space="preserve">Figura 1.z</w:t>
      </w:r>
      <w:r>
        <w:t xml:space="preserve"> </w:t>
      </w:r>
      <w:r>
        <w:rPr>
          <w:iCs/>
          <w:i/>
        </w:rPr>
        <w:t xml:space="preserve">(Aici inserezi Diagrama: Workflow individual vs. workflow colaborativ propus)</w:t>
      </w:r>
      <w:r>
        <w:t xml:space="preserve">.</w:t>
      </w:r>
    </w:p>
    <w:bookmarkEnd w:id="34"/>
    <w:bookmarkStart w:id="35" w:name="Xc4f2a8793488113f5c5398e83672c2dac6ef371"/>
    <w:p>
      <w:pPr>
        <w:pStyle w:val="Heading2"/>
      </w:pPr>
      <w:r>
        <w:t xml:space="preserve">Analiza platformelor existente și identificarea fragmentării pieței</w:t>
      </w:r>
    </w:p>
    <w:p>
      <w:pPr>
        <w:pStyle w:val="FirstParagraph"/>
      </w:pPr>
      <w:r>
        <w:t xml:space="preserve">Odată cu recunoașterea Prompt Engineering-ului ca disciplină esențială în dezvoltarea aplicațiilor inteligente, piața tehnologică a răspuns prin crearea unor instrumente dedicate. Cu toate acestea, privind mai atent principalele platforme disponibile, observăm o fragmentare clară: instrumentele actuale se focusează fie pe evaluarea modelelor, fie pe managementul intern al prompturilor, ignorând în mare măsură potențialul colaborării deschise. Pentru a fundamenta necesitatea aplicației dezvoltate în cadrul acestei lucrări, au fost analizate patru platforme reprezentative din industrie.</w:t>
      </w:r>
    </w:p>
    <w:p>
      <w:pPr>
        <w:pStyle w:val="BodyText"/>
      </w:pPr>
      <w:r>
        <w:rPr>
          <w:bCs/>
          <w:b/>
        </w:rPr>
        <w:t xml:space="preserve">LMSYS Chatbot Arena</w:t>
      </w:r>
    </w:p>
    <w:p>
      <w:pPr>
        <w:pStyle w:val="BodyText"/>
      </w:pPr>
      <w:r>
        <w:t xml:space="preserve">Dezvoltată ca o inițiativă de cercetare academică, LMSYS (Large Model Systems Organization) a inovat modul în care performanța modelelor AI este evaluată prin platforma sa, Chatbot Arena. Aceasta folosește un sistem de votare orb -</w:t>
      </w:r>
      <w:r>
        <w:t xml:space="preserve"> </w:t>
      </w:r>
      <w:r>
        <w:rPr>
          <w:iCs/>
          <w:i/>
        </w:rPr>
        <w:t xml:space="preserve">blind crowdsourced voting</w:t>
      </w:r>
      <w:r>
        <w:t xml:space="preserve"> </w:t>
      </w:r>
      <w:r>
        <w:t xml:space="preserve">în care utilizatorii introduc un prompt și votează care dintre cele două modele anonime a oferit un răspuns mai bun (Zheng, și alții, 2023) (Chiang, și alții, 2024)</w:t>
      </w:r>
      <w:r>
        <w:t xml:space="preserve"> </w:t>
      </w:r>
      <w:r>
        <w:rPr>
          <w:bCs/>
          <w:b/>
        </w:rPr>
        <w:t xml:space="preserve">.</w:t>
      </w:r>
      <w:r>
        <w:t xml:space="preserve">Deși succesul platformei demonstrează eficiența „înțelepciunii maselor” în evaluarea AI-ului, utilitatea sa este limitată pentru dezvoltatori: LMSYS este un instrument de clasificare a modelelor, nu un mediu de lucru. Nu oferă funcționalități de salvare, versionare sau optimizare iterativă a prompturilor folosite.</w:t>
      </w:r>
    </w:p>
    <w:p>
      <w:pPr>
        <w:pStyle w:val="BlockText"/>
      </w:pPr>
      <w:r>
        <w:rPr>
          <w:bCs/>
          <w:b/>
        </w:rPr>
        <w:t xml:space="preserve">PromptLayer</w:t>
      </w:r>
    </w:p>
    <w:p>
      <w:pPr>
        <w:pStyle w:val="FirstParagraph"/>
      </w:pPr>
      <w:r>
        <w:t xml:space="preserve">La polul opus se află platforme precum PromptLayer, care acționează ca un registru de prompturi și middleware pentru aplicațiile AI. Platforma excelează la capitolul versionare, permițând dezvoltatorilor să stocheze diferite iterații ale instrucțiunilor și să urmărească metrici de performanță pentru fiecare apel API (Lomas, 2025) (PromptLayer, 2025). Limitarea majoră a PromptLayer este arhitectura sa închisă. Este un instrument conceput exclusiv pentru uzul individual sau al echipelor restrânse, lipsind cu componenta de comunitate. Nu există un mecanism prin care utilizatori independenți să poată descoperi, testa și valida public prompturile altora.</w:t>
      </w:r>
    </w:p>
    <w:p>
      <w:pPr>
        <w:pStyle w:val="BodyText"/>
      </w:pPr>
      <w:r>
        <w:rPr>
          <w:bCs/>
          <w:b/>
        </w:rPr>
        <w:t xml:space="preserve">LangSmith</w:t>
      </w:r>
    </w:p>
    <w:p>
      <w:pPr>
        <w:pStyle w:val="BodyText"/>
      </w:pPr>
      <w:r>
        <w:t xml:space="preserve">Creat de echipa din spatele popularului framework LangChain, LangSmith este o platformă robustă axată pe observabilitate și debugging. Aceasta include un „Prompt Hub” unde dezvoltatorii pot stoca și gestiona instrucțiuni (LangChain, Inc, 2025). Deși oferă un grad rudimentar de partajare, platforma prezintă un dezavantaj arhitectural sever: este strâns cuplată de ecosistemul LangChain. Această dependență impune o curbă de învățare abruptă și limitează libertatea dezvoltatorilor care doresc o soluție tehnologică agnostică. În plus, îi lipsește un sistem transparent de votare crowd-sourced care să ierarhizeze organic cele mai eficiente prompturi.</w:t>
      </w:r>
    </w:p>
    <w:p>
      <w:pPr>
        <w:pStyle w:val="BodyText"/>
      </w:pPr>
      <w:r>
        <w:rPr>
          <w:bCs/>
          <w:b/>
        </w:rPr>
        <w:t xml:space="preserve">Maxim AI</w:t>
      </w:r>
    </w:p>
    <w:p>
      <w:pPr>
        <w:pStyle w:val="BodyText"/>
      </w:pPr>
      <w:r>
        <w:t xml:space="preserve">Poziționată ca o platformă enterprise end-to-end, Maxim AI se concentrează pe ciclul de viață al aplicațiilor AI la nivel corporativ, oferind testare automatizată și evaluare de calitate bazată pe seturi de date proprii (Maxim AI, 2025). Direcția strictă business-to-business o face inaccesibilă și inadecvată pentru comunitatea largă de dezvoltatori. Sistemul pune accent pe testarea privată, eliminând conceptul de colaborare deschisă, tip open-source, care a stat la baza inovațiilor din ultimul deceniu.</w:t>
      </w:r>
    </w:p>
    <w:p>
      <w:pPr>
        <w:pStyle w:val="BodyText"/>
      </w:pPr>
      <w:r>
        <w:rPr>
          <w:bCs/>
          <w:b/>
        </w:rPr>
        <w:t xml:space="preserve">Identificarea fragmentării pieței și propunerea arhitecturală</w:t>
      </w:r>
    </w:p>
    <w:p>
      <w:pPr>
        <w:pStyle w:val="BodyText"/>
      </w:pPr>
      <w:r>
        <w:t xml:space="preserve">Sintetizând analiza de mai sus, se conturează o lacună arhitecturală și funcțională clară pe piața actuală. Avem platforme excelente pentru votarea descentralizată a modelelor (LMSYS) și instrumente puternice pentru versionarea privată a prompturilor (PromptLayer, Maxim AI), dar nu există nicio soluție unificată care să aducă aceste concepte laolaltă.</w:t>
      </w:r>
    </w:p>
    <w:p>
      <w:pPr>
        <w:pStyle w:val="BodyText"/>
      </w:pPr>
      <w:r>
        <w:t xml:space="preserve">Nu există, așadar, un mediu care să trateze promptul simultan ca pe o componentă software supusă versionării stricte și ca pe un „bun comun” (</w:t>
      </w:r>
      <w:r>
        <w:rPr>
          <w:iCs/>
          <w:i/>
        </w:rPr>
        <w:t xml:space="preserve">open-source asset</w:t>
      </w:r>
      <w:r>
        <w:t xml:space="preserve">) supus validării publice prin vot. Mai mult, lipsește posibilitatea ca o comunitate să colaboreze direct pe același prompt și să îi testeze eficiența concomitent pe mai multe LLM-uri diferite într-o singură interfață.</w:t>
      </w:r>
    </w:p>
    <w:p>
      <w:pPr>
        <w:pStyle w:val="BodyText"/>
      </w:pPr>
      <w:r>
        <w:t xml:space="preserve">Aplicația proiectată și implementată în cadrul acestei lucrări de licență a fost concepută tocmai pentru a umple acest gol. Sistemul propus combină, într-o arhitectură agnostică și accesibilă, următoarele cinci funcționalități esențiale:</w:t>
      </w:r>
    </w:p>
    <w:p>
      <w:pPr>
        <w:numPr>
          <w:ilvl w:val="0"/>
          <w:numId w:val="1007"/>
        </w:numPr>
      </w:pPr>
      <w:r>
        <w:t xml:space="preserve">managementul și versionarea prompturilor;</w:t>
      </w:r>
    </w:p>
    <w:p>
      <w:pPr>
        <w:numPr>
          <w:ilvl w:val="0"/>
          <w:numId w:val="1007"/>
        </w:numPr>
      </w:pPr>
      <w:r>
        <w:t xml:space="preserve">testarea și execuția multi-LLM;</w:t>
      </w:r>
    </w:p>
    <w:p>
      <w:pPr>
        <w:numPr>
          <w:ilvl w:val="0"/>
          <w:numId w:val="1007"/>
        </w:numPr>
      </w:pPr>
      <w:r>
        <w:t xml:space="preserve">colaborarea comunitară deschisă;</w:t>
      </w:r>
    </w:p>
    <w:p>
      <w:pPr>
        <w:numPr>
          <w:ilvl w:val="0"/>
          <w:numId w:val="1007"/>
        </w:numPr>
      </w:pPr>
      <w:r>
        <w:t xml:space="preserve">un sistem de votare hibrid (atât pentru calitatea promptului, cât și pentru performanța modelului care îl execută);</w:t>
      </w:r>
    </w:p>
    <w:p>
      <w:pPr>
        <w:numPr>
          <w:ilvl w:val="0"/>
          <w:numId w:val="1007"/>
        </w:numPr>
      </w:pPr>
      <w:r>
        <w:t xml:space="preserve">independența totală față de framework-uri externe de tip LangChain.</w:t>
      </w:r>
    </w:p>
    <w:bookmarkEnd w:id="35"/>
    <w:bookmarkEnd w:id="36"/>
    <w:bookmarkStart w:id="41" w:name="X8303e6890b7d7da12b65af7ca01a3839b7b46f6"/>
    <w:p>
      <w:pPr>
        <w:pStyle w:val="Heading1"/>
      </w:pPr>
      <w:r>
        <w:t xml:space="preserve">Capitolul 2. Stiva tehnologică: analiză comparativă și justificarea alegerilor arhitecturale</w:t>
      </w:r>
    </w:p>
    <w:p>
      <w:pPr>
        <w:pStyle w:val="FirstParagraph"/>
      </w:pPr>
      <w:r>
        <w:t xml:space="preserve">Capitolul anterior a stabilit contextul tehnologic și economic al aplicațiilor web moderne, a demonstrat impactul direct al performanței asupra veniturilor comerciale și a identificat fragmentarea din ecosistemul actual al ingineriei prompturilor pe care platforma propusă își propune să o umple. Prezentul capitol se concentrează asupra deciziilor tehnice necesare pentru a transforma această viziune într-o implementare funcțională.</w:t>
      </w:r>
    </w:p>
    <w:p>
      <w:pPr>
        <w:pStyle w:val="BodyText"/>
      </w:pPr>
      <w:r>
        <w:t xml:space="preserve">Construirea unei platforme colaborative de prompt engineering impune un set specific de cerințe arhitecturale: randare hibridă pentru a asigura atât performanță de încărcare, cât și indexare optimă; sincronizare în timp real a datelor între utilizatori multipli, fără latență perceptibilă; o interfață accesibilă, consistentă vizual și scalabilă; și un sistem de autentificare securizat, care să respecte principiile moderne de protecție a datelor. Fiecare decizie tehnologică prezentată în cele ce urmează a fost evaluată prin prisma acestor cerințe.</w:t>
      </w:r>
    </w:p>
    <w:bookmarkStart w:id="37" w:name="Xc2a84954abc49d0d85299e53ac7fc59987e4adb"/>
    <w:p>
      <w:pPr>
        <w:pStyle w:val="Heading2"/>
      </w:pPr>
      <w:r>
        <w:t xml:space="preserve">2.1. Ecosistemul JavaScript modern și alegerea framework-ului</w:t>
      </w:r>
    </w:p>
    <w:p>
      <w:pPr>
        <w:pStyle w:val="FirstParagraph"/>
      </w:pPr>
      <w:r>
        <w:t xml:space="preserve">JavaScript a fost creat în 1995 de Brendan Eich într-o perioadă remarcabil de scurtă — doar zece zile — și inițial avea un scop modest: să aducă interactivități elementare paginilor web vizionate prin browserul Netscape Navigator (Severance, 2012). Astazi, JavaScript a devenit omniprezent în industria dezvoltării software. Conform sondajului Stack Overflow Developer Survey 2025 — care a cuprins peste 49.000 de dezvoltatori — 66% dintre respondenți folosesc JavaScript la nivel mondial, păstrând statutul de limbaj cel mai popular din 2011 încoace, cu o singură pauză în 2013–2014 (Stack Overflow, 2025) . De la o simplă unealtă pentru animații web, JavaScript s-a transformat într-o tehnologie centrală pentru aplicațiile enterprise, o evoluție condusă de mai multe inovații arhitecturale semnificative.</w:t>
      </w:r>
    </w:p>
    <w:p>
      <w:pPr>
        <w:pStyle w:val="BodyText"/>
      </w:pPr>
      <w:r>
        <w:t xml:space="preserve">Un moment crucial a fost lansarea Node.js în 2009, care a eliminat bariera dintre client și server, permitând rularea aceluiași limbaj de programare în ambele medii.. Conceptul "write once, run anywhere" s-a transformat dintr-un slogan de marketing într-o realitate operațională, iar Node.js a atins o cotă de utilizare de 48,7% în rândul framework-urilor web, conform aceleiași ediții a sondajului Stack Overflow (Stack Overflow; Statista, 2025) . Consecința directă a fost consolidarea abordării full-stack: un singur programator poate gestiona întregul ciclu de viață al unei funcționalități — de la interogarea bazei de date până la interfața grafică — folosind un singur limbaj.</w:t>
      </w:r>
    </w:p>
    <w:p>
      <w:pPr>
        <w:pStyle w:val="BodyText"/>
      </w:pPr>
      <w:r>
        <w:t xml:space="preserve">Odată cu creșterea complexității aplicațiilor, a apărut o nouă provocare: organizarea și întreținerea unui volum tot mai mare de cod, fără ca adăugarea de noi funcționalități să le compromită pe cele existente. Industria a răspuns prin adoptarea componentizării, o abordare care presupune împărțirea interfeței utilizator în unități logice independente și reutilizabile, fiecare responsabilă pentru o singură funcționalitate. Impactul practic este substantial. Într-o arhitectură tradițională, modificarea unui element vizual prezent de 50 de ori în interfață necesită 50 de intervenții manuale distincte, fiecare o potențială sursă de erori. Cu componentizarea, aceeași modificare se realizează într-o singură locație și se propagă automat în întreaga aplicație. Această abordare constituie fundamentul tuturor framework-urilor JavaScript moderne și, implicit, al stivei tehnologice utilizate în prezenta lucrare.</w:t>
      </w:r>
    </w:p>
    <w:p>
      <w:pPr>
        <w:pStyle w:val="BodyText"/>
      </w:pPr>
      <w:r>
        <w:t xml:space="preserve">Alegerea unui framework frontend nu este doar o decizie tehnică — are și implicații economice directe. Curba de învățare influențează viteza de livrare, dimensiunea comunității determină disponibilitatea soluțiilor, iar ecosistemul de biblioteci afectează costul total de mentenanță. În 2026, piața frontend este dominată de trei soluții majore, fiecare cu o filozofie arhitecturală distinctă.</w:t>
      </w:r>
    </w:p>
    <w:p>
      <w:pPr>
        <w:pStyle w:val="BodyText"/>
      </w:pPr>
      <w:r>
        <w:t xml:space="preserve">Angular, lansat inițial de Google în 2010 și rescris integral în 2016, este un framework complet și rigid, cu răspunsuri prestabilite pentru majoritatea deciziilor arhitecturale. Pentru echipe mari cu procese riguroase, această predictibilitate este un avantaj, dar curba abruptă de învățare — care necesită stăpânirea simultană a TypeScript-ului, a sistemelor de module și a injecției de dependențe — poate încetini semnificativ dezvoltarea în faza inițială. Conform sondajului Stack Overflow 2025, Angular este utilizat de 18,2% dintre dezvoltatori (Stack Overflow, 2025).</w:t>
      </w:r>
    </w:p>
    <w:p>
      <w:pPr>
        <w:pStyle w:val="BodyText"/>
      </w:pPr>
      <w:r>
        <w:t xml:space="preserve">Vue, creat în 2014 de Evan You ca o alternativă progresivă, a fost conceput pentru a extrage din AngularJS elementele utile și a elimina complexitatea redundantă. Documentația sa este considerată una dintre cele mai clare din ecosistemul frontend și curba de învățare este semnificativ mai accesibilă. Cu o cotă de 17,6%, Vue rămâne atractivă pentru proiecte mici și medii, dar adopția corporativă a fost limitată comparativ cu React — reflectată într-un ecosistem mai restrâns și o disponibilitate redusă a dezvoltatorilor experimentați pe piața muncii.</w:t>
      </w:r>
    </w:p>
    <w:p>
      <w:pPr>
        <w:pStyle w:val="BodyText"/>
      </w:pPr>
      <w:r>
        <w:t xml:space="preserve">React, lansat de Meta în 2013, nu este un framework complet ci o bibliotecă axată exclusiv pe stratul de vizualizare. Această distincție este fundamentală — React lasă toate celelalte decizii arhitecturale dezvoltatorului, generând un ecosistem vast de biblioteci pentru aproape orice problemă. React domină constant piața de-a lungul ultimului deceniu. Raportul State of Frontend 2024, realizat pe peste 6.000 de dezvoltatori, indică o utilizare de 69,9% (The Software House, 2024), iar conform Stack Overflow 2025, React deține 44,7% din piață — mai mult decât dublu față de orice competitor.</w:t>
      </w:r>
    </w:p>
    <w:p>
      <w:pPr>
        <w:pStyle w:val="BodyText"/>
      </w:pPr>
      <w:r>
        <w:t xml:space="preserve">Odată ce React a fost selectat ca bibliotecă de bază, limitările aplicațiilor SPA standard au impus o evoluție către meta-framework-uri full-stack care orchestrează randarea, rutarea și logica de server. În ecosistemul React, trei soluții concurează pentru această poziție în 2026, fiecare cu o filozofie distinctă.</w:t>
      </w:r>
    </w:p>
    <w:p>
      <w:pPr>
        <w:pStyle w:val="BodyText"/>
      </w:pPr>
      <w:r>
        <w:t xml:space="preserve">Remix, creat de echipa din spatele React Router și achiziționat de Shopify în 2022, adoptă o abordare server-first: datele sunt preluate pe server prin funcții dedicate (loaders și actions) înainte de randare, iar framework-ul pune accent pe API-urile native ale browserului și progresivitate — paginile funcționează chiar și fără JavaScript.Această filozofie îl face potrivit pentru aplicații cu conținut dinamic intens și formulare complexe. Însă Remix nu oferă nativ generare statică (SSG) sau regenerare incrementală (ISR), iar ecosistemul său de integrări rămâne mai restrâns decât cel al principalului competitor. Pentru o platformă care necesită atât pagini publice indexabile cât și tablouri de bord dinamice cu streaming, absența SSG-ului nativ ar fi reprezentat o limitare concretă.</w:t>
      </w:r>
    </w:p>
    <w:p>
      <w:pPr>
        <w:pStyle w:val="BodyText"/>
      </w:pPr>
      <w:r>
        <w:t xml:space="preserve">TanStack Start, lansat în fază de Release Candidate la sfârșitul anului 2025, este cel mai recent competitor din acest segment. Construit pe TanStack Router și Vite, se diferențiază prin type-safety end-to-end — rutele, funcțiile server și interogările sunt validate la nivel de compilator, reducând semnificativ erorile de runtime. Abordarea sa este „client-first": prioritizează experiența SPA cu capabilități de server opționale, inversând paradigma Next.js. Deși promițător din punct de vedere tehnic, TanStack Start prezintă două limitări critice pentru proiectul de față — nu suportă încă React Server Components și se află într-o fază de stabilizare, cu o comunitate și documentație semnificativ mai reduse comparativ cu alternativele mature.</w:t>
      </w:r>
    </w:p>
    <w:p>
      <w:pPr>
        <w:pStyle w:val="BodyText"/>
      </w:pPr>
      <w:r>
        <w:t xml:space="preserve">Next.js, dezvoltat de Vercel, a devenit standardul de facto al industriei. Raportul State of Frontend 2024 indică o adopție de 52,9% (The Software House, 2024) în ecosistemele complexe, iar oferă suport complet pentru toate modelele de randare — SSR, SSG, ISR și CSR — configurabile la nivel de pagină individuală. React Server Components, streaming prin Suspense boundaries și compilatorul Rust Turbopack accelerează dezvoltarea. Comunitatea Next.js este cea mai mare din segmentul meta-framework-urilor React, cu documentație extinsă și integrări largi. Relevanța pentru această lucrare constă în compatibilitatea nativă cu platforma reactivă Convex și suita de componente Shadcn/UI — capabilități care vor fi demonstrate în subcapitolul următor.</w:t>
      </w:r>
    </w:p>
    <w:bookmarkEnd w:id="37"/>
    <w:bookmarkStart w:id="38" w:name="Xf575efbacbc31162d82ff0a4e9eacbbb4dba639"/>
    <w:p>
      <w:pPr>
        <w:pStyle w:val="Heading2"/>
      </w:pPr>
      <w:r>
        <w:t xml:space="preserve">2.2. Arhitecturi de randare: de la CSR la modelul hibrid Next.js</w:t>
      </w:r>
    </w:p>
    <w:p>
      <w:pPr>
        <w:pStyle w:val="FirstParagraph"/>
      </w:pPr>
      <w:r>
        <w:t xml:space="preserve">Alegerea unei biblioteci frontend precum React rezolvă problema organizării codului prin componentizare, dar introduce imediat o altă provocare arhitecturală fundamentală: modul în care interfața este construită și livrată utilizatorului. În mod implicit, React operează pe baza modelului de randare pe partea clientului (Client-Side Rendering sau CSR). În această abordare, serverul trimite browserului un document HTML aproape complet gol, însoțit de un fișier JavaScript de dimensiuni ridicate. Browserul este obligat să descarce, să analizeze și să execute întregul cod înainte de a putea construi și afișa interfața grafică. Deși această abordare oferă o navigare extrem de fluidă ulterior încărcării inițiale, ea suferă de două dezavantaje critice. Primul constă într-o penalizare severă a optimizării pentru motoarele de căutare, deoarece crawler-elor le este dificil să proceseze conținutul generat dinamic. Al doilea este creșterea timpului necesar până la afișarea primului element vizibil pe ecran – FCP discutat anterior – factor care afectează direct percepția de performanță și, implicit, rata de reținere a utilizatorilor.</w:t>
      </w:r>
    </w:p>
    <w:p>
      <w:pPr>
        <w:pStyle w:val="BodyText"/>
      </w:pPr>
      <w:r>
        <w:t xml:space="preserve">Pentru a contracara aceste limitări tehnice, industria a reintrodus randarea pe partea serverului (Server-Side Rendering sau SSR). În acest model, la fiecare cerere venită de la utilizator, serverul execută codul, interoghează baza de date și generează documentul HTML complet înainte de a-l transmite prin rețea, astfel că utilizatorul vizualizează instantaneu conținutul și motoarele de căutare îl pot indexa impecabil. Totuși, compromisul este transferat direct către infrastructură: serverul trebuie să aștepte rezolvarea tuturor proceselor async înainte de a răspunde, iar costurile operaționale cresc exponențial în condiții de trafic intens. O alternativă distinctă la această problemă o reprezintă generarea de site-uri statice (Static Site Generation sau SSG), unde paginile sunt construite o singură dată în faza de compilare și apoi distribuite global prin rețele de livrare a conținutului. Această metodă garantează performanțe maxime și costuri minime de găzduire, însă utilitatea ei este strict limitată la paginile al căror conținut nu necesită actualizări frecvente.</w:t>
      </w:r>
    </w:p>
    <w:p>
      <w:pPr>
        <w:pStyle w:val="BodyText"/>
      </w:pPr>
      <w:r>
        <w:t xml:space="preserve">Aplicațiile moderne complexe nu pot funcționa pe un singur model de randare — o pagină de landing are nevoi complet diferite față de un dashboard în timp real. Răspunsul arhitectural a fost modelul hibrid, maturizat de Next.js prin React Server Components. Dezvoltatorul poate alege strategia de randare la nivel de pagină sau chiar de componentă: porțiunile statice se randează pe server pentru a reduce bundle-ul JavaScript trimis clientului, iar elementele interactive rămân pe client, în browser. Nu mai e nevoie de un compromis global — fiecare componentă primește exact modul de randare pe care îl necesită.</w:t>
      </w:r>
    </w:p>
    <w:p>
      <w:pPr>
        <w:pStyle w:val="BodyText"/>
      </w:pPr>
      <w:r>
        <w:t xml:space="preserve">Această flexibilitate devine esențială când aplicația integrează modele de limbaj mari. Un răspuns de la un LLM nu vine dintr-o dată ca un query SQL — se produce incremental, token cu token. Dacă am folosi SSR clasic, utilizatorul ar vedea un ecran gol până când modelul termină de generat tot textul, ceea ce ar face experiența inutilizabilă. Next.js rezolvă asta cu SSR streaming prin Suspense boundaries: serverul trimite imediat scheletul paginii și continuă să „curgă" conținutul generat pe măsură ce token-urile sosesc de la API. Utilizatorul vede textul apărând progresiv — exact ca în interfețele ChatGPT sau Claude.</w:t>
      </w:r>
    </w:p>
    <w:p>
      <w:pPr>
        <w:pStyle w:val="BodyText"/>
      </w:pPr>
      <w:r>
        <w:t xml:space="preserve">Platforma dezvoltată în această lucrare folosește toate cele trei modele de randare, fiecare alocat în funcție de context. Pagina publică de prezentare este generată static — se servește instant din CDN și se indexează perfect de motoarele de căutare. Modulul de testare simultană a modelelor AI folosește SSR cu streaming, astfel încât utilizatorul poate compara vizual răspunsurile pe măsură ce se generează, fără să aștepte finalizarea niciunuia. Componenta de votare rulează exclusiv pe client — gestionează starea interactivă local și elimină complet latența rețelei în momentul în care utilizatorul își exprimă opțiunea.</w:t>
      </w:r>
    </w:p>
    <w:bookmarkEnd w:id="38"/>
    <w:bookmarkStart w:id="39" w:name="X5d0a10b2dd9c3e5fdfa5b0d3caa25262c0b7460"/>
    <w:p>
      <w:pPr>
        <w:pStyle w:val="Heading2"/>
      </w:pPr>
      <w:r>
        <w:t xml:space="preserve">2.3. Colaborare în timp real: de la REST la arhitectura reactivă Convex</w:t>
      </w:r>
    </w:p>
    <w:p>
      <w:pPr>
        <w:pStyle w:val="FirstParagraph"/>
      </w:pPr>
      <w:r>
        <w:t xml:space="preserve">Rezolvarea randării interfeței acoperă doar o parte din necesitățile unei aplicații moderne, deoarece provocarea se mută inevitabil către stratul de date și sincronizarea în timp real. În arhitecturile web clasice, modelul de comunicare predominant a fost cerere-răspuns: clientul inițiază un request, serverul răspunde, iar conexiunea se închide. Consecința directă este că, dacă un alt utilizator modifică o resursă în baza de date, primul utilizator nu va vedea schimbarea până nu reîncarcă manual pagina — o experiență fragmentată, complet inacceptabilă pentru interfețele colaborative actuale. Prima soluție adoptată de industrie a fost short polling-ul, o tehnică prin care clientul interoghează automat serverul la intervale regulate pentru a verifica dacă au apărut date noi. Deși simulează o interacțiune live, abordarea este fundamental ineficientă, consumând inutil lățime de bandă și resurse de procesare chiar și în absența oricărei modificări, ceea ce pune o sarcină nejustificată pe infrastructură.</w:t>
      </w:r>
    </w:p>
    <w:p>
      <w:pPr>
        <w:pStyle w:val="BodyText"/>
      </w:pPr>
      <w:r>
        <w:t xml:space="preserve">Alternativa evidentă a fost protocolul WebSocket, un standard care menține o conexiune bidirecțională permanentă între browser și server [20]. Rezolvă problema latenței și elimină request-urile inutile, dar vine cu propria complexitate — servere care trebuie să țină mii de conexiuni deschise simultan, logică elaborată de reconectare la fluctuații de rețea, și un efort de mentenanță care crește odată cu numărul de utilizatori. În esență, problema de eficiență a polling-ului se transformă într-o problemă de infrastructură. Trecerea la o arhitectură reactivă elimină și această barieră, inversând complet rolurile: interfața nu mai cere date de la server, ci baza de date împinge ea modificările către toți clienții conectați, exact când au loc. Clientul declară ce date îl interesează, serverul îl notifică automat la orice schimbare, iar nevoia de cod manual de sincronizare dispare.</w:t>
      </w:r>
    </w:p>
    <w:p>
      <w:pPr>
        <w:pStyle w:val="BodyText"/>
      </w:pPr>
      <w:r>
        <w:t xml:space="preserve">În cadrul acestei lucrări, arhitectura reactivă este implementată prin Convex, o platformă care funcționează ca bază de date nativ reactivă. Față de un setup clasic — server separat, bază de date, strat de caching — Convex combină stocarea, logica de server și sincronizarea în timp real într-un singur sistem. Dacă un utilizator validează un vot pentru un prompt, toți clienții care au acea resursă pe ecran primesc actualizarea instantaneu prin query-uri reactive, fără nicio linie de cod scrisă pentru transport. Integrarea nativă cu Next.js elimină configurările de rețea, iar funcțiile backend, scrise în TypeScript și validate cu scheme Zod, asigură type-safety de la baza de date până la componenta de UI — ceea ce reduce semnificativ erorile la runtime cauzate de date neașteptate.</w:t>
      </w:r>
    </w:p>
    <w:p>
      <w:pPr>
        <w:pStyle w:val="BodyText"/>
      </w:pPr>
      <w:r>
        <w:t xml:space="preserve">Alegerea are și un impact economic direct. Convex funcționează pe un model pay-per-use: capacitatea de calcul scalează cu traficul, fără costuri fixe pentru servere inactive, iar efortul de dezvoltare se mută de la menținerea infrastructurii către logica de business a aplicației. Pentru o platformă colaborativă unde mai mulți utilizatori testează și evaluează simultan prompturi pe diferite LLM-uri, sincronizarea instantanee nu e doar o preferință tehnică — e o necesitate arhitecturală care asigură experiența fluidă, elimină bug-urile de desincronizare și ține costul de operare sub control.</w:t>
      </w:r>
    </w:p>
    <w:bookmarkEnd w:id="39"/>
    <w:bookmarkStart w:id="40" w:name="X66c342799c7ab7483a0436647615e629eadf5c6"/>
    <w:p>
      <w:pPr>
        <w:pStyle w:val="Heading2"/>
      </w:pPr>
      <w:r>
        <w:t xml:space="preserve">2.4. Interfață, accesibilitate și securitate: Tailwind, Shadcn/UI și BetterAuth</w:t>
      </w:r>
    </w:p>
    <w:p>
      <w:pPr>
        <w:pStyle w:val="FirstParagraph"/>
      </w:pPr>
      <w:r>
        <w:t xml:space="preserve">Construirea unui backend robust și sincronizat nu garantează succesul aplicației dacă interfața vizuală devine imposibil de întreținut pe măsură ce crește. Istoric, dezvoltarea web se baza pe fișiere CSS monolitice — o abordare care ducea invariabil la datorie tehnică vizuală, inconsistențe la scară și conflicte de stilizare de fiecare dată când mai mulți dezvoltatori lucrau pe același proiect. Pentru a evita aceste probleme, am adoptat Tailwind CSS, un framework bazat pe principiul utility-first: în loc să definim clase semantice abstracte în fișiere separate, aplicăm stilurile direct pe elementele HTML folosind clase utilitare predefinite. Rezultatul practic este un bundle CSS mai mic, zero cod mort, și garanția că o modificare vizuală afectează doar componenta pe care o vizează — nu restul aplicației.</w:t>
      </w:r>
    </w:p>
    <w:p>
      <w:pPr>
        <w:pStyle w:val="BodyText"/>
      </w:pPr>
      <w:r>
        <w:t xml:space="preserve">Tailwind rezolvă stilizarea, dar construirea de la zero a elementelor complexe de interfață — modale, dropdown-uri, popover-e — consumă timp și introduce riscuri serioase de accesibilitate. Aici intervine Shadcn/UI, o colecție de componente headless construite peste primitivele Radix UI [. Spre deosebire de bibliotecile clasice care impun un design predefinit, componentele headless livrează doar logica de interacțiune și accesibilitatea, lăsând stilizarea complet pe Tailwind. Interfața platformei respectă astfel nativ standardele WCAG 2.1 — navigarea din tastatură, managementul focusului și compatibilitatea cu screen reader-ele funcționează din start, fără refactorizări ulterioare.</w:t>
      </w:r>
    </w:p>
    <w:p>
      <w:pPr>
        <w:pStyle w:val="BodyText"/>
      </w:pPr>
      <w:r>
        <w:t xml:space="preserve">Dincolo de interfață, prima interacțiune reală a utilizatorului cu aplicația este autentificarea — și e exact modulul unde soluțiile scrise de la zero introduc cele mai multe riscuri. Stocarea proprietară a parolelor, adesea vulnerabilă prin algoritmi învechiți ca MD5 sau sesiuni prost gestionate, e o practică descurajată de întreaga industrie. La asta se adaugă „password fatigue" — bariera psihologică care face utilizatorii să abandoneze formularul de înregistrare, crescând inutil costul de achiziție (CAC). Am implementat OAuth 2.0 tocmai pentru a elimina ambele probleme: utilizatorii se conectează cu Google sau GitHub, fără să creeze o parolă nouă, iar credențialele nu ajung niciodată pe serverele noastre.</w:t>
      </w:r>
    </w:p>
    <w:p>
      <w:pPr>
        <w:pStyle w:val="BodyText"/>
      </w:pPr>
      <w:r>
        <w:t xml:space="preserve">Orchestrarea tehnică a fluxurilor de autentificare este gestionată de BetterAuth [26], o bibliotecă scrisă nativ pentru TypeScript care oferă type-safety end-to-end. Validează strict obiectele de sesiune și permisiunile la nivel de tip, ceea ce face ca vulnerabilitățile de escaladare a privilegiilor să fie aproape imposibile la runtime. Arhitectura de securitate urmează principiul Zero Trust: nu stocăm token-uri în localStorage, unde ar fi expuse la atacuri XSS, ci gestionăm sesiunile exclusiv server-side prin cookie-uri cu flag-urile HttpOnly și Secure. Față de serviciile Authentication-as-a-Service, această abordare oferă un avantaj crucial — suveranitatea datelor. Controlul rămâne complet asupra bazei de date, fără vendor lock-in, iar conformitatea cu GDPR este asigurată nativ, nu delegată unui furnizor extern.</w:t>
      </w:r>
    </w:p>
    <w:bookmarkEnd w:id="40"/>
    <w:bookmarkEnd w:id="41"/>
    <w:sectPr w:rsidR="00250653" w:rsidRPr="00141AFF" w:rsidSect="00360E6D">
      <w:pgSz w:h="15840" w:w="12240"/>
      <w:pgMar w:bottom="1134" w:footer="720" w:gutter="0" w:header="720" w:left="1418"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3C83"/>
    <w:multiLevelType w:val="multilevel"/>
    <w:tmpl w:val="78CEDF6C"/>
    <w:lvl w:ilvl="0">
      <w:start w:val="1"/>
      <w:numFmt w:val="decimal"/>
      <w:lvlText w:val="%1."/>
      <w:lvlJc w:val="left"/>
      <w:pPr>
        <w:ind w:hanging="432" w:left="432"/>
      </w:pPr>
      <w:rPr>
        <w:rFonts w:hint="default"/>
      </w:rPr>
    </w:lvl>
    <w:lvl w:ilvl="1">
      <w:start w:val="4"/>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
    <w:nsid w:val="26595A64"/>
    <w:multiLevelType w:val="multilevel"/>
    <w:tmpl w:val="DA4A03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26832EAD"/>
    <w:multiLevelType w:val="multilevel"/>
    <w:tmpl w:val="C6AC2D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28131B60"/>
    <w:multiLevelType w:val="multilevel"/>
    <w:tmpl w:val="CB6A3E86"/>
    <w:lvl w:ilvl="0">
      <w:start w:val="1"/>
      <w:numFmt w:val="decimal"/>
      <w:lvlText w:val="%1."/>
      <w:lvlJc w:val="left"/>
      <w:pPr>
        <w:ind w:hanging="492" w:left="492"/>
      </w:pPr>
      <w:rPr>
        <w:rFonts w:hint="default"/>
      </w:rPr>
    </w:lvl>
    <w:lvl w:ilvl="1">
      <w:start w:val="1"/>
      <w:numFmt w:val="decimal"/>
      <w:lvlText w:val="%1.%2."/>
      <w:lvlJc w:val="left"/>
      <w:pPr>
        <w:ind w:hanging="492" w:left="492"/>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3C3C7BEF"/>
    <w:multiLevelType w:val="multilevel"/>
    <w:tmpl w:val="918ACD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E50347E"/>
    <w:multiLevelType w:val="multilevel"/>
    <w:tmpl w:val="19FEA9E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52A426B5"/>
    <w:multiLevelType w:val="multilevel"/>
    <w:tmpl w:val="451258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6CB76880"/>
    <w:multiLevelType w:val="multilevel"/>
    <w:tmpl w:val="80C813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72C708B6"/>
    <w:multiLevelType w:val="hybridMultilevel"/>
    <w:tmpl w:val="B262D0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22723236" w:numId="1">
    <w:abstractNumId w:val="1"/>
  </w:num>
  <w:num w16cid:durableId="69425840" w:numId="2">
    <w:abstractNumId w:val="7"/>
  </w:num>
  <w:num w16cid:durableId="174347704" w:numId="3">
    <w:abstractNumId w:val="6"/>
  </w:num>
  <w:num w16cid:durableId="21518365" w:numId="4">
    <w:abstractNumId w:val="4"/>
  </w:num>
  <w:num w16cid:durableId="1117799030" w:numId="5">
    <w:abstractNumId w:val="8"/>
  </w:num>
  <w:num w16cid:durableId="220680091" w:numId="6">
    <w:abstractNumId w:val="3"/>
  </w:num>
  <w:num w16cid:durableId="548346781" w:numId="7">
    <w:abstractNumId w:val="2"/>
  </w:num>
  <w:num w16cid:durableId="1043561178" w:numId="8">
    <w:abstractNumId w:val="5"/>
  </w:num>
  <w:num w16cid:durableId="1674526968"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60E6D"/>
    <w:rPr>
      <w:rFonts w:ascii="Times New Roman" w:hAnsi="Times New Roman"/>
      <w:lang w:val="ro-RO"/>
    </w:rPr>
  </w:style>
  <w:style w:styleId="Heading1" w:type="paragraph">
    <w:name w:val="heading 1"/>
    <w:basedOn w:val="Normal"/>
    <w:next w:val="Normal"/>
    <w:link w:val="Heading1Char"/>
    <w:uiPriority w:val="9"/>
    <w:qFormat/>
    <w:rsid w:val="00360E6D"/>
    <w:pPr>
      <w:keepNext/>
      <w:keepLines/>
      <w:spacing w:after="80" w:before="360"/>
      <w:jc w:val="center"/>
      <w:outlineLvl w:val="0"/>
    </w:pPr>
    <w:rPr>
      <w:rFonts w:cstheme="majorBidi" w:eastAsiaTheme="majorEastAsia"/>
      <w:b/>
      <w:sz w:val="32"/>
      <w:szCs w:val="40"/>
    </w:rPr>
  </w:style>
  <w:style w:styleId="Heading2" w:type="paragraph">
    <w:name w:val="heading 2"/>
    <w:basedOn w:val="Normal"/>
    <w:next w:val="Normal"/>
    <w:link w:val="Heading2Char"/>
    <w:uiPriority w:val="9"/>
    <w:unhideWhenUsed/>
    <w:qFormat/>
    <w:rsid w:val="00360E6D"/>
    <w:pPr>
      <w:keepNext/>
      <w:keepLines/>
      <w:spacing w:after="80" w:before="160"/>
      <w:outlineLvl w:val="1"/>
    </w:pPr>
    <w:rPr>
      <w:rFonts w:cstheme="majorBidi" w:eastAsiaTheme="majorEastAsia"/>
      <w:b/>
      <w:sz w:val="28"/>
      <w:szCs w:val="32"/>
    </w:rPr>
  </w:style>
  <w:style w:styleId="Heading3" w:type="paragraph">
    <w:name w:val="heading 3"/>
    <w:basedOn w:val="Normal"/>
    <w:next w:val="Normal"/>
    <w:link w:val="Heading3Char"/>
    <w:uiPriority w:val="9"/>
    <w:semiHidden/>
    <w:unhideWhenUsed/>
    <w:qFormat/>
    <w:rsid w:val="00360E6D"/>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360E6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360E6D"/>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360E6D"/>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60E6D"/>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60E6D"/>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60E6D"/>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60E6D"/>
    <w:rPr>
      <w:rFonts w:ascii="Times New Roman" w:cstheme="majorBidi" w:eastAsiaTheme="majorEastAsia" w:hAnsi="Times New Roman"/>
      <w:b/>
      <w:sz w:val="32"/>
      <w:szCs w:val="40"/>
    </w:rPr>
  </w:style>
  <w:style w:customStyle="1" w:styleId="Heading2Char" w:type="character">
    <w:name w:val="Heading 2 Char"/>
    <w:basedOn w:val="DefaultParagraphFont"/>
    <w:link w:val="Heading2"/>
    <w:uiPriority w:val="9"/>
    <w:rsid w:val="00360E6D"/>
    <w:rPr>
      <w:rFonts w:ascii="Times New Roman" w:cstheme="majorBidi" w:eastAsiaTheme="majorEastAsia" w:hAnsi="Times New Roman"/>
      <w:b/>
      <w:sz w:val="28"/>
      <w:szCs w:val="32"/>
    </w:rPr>
  </w:style>
  <w:style w:customStyle="1" w:styleId="Heading3Char" w:type="character">
    <w:name w:val="Heading 3 Char"/>
    <w:basedOn w:val="DefaultParagraphFont"/>
    <w:link w:val="Heading3"/>
    <w:uiPriority w:val="9"/>
    <w:semiHidden/>
    <w:rsid w:val="00360E6D"/>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60E6D"/>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360E6D"/>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360E6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60E6D"/>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60E6D"/>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60E6D"/>
    <w:rPr>
      <w:rFonts w:cstheme="majorBidi" w:eastAsiaTheme="majorEastAsia"/>
      <w:color w:themeColor="text1" w:themeTint="D8" w:val="272727"/>
    </w:rPr>
  </w:style>
  <w:style w:styleId="Title" w:type="paragraph">
    <w:name w:val="Title"/>
    <w:basedOn w:val="Normal"/>
    <w:next w:val="Normal"/>
    <w:link w:val="TitleChar"/>
    <w:uiPriority w:val="10"/>
    <w:qFormat/>
    <w:rsid w:val="00360E6D"/>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0E6D"/>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60E6D"/>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60E6D"/>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60E6D"/>
    <w:pPr>
      <w:spacing w:before="160"/>
      <w:jc w:val="center"/>
    </w:pPr>
    <w:rPr>
      <w:i/>
      <w:iCs/>
      <w:color w:themeColor="text1" w:themeTint="BF" w:val="404040"/>
    </w:rPr>
  </w:style>
  <w:style w:customStyle="1" w:styleId="QuoteChar" w:type="character">
    <w:name w:val="Quote Char"/>
    <w:basedOn w:val="DefaultParagraphFont"/>
    <w:link w:val="Quote"/>
    <w:uiPriority w:val="29"/>
    <w:rsid w:val="00360E6D"/>
    <w:rPr>
      <w:i/>
      <w:iCs/>
      <w:color w:themeColor="text1" w:themeTint="BF" w:val="404040"/>
    </w:rPr>
  </w:style>
  <w:style w:styleId="ListParagraph" w:type="paragraph">
    <w:name w:val="List Paragraph"/>
    <w:basedOn w:val="Normal"/>
    <w:uiPriority w:val="34"/>
    <w:qFormat/>
    <w:rsid w:val="00360E6D"/>
    <w:pPr>
      <w:ind w:left="720"/>
      <w:contextualSpacing/>
    </w:pPr>
  </w:style>
  <w:style w:styleId="IntenseEmphasis" w:type="character">
    <w:name w:val="Intense Emphasis"/>
    <w:basedOn w:val="DefaultParagraphFont"/>
    <w:uiPriority w:val="21"/>
    <w:qFormat/>
    <w:rsid w:val="00360E6D"/>
    <w:rPr>
      <w:i/>
      <w:iCs/>
      <w:color w:themeColor="accent1" w:themeShade="BF" w:val="0F4761"/>
    </w:rPr>
  </w:style>
  <w:style w:styleId="IntenseQuote" w:type="paragraph">
    <w:name w:val="Intense Quote"/>
    <w:basedOn w:val="Normal"/>
    <w:next w:val="Normal"/>
    <w:link w:val="IntenseQuoteChar"/>
    <w:uiPriority w:val="30"/>
    <w:qFormat/>
    <w:rsid w:val="00360E6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60E6D"/>
    <w:rPr>
      <w:i/>
      <w:iCs/>
      <w:color w:themeColor="accent1" w:themeShade="BF" w:val="0F4761"/>
    </w:rPr>
  </w:style>
  <w:style w:styleId="IntenseReference" w:type="character">
    <w:name w:val="Intense Reference"/>
    <w:basedOn w:val="DefaultParagraphFont"/>
    <w:uiPriority w:val="32"/>
    <w:qFormat/>
    <w:rsid w:val="00360E6D"/>
    <w:rPr>
      <w:b/>
      <w:bCs/>
      <w:smallCaps/>
      <w:color w:themeColor="accent1" w:themeShade="BF" w:val="0F4761"/>
      <w:spacing w:val="5"/>
    </w:rPr>
  </w:style>
  <w:style w:styleId="Hyperlink" w:type="character">
    <w:name w:val="Hyperlink"/>
    <w:basedOn w:val="DefaultParagraphFont"/>
    <w:uiPriority w:val="99"/>
    <w:unhideWhenUsed/>
    <w:rsid w:val="00360E6D"/>
    <w:rPr>
      <w:color w:themeColor="hyperlink" w:val="467886"/>
      <w:u w:val="single"/>
    </w:rPr>
  </w:style>
  <w:style w:styleId="UnresolvedMention" w:type="character">
    <w:name w:val="Unresolved Mention"/>
    <w:basedOn w:val="DefaultParagraphFont"/>
    <w:uiPriority w:val="99"/>
    <w:semiHidden/>
    <w:unhideWhenUsed/>
    <w:rsid w:val="00360E6D"/>
    <w:rPr>
      <w:color w:val="605E5C"/>
      <w:shd w:color="auto" w:fill="E1DFDD" w:val="clear"/>
    </w:rPr>
  </w:style>
  <w:style w:styleId="Caption" w:type="paragraph">
    <w:name w:val="caption"/>
    <w:basedOn w:val="Normal"/>
    <w:next w:val="Normal"/>
    <w:uiPriority w:val="35"/>
    <w:unhideWhenUsed/>
    <w:qFormat/>
    <w:rsid w:val="00B40448"/>
    <w:pPr>
      <w:spacing w:after="200" w:line="240" w:lineRule="auto"/>
    </w:pPr>
    <w:rPr>
      <w:i/>
      <w:iCs/>
      <w:color w:themeColor="text2" w:val="0E2841"/>
      <w:sz w:val="18"/>
      <w:szCs w:val="18"/>
    </w:rPr>
  </w:style>
  <w:style w:styleId="FootnoteText" w:type="paragraph">
    <w:name w:val="footnote text"/>
    <w:basedOn w:val="Normal"/>
    <w:link w:val="FootnoteTextChar"/>
    <w:uiPriority w:val="99"/>
    <w:semiHidden/>
    <w:unhideWhenUsed/>
    <w:rsid w:val="009F4227"/>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9F4227"/>
    <w:rPr>
      <w:rFonts w:ascii="Times New Roman" w:hAnsi="Times New Roman"/>
      <w:sz w:val="20"/>
      <w:szCs w:val="20"/>
    </w:rPr>
  </w:style>
  <w:style w:styleId="FootnoteReference" w:type="character">
    <w:name w:val="footnote reference"/>
    <w:basedOn w:val="DefaultParagraphFont"/>
    <w:uiPriority w:val="99"/>
    <w:semiHidden/>
    <w:unhideWhenUsed/>
    <w:rsid w:val="009F4227"/>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49097">
      <w:bodyDiv w:val="1"/>
      <w:marLeft w:val="0"/>
      <w:marRight w:val="0"/>
      <w:marTop w:val="0"/>
      <w:marBottom w:val="0"/>
      <w:divBdr>
        <w:top w:val="none" w:sz="0" w:space="0" w:color="auto"/>
        <w:left w:val="none" w:sz="0" w:space="0" w:color="auto"/>
        <w:bottom w:val="none" w:sz="0" w:space="0" w:color="auto"/>
        <w:right w:val="none" w:sz="0" w:space="0" w:color="auto"/>
      </w:divBdr>
    </w:div>
    <w:div w:id="204684765">
      <w:bodyDiv w:val="1"/>
      <w:marLeft w:val="0"/>
      <w:marRight w:val="0"/>
      <w:marTop w:val="0"/>
      <w:marBottom w:val="0"/>
      <w:divBdr>
        <w:top w:val="none" w:sz="0" w:space="0" w:color="auto"/>
        <w:left w:val="none" w:sz="0" w:space="0" w:color="auto"/>
        <w:bottom w:val="none" w:sz="0" w:space="0" w:color="auto"/>
        <w:right w:val="none" w:sz="0" w:space="0" w:color="auto"/>
      </w:divBdr>
    </w:div>
    <w:div w:id="261762605">
      <w:bodyDiv w:val="1"/>
      <w:marLeft w:val="0"/>
      <w:marRight w:val="0"/>
      <w:marTop w:val="0"/>
      <w:marBottom w:val="0"/>
      <w:divBdr>
        <w:top w:val="none" w:sz="0" w:space="0" w:color="auto"/>
        <w:left w:val="none" w:sz="0" w:space="0" w:color="auto"/>
        <w:bottom w:val="none" w:sz="0" w:space="0" w:color="auto"/>
        <w:right w:val="none" w:sz="0" w:space="0" w:color="auto"/>
      </w:divBdr>
    </w:div>
    <w:div w:id="387536585">
      <w:bodyDiv w:val="1"/>
      <w:marLeft w:val="0"/>
      <w:marRight w:val="0"/>
      <w:marTop w:val="0"/>
      <w:marBottom w:val="0"/>
      <w:divBdr>
        <w:top w:val="none" w:sz="0" w:space="0" w:color="auto"/>
        <w:left w:val="none" w:sz="0" w:space="0" w:color="auto"/>
        <w:bottom w:val="none" w:sz="0" w:space="0" w:color="auto"/>
        <w:right w:val="none" w:sz="0" w:space="0" w:color="auto"/>
      </w:divBdr>
    </w:div>
    <w:div w:id="531966756">
      <w:bodyDiv w:val="1"/>
      <w:marLeft w:val="0"/>
      <w:marRight w:val="0"/>
      <w:marTop w:val="0"/>
      <w:marBottom w:val="0"/>
      <w:divBdr>
        <w:top w:val="none" w:sz="0" w:space="0" w:color="auto"/>
        <w:left w:val="none" w:sz="0" w:space="0" w:color="auto"/>
        <w:bottom w:val="none" w:sz="0" w:space="0" w:color="auto"/>
        <w:right w:val="none" w:sz="0" w:space="0" w:color="auto"/>
      </w:divBdr>
    </w:div>
    <w:div w:id="742683052">
      <w:bodyDiv w:val="1"/>
      <w:marLeft w:val="0"/>
      <w:marRight w:val="0"/>
      <w:marTop w:val="0"/>
      <w:marBottom w:val="0"/>
      <w:divBdr>
        <w:top w:val="none" w:sz="0" w:space="0" w:color="auto"/>
        <w:left w:val="none" w:sz="0" w:space="0" w:color="auto"/>
        <w:bottom w:val="none" w:sz="0" w:space="0" w:color="auto"/>
        <w:right w:val="none" w:sz="0" w:space="0" w:color="auto"/>
      </w:divBdr>
    </w:div>
    <w:div w:id="915356613">
      <w:bodyDiv w:val="1"/>
      <w:marLeft w:val="0"/>
      <w:marRight w:val="0"/>
      <w:marTop w:val="0"/>
      <w:marBottom w:val="0"/>
      <w:divBdr>
        <w:top w:val="none" w:sz="0" w:space="0" w:color="auto"/>
        <w:left w:val="none" w:sz="0" w:space="0" w:color="auto"/>
        <w:bottom w:val="none" w:sz="0" w:space="0" w:color="auto"/>
        <w:right w:val="none" w:sz="0" w:space="0" w:color="auto"/>
      </w:divBdr>
    </w:div>
    <w:div w:id="934751613">
      <w:bodyDiv w:val="1"/>
      <w:marLeft w:val="0"/>
      <w:marRight w:val="0"/>
      <w:marTop w:val="0"/>
      <w:marBottom w:val="0"/>
      <w:divBdr>
        <w:top w:val="none" w:sz="0" w:space="0" w:color="auto"/>
        <w:left w:val="none" w:sz="0" w:space="0" w:color="auto"/>
        <w:bottom w:val="none" w:sz="0" w:space="0" w:color="auto"/>
        <w:right w:val="none" w:sz="0" w:space="0" w:color="auto"/>
      </w:divBdr>
    </w:div>
    <w:div w:id="938416177">
      <w:bodyDiv w:val="1"/>
      <w:marLeft w:val="0"/>
      <w:marRight w:val="0"/>
      <w:marTop w:val="0"/>
      <w:marBottom w:val="0"/>
      <w:divBdr>
        <w:top w:val="none" w:sz="0" w:space="0" w:color="auto"/>
        <w:left w:val="none" w:sz="0" w:space="0" w:color="auto"/>
        <w:bottom w:val="none" w:sz="0" w:space="0" w:color="auto"/>
        <w:right w:val="none" w:sz="0" w:space="0" w:color="auto"/>
      </w:divBdr>
    </w:div>
    <w:div w:id="1140883168">
      <w:bodyDiv w:val="1"/>
      <w:marLeft w:val="0"/>
      <w:marRight w:val="0"/>
      <w:marTop w:val="0"/>
      <w:marBottom w:val="0"/>
      <w:divBdr>
        <w:top w:val="none" w:sz="0" w:space="0" w:color="auto"/>
        <w:left w:val="none" w:sz="0" w:space="0" w:color="auto"/>
        <w:bottom w:val="none" w:sz="0" w:space="0" w:color="auto"/>
        <w:right w:val="none" w:sz="0" w:space="0" w:color="auto"/>
      </w:divBdr>
    </w:div>
    <w:div w:id="1144079688">
      <w:bodyDiv w:val="1"/>
      <w:marLeft w:val="0"/>
      <w:marRight w:val="0"/>
      <w:marTop w:val="0"/>
      <w:marBottom w:val="0"/>
      <w:divBdr>
        <w:top w:val="none" w:sz="0" w:space="0" w:color="auto"/>
        <w:left w:val="none" w:sz="0" w:space="0" w:color="auto"/>
        <w:bottom w:val="none" w:sz="0" w:space="0" w:color="auto"/>
        <w:right w:val="none" w:sz="0" w:space="0" w:color="auto"/>
      </w:divBdr>
    </w:div>
    <w:div w:id="1287736750">
      <w:bodyDiv w:val="1"/>
      <w:marLeft w:val="0"/>
      <w:marRight w:val="0"/>
      <w:marTop w:val="0"/>
      <w:marBottom w:val="0"/>
      <w:divBdr>
        <w:top w:val="none" w:sz="0" w:space="0" w:color="auto"/>
        <w:left w:val="none" w:sz="0" w:space="0" w:color="auto"/>
        <w:bottom w:val="none" w:sz="0" w:space="0" w:color="auto"/>
        <w:right w:val="none" w:sz="0" w:space="0" w:color="auto"/>
      </w:divBdr>
    </w:div>
    <w:div w:id="1349403575">
      <w:bodyDiv w:val="1"/>
      <w:marLeft w:val="0"/>
      <w:marRight w:val="0"/>
      <w:marTop w:val="0"/>
      <w:marBottom w:val="0"/>
      <w:divBdr>
        <w:top w:val="none" w:sz="0" w:space="0" w:color="auto"/>
        <w:left w:val="none" w:sz="0" w:space="0" w:color="auto"/>
        <w:bottom w:val="none" w:sz="0" w:space="0" w:color="auto"/>
        <w:right w:val="none" w:sz="0" w:space="0" w:color="auto"/>
      </w:divBdr>
    </w:div>
    <w:div w:id="1401250971">
      <w:bodyDiv w:val="1"/>
      <w:marLeft w:val="0"/>
      <w:marRight w:val="0"/>
      <w:marTop w:val="0"/>
      <w:marBottom w:val="0"/>
      <w:divBdr>
        <w:top w:val="none" w:sz="0" w:space="0" w:color="auto"/>
        <w:left w:val="none" w:sz="0" w:space="0" w:color="auto"/>
        <w:bottom w:val="none" w:sz="0" w:space="0" w:color="auto"/>
        <w:right w:val="none" w:sz="0" w:space="0" w:color="auto"/>
      </w:divBdr>
    </w:div>
    <w:div w:id="1406105493">
      <w:bodyDiv w:val="1"/>
      <w:marLeft w:val="0"/>
      <w:marRight w:val="0"/>
      <w:marTop w:val="0"/>
      <w:marBottom w:val="0"/>
      <w:divBdr>
        <w:top w:val="none" w:sz="0" w:space="0" w:color="auto"/>
        <w:left w:val="none" w:sz="0" w:space="0" w:color="auto"/>
        <w:bottom w:val="none" w:sz="0" w:space="0" w:color="auto"/>
        <w:right w:val="none" w:sz="0" w:space="0" w:color="auto"/>
      </w:divBdr>
    </w:div>
    <w:div w:id="1423144434">
      <w:bodyDiv w:val="1"/>
      <w:marLeft w:val="0"/>
      <w:marRight w:val="0"/>
      <w:marTop w:val="0"/>
      <w:marBottom w:val="0"/>
      <w:divBdr>
        <w:top w:val="none" w:sz="0" w:space="0" w:color="auto"/>
        <w:left w:val="none" w:sz="0" w:space="0" w:color="auto"/>
        <w:bottom w:val="none" w:sz="0" w:space="0" w:color="auto"/>
        <w:right w:val="none" w:sz="0" w:space="0" w:color="auto"/>
      </w:divBdr>
    </w:div>
    <w:div w:id="1613393398">
      <w:bodyDiv w:val="1"/>
      <w:marLeft w:val="0"/>
      <w:marRight w:val="0"/>
      <w:marTop w:val="0"/>
      <w:marBottom w:val="0"/>
      <w:divBdr>
        <w:top w:val="none" w:sz="0" w:space="0" w:color="auto"/>
        <w:left w:val="none" w:sz="0" w:space="0" w:color="auto"/>
        <w:bottom w:val="none" w:sz="0" w:space="0" w:color="auto"/>
        <w:right w:val="none" w:sz="0" w:space="0" w:color="auto"/>
      </w:divBdr>
    </w:div>
    <w:div w:id="1691831203">
      <w:bodyDiv w:val="1"/>
      <w:marLeft w:val="0"/>
      <w:marRight w:val="0"/>
      <w:marTop w:val="0"/>
      <w:marBottom w:val="0"/>
      <w:divBdr>
        <w:top w:val="none" w:sz="0" w:space="0" w:color="auto"/>
        <w:left w:val="none" w:sz="0" w:space="0" w:color="auto"/>
        <w:bottom w:val="none" w:sz="0" w:space="0" w:color="auto"/>
        <w:right w:val="none" w:sz="0" w:space="0" w:color="auto"/>
      </w:divBdr>
    </w:div>
    <w:div w:id="1786802268">
      <w:bodyDiv w:val="1"/>
      <w:marLeft w:val="0"/>
      <w:marRight w:val="0"/>
      <w:marTop w:val="0"/>
      <w:marBottom w:val="0"/>
      <w:divBdr>
        <w:top w:val="none" w:sz="0" w:space="0" w:color="auto"/>
        <w:left w:val="none" w:sz="0" w:space="0" w:color="auto"/>
        <w:bottom w:val="none" w:sz="0" w:space="0" w:color="auto"/>
        <w:right w:val="none" w:sz="0" w:space="0" w:color="auto"/>
      </w:divBdr>
    </w:div>
    <w:div w:id="1835484832">
      <w:bodyDiv w:val="1"/>
      <w:marLeft w:val="0"/>
      <w:marRight w:val="0"/>
      <w:marTop w:val="0"/>
      <w:marBottom w:val="0"/>
      <w:divBdr>
        <w:top w:val="none" w:sz="0" w:space="0" w:color="auto"/>
        <w:left w:val="none" w:sz="0" w:space="0" w:color="auto"/>
        <w:bottom w:val="none" w:sz="0" w:space="0" w:color="auto"/>
        <w:right w:val="none" w:sz="0" w:space="0" w:color="auto"/>
      </w:divBdr>
    </w:div>
    <w:div w:id="1857422689">
      <w:bodyDiv w:val="1"/>
      <w:marLeft w:val="0"/>
      <w:marRight w:val="0"/>
      <w:marTop w:val="0"/>
      <w:marBottom w:val="0"/>
      <w:divBdr>
        <w:top w:val="none" w:sz="0" w:space="0" w:color="auto"/>
        <w:left w:val="none" w:sz="0" w:space="0" w:color="auto"/>
        <w:bottom w:val="none" w:sz="0" w:space="0" w:color="auto"/>
        <w:right w:val="none" w:sz="0" w:space="0" w:color="auto"/>
      </w:divBdr>
    </w:div>
    <w:div w:id="1865287039">
      <w:bodyDiv w:val="1"/>
      <w:marLeft w:val="0"/>
      <w:marRight w:val="0"/>
      <w:marTop w:val="0"/>
      <w:marBottom w:val="0"/>
      <w:divBdr>
        <w:top w:val="none" w:sz="0" w:space="0" w:color="auto"/>
        <w:left w:val="none" w:sz="0" w:space="0" w:color="auto"/>
        <w:bottom w:val="none" w:sz="0" w:space="0" w:color="auto"/>
        <w:right w:val="none" w:sz="0" w:space="0" w:color="auto"/>
      </w:divBdr>
    </w:div>
    <w:div w:id="1871260617">
      <w:bodyDiv w:val="1"/>
      <w:marLeft w:val="0"/>
      <w:marRight w:val="0"/>
      <w:marTop w:val="0"/>
      <w:marBottom w:val="0"/>
      <w:divBdr>
        <w:top w:val="none" w:sz="0" w:space="0" w:color="auto"/>
        <w:left w:val="none" w:sz="0" w:space="0" w:color="auto"/>
        <w:bottom w:val="none" w:sz="0" w:space="0" w:color="auto"/>
        <w:right w:val="none" w:sz="0" w:space="0" w:color="auto"/>
      </w:divBdr>
    </w:div>
    <w:div w:id="1936667706">
      <w:bodyDiv w:val="1"/>
      <w:marLeft w:val="0"/>
      <w:marRight w:val="0"/>
      <w:marTop w:val="0"/>
      <w:marBottom w:val="0"/>
      <w:divBdr>
        <w:top w:val="none" w:sz="0" w:space="0" w:color="auto"/>
        <w:left w:val="none" w:sz="0" w:space="0" w:color="auto"/>
        <w:bottom w:val="none" w:sz="0" w:space="0" w:color="auto"/>
        <w:right w:val="none" w:sz="0" w:space="0" w:color="auto"/>
      </w:divBdr>
    </w:div>
    <w:div w:id="2041124285">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119371248">
      <w:bodyDiv w:val="1"/>
      <w:marLeft w:val="0"/>
      <w:marRight w:val="0"/>
      <w:marTop w:val="0"/>
      <w:marBottom w:val="0"/>
      <w:divBdr>
        <w:top w:val="none" w:sz="0" w:space="0" w:color="auto"/>
        <w:left w:val="none" w:sz="0" w:space="0" w:color="auto"/>
        <w:bottom w:val="none" w:sz="0" w:space="0" w:color="auto"/>
        <w:right w:val="none" w:sz="0" w:space="0" w:color="auto"/>
      </w:divBdr>
    </w:div>
    <w:div w:id="21320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hyperlink" Id="rId26" Target="http://next.js" TargetMode="External" /></Relationships>
</file>

<file path=word/_rels/footnotes.xml.rels><?xml version="1.0" encoding="UTF-8"?><Relationships xmlns="http://schemas.openxmlformats.org/package/2006/relationships"><Relationship Type="http://schemas.openxmlformats.org/officeDocument/2006/relationships/hyperlink" Id="rId26" Target="http://next.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6696</Words>
  <Characters>38168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2026-04-26T13:39:10Z</dcterms:created>
  <dcterms:modified xsi:type="dcterms:W3CDTF">2026-04-26T13:39:10Z</dcterms:modified>
</cp:coreProperties>
</file>

<file path=docProps/custom.xml><?xml version="1.0" encoding="utf-8"?>
<Properties xmlns="http://schemas.openxmlformats.org/officeDocument/2006/custom-properties" xmlns:vt="http://schemas.openxmlformats.org/officeDocument/2006/docPropsVTypes"/>
</file>