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least privilege access and separation of duties to reduce insider risk. Deploy encryption for all customer and payment data. 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Introduce IDS/IPS, centralized password management, and stronger password policies. Establish regular backups and a disaster recovery plan. 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full asset inventory and data classification for GDPR/PCI DSS compliance. 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access controls to limit exposure of PII/SPII. 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Formalize a maintenance schedule for legacy systems to reduce operational risk.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priority: address critical gaps in access control, encryption, and recovery planning to reduce overall security and compliance risk.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