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0" w:space="8" w:color="1E3A6E"/>
        </w:pBdr>
        <w:spacing w:before="0" w:after="80"/>
        <w:jc w:val="center"/>
        <w:rPr/>
      </w:pPr>
      <w:r>
        <w:rPr>
          <w:rFonts w:eastAsia="Calibri" w:cs="Calibri"/>
          <w:b/>
          <w:bCs/>
          <w:color w:val="1E3A6E"/>
          <w:sz w:val="34"/>
          <w:szCs w:val="34"/>
        </w:rPr>
        <w:t>Well-Being Determinants: Ecosystem Analysis</w:t>
      </w:r>
    </w:p>
    <w:p>
      <w:pPr>
        <w:pStyle w:val="Normal"/>
        <w:spacing w:before="60" w:after="20"/>
        <w:jc w:val="center"/>
        <w:rPr/>
      </w:pPr>
      <w:r>
        <w:rPr>
          <w:rFonts w:eastAsia="Calibri" w:cs="Calibri"/>
          <w:i/>
          <w:iCs/>
          <w:color w:val="2D5299"/>
          <w:sz w:val="20"/>
          <w:szCs w:val="20"/>
        </w:rPr>
        <w:t>Course: Research on Well-Being Science and Digital Social-Emotional Learning</w:t>
      </w:r>
    </w:p>
    <w:p>
      <w:pPr>
        <w:pStyle w:val="Normal"/>
        <w:spacing w:before="0" w:after="80"/>
        <w:jc w:val="center"/>
        <w:rPr/>
      </w:pPr>
      <w:r>
        <w:rPr>
          <w:rFonts w:eastAsia="Calibri" w:cs="Calibri"/>
          <w:color w:val="444444"/>
          <w:sz w:val="18"/>
          <w:szCs w:val="18"/>
        </w:rPr>
        <w:t>Group Assignment</w:t>
      </w:r>
    </w:p>
    <w:tbl>
      <w:tblPr>
        <w:tblW w:w="7200" w:type="dxa"/>
        <w:jc w:val="left"/>
        <w:tblInd w:w="0" w:type="dxa"/>
        <w:tblLayout w:type="fixed"/>
        <w:tblCellMar>
          <w:top w:w="80" w:type="dxa"/>
          <w:left w:w="100" w:type="dxa"/>
          <w:bottom w:w="80" w:type="dxa"/>
          <w:right w:w="80" w:type="dxa"/>
        </w:tblCellMar>
      </w:tblPr>
      <w:tblGrid>
        <w:gridCol w:w="498"/>
        <w:gridCol w:w="4202"/>
        <w:gridCol w:w="2500"/>
      </w:tblGrid>
      <w:tr>
        <w:trPr>
          <w:tblHeader w:val="true"/>
        </w:trPr>
        <w:tc>
          <w:tcPr>
            <w:tcW w:w="498" w:type="dxa"/>
            <w:tcBorders>
              <w:top w:val="single" w:sz="4" w:space="0" w:color="1E3A6E"/>
              <w:left w:val="single" w:sz="4" w:space="0" w:color="1E3A6E"/>
              <w:bottom w:val="single" w:sz="4" w:space="0" w:color="1E3A6E"/>
              <w:right w:val="single" w:sz="4" w:space="0" w:color="1E3A6E"/>
            </w:tcBorders>
            <w:shd w:fill="1E3A6E" w:val="clear"/>
          </w:tcPr>
          <w:p>
            <w:pPr>
              <w:pStyle w:val="Normal"/>
              <w:widowControl w:val="false"/>
              <w:jc w:val="center"/>
              <w:rPr/>
            </w:pPr>
            <w:r>
              <w:rPr>
                <w:rFonts w:eastAsia="Calibri" w:cs="Calibri"/>
                <w:b/>
                <w:bCs/>
                <w:color w:val="FFFFFF"/>
                <w:sz w:val="18"/>
                <w:szCs w:val="18"/>
              </w:rPr>
              <w:t>#</w:t>
            </w:r>
          </w:p>
        </w:tc>
        <w:tc>
          <w:tcPr>
            <w:tcW w:w="4202" w:type="dxa"/>
            <w:tcBorders>
              <w:top w:val="single" w:sz="4" w:space="0" w:color="1E3A6E"/>
              <w:left w:val="single" w:sz="4" w:space="0" w:color="1E3A6E"/>
              <w:bottom w:val="single" w:sz="4" w:space="0" w:color="1E3A6E"/>
              <w:right w:val="single" w:sz="4" w:space="0" w:color="1E3A6E"/>
            </w:tcBorders>
            <w:shd w:fill="1E3A6E" w:val="clear"/>
            <w:tcMar>
              <w:left w:w="140" w:type="dxa"/>
            </w:tcMar>
          </w:tcPr>
          <w:p>
            <w:pPr>
              <w:pStyle w:val="Normal"/>
              <w:widowControl w:val="false"/>
              <w:rPr/>
            </w:pPr>
            <w:r>
              <w:rPr>
                <w:rFonts w:eastAsia="Calibri" w:cs="Calibri"/>
                <w:b/>
                <w:bCs/>
                <w:color w:val="FFFFFF"/>
                <w:sz w:val="18"/>
                <w:szCs w:val="18"/>
              </w:rPr>
              <w:t>Name</w:t>
            </w:r>
          </w:p>
        </w:tc>
        <w:tc>
          <w:tcPr>
            <w:tcW w:w="2500" w:type="dxa"/>
            <w:tcBorders>
              <w:top w:val="single" w:sz="4" w:space="0" w:color="1E3A6E"/>
              <w:left w:val="single" w:sz="4" w:space="0" w:color="1E3A6E"/>
              <w:bottom w:val="single" w:sz="4" w:space="0" w:color="1E3A6E"/>
              <w:right w:val="single" w:sz="4" w:space="0" w:color="1E3A6E"/>
            </w:tcBorders>
            <w:shd w:fill="1E3A6E" w:val="clear"/>
            <w:tcMar>
              <w:left w:w="140" w:type="dxa"/>
            </w:tcMar>
          </w:tcPr>
          <w:p>
            <w:pPr>
              <w:pStyle w:val="Normal"/>
              <w:widowControl w:val="false"/>
              <w:rPr/>
            </w:pPr>
            <w:r>
              <w:rPr>
                <w:rFonts w:eastAsia="Calibri" w:cs="Calibri"/>
                <w:b/>
                <w:bCs/>
                <w:color w:val="FFFFFF"/>
                <w:sz w:val="18"/>
                <w:szCs w:val="18"/>
              </w:rPr>
              <w:t>Student ID / Role</w:t>
            </w:r>
          </w:p>
        </w:tc>
      </w:tr>
      <w:tr>
        <w:trPr/>
        <w:tc>
          <w:tcPr>
            <w:tcW w:w="498"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jc w:val="center"/>
              <w:rPr/>
            </w:pPr>
            <w:r>
              <w:rPr>
                <w:rFonts w:eastAsia="Calibri" w:cs="Calibri"/>
                <w:color w:val="444444"/>
                <w:sz w:val="20"/>
                <w:szCs w:val="20"/>
              </w:rPr>
              <w:t>1</w:t>
            </w:r>
          </w:p>
        </w:tc>
        <w:tc>
          <w:tcPr>
            <w:tcW w:w="4202" w:type="dxa"/>
            <w:tcBorders>
              <w:top w:val="single" w:sz="4" w:space="0" w:color="C0C8DC"/>
              <w:left w:val="single" w:sz="4" w:space="0" w:color="C0C8DC"/>
              <w:bottom w:val="single" w:sz="4" w:space="0" w:color="C0C8DC"/>
              <w:right w:val="single" w:sz="4" w:space="0" w:color="C0C8DC"/>
            </w:tcBorders>
            <w:shd w:fill="EEF2FA" w:val="clear"/>
            <w:tcMar>
              <w:left w:w="140" w:type="dxa"/>
            </w:tcMar>
          </w:tcPr>
          <w:p>
            <w:pPr>
              <w:pStyle w:val="Normal"/>
              <w:widowControl w:val="false"/>
              <w:rPr/>
            </w:pPr>
            <w:r>
              <w:rPr>
                <w:rFonts w:eastAsia="Calibri" w:cs="Calibri"/>
                <w:color w:val="1A1A1A"/>
                <w:sz w:val="20"/>
                <w:szCs w:val="20"/>
              </w:rPr>
              <w:t>Addis Astatike</w:t>
            </w:r>
          </w:p>
        </w:tc>
        <w:tc>
          <w:tcPr>
            <w:tcW w:w="2500" w:type="dxa"/>
            <w:tcBorders>
              <w:top w:val="single" w:sz="4" w:space="0" w:color="C0C8DC"/>
              <w:left w:val="single" w:sz="4" w:space="0" w:color="C0C8DC"/>
              <w:bottom w:val="single" w:sz="4" w:space="0" w:color="C0C8DC"/>
              <w:right w:val="single" w:sz="4" w:space="0" w:color="C0C8DC"/>
            </w:tcBorders>
            <w:shd w:fill="EEF2FA" w:val="clear"/>
            <w:tcMar>
              <w:left w:w="140" w:type="dxa"/>
            </w:tcMar>
          </w:tcPr>
          <w:p>
            <w:pPr>
              <w:pStyle w:val="Normal"/>
              <w:widowControl w:val="false"/>
              <w:rPr/>
            </w:pPr>
            <w:r>
              <w:rPr>
                <w:rFonts w:eastAsia="Calibri" w:cs="Calibri"/>
                <w:i w:val="false"/>
                <w:iCs w:val="false"/>
                <w:color w:val="2D5299"/>
                <w:sz w:val="20"/>
                <w:szCs w:val="20"/>
              </w:rPr>
              <w:t>D11311809</w:t>
            </w:r>
          </w:p>
        </w:tc>
      </w:tr>
      <w:tr>
        <w:trPr/>
        <w:tc>
          <w:tcPr>
            <w:tcW w:w="498"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jc w:val="center"/>
              <w:rPr/>
            </w:pPr>
            <w:r>
              <w:rPr>
                <w:rFonts w:eastAsia="Calibri" w:cs="Calibri"/>
                <w:color w:val="444444"/>
                <w:sz w:val="20"/>
                <w:szCs w:val="20"/>
              </w:rPr>
              <w:t>2</w:t>
            </w:r>
          </w:p>
        </w:tc>
        <w:tc>
          <w:tcPr>
            <w:tcW w:w="4202" w:type="dxa"/>
            <w:tcBorders>
              <w:top w:val="single" w:sz="4" w:space="0" w:color="C0C8DC"/>
              <w:left w:val="single" w:sz="4" w:space="0" w:color="C0C8DC"/>
              <w:bottom w:val="single" w:sz="4" w:space="0" w:color="C0C8DC"/>
              <w:right w:val="single" w:sz="4" w:space="0" w:color="C0C8DC"/>
            </w:tcBorders>
            <w:shd w:fill="FFFFFF" w:val="clear"/>
            <w:tcMar>
              <w:left w:w="140" w:type="dxa"/>
            </w:tcMar>
          </w:tcPr>
          <w:p>
            <w:pPr>
              <w:pStyle w:val="Normal"/>
              <w:widowControl w:val="false"/>
              <w:rPr/>
            </w:pPr>
            <w:r>
              <w:rPr>
                <w:rFonts w:eastAsia="Calibri" w:cs="Calibri"/>
                <w:color w:val="1A1A1A"/>
                <w:sz w:val="20"/>
                <w:szCs w:val="20"/>
              </w:rPr>
              <w:t>Debir Molalign</w:t>
            </w:r>
          </w:p>
        </w:tc>
        <w:tc>
          <w:tcPr>
            <w:tcW w:w="2500" w:type="dxa"/>
            <w:tcBorders>
              <w:top w:val="single" w:sz="4" w:space="0" w:color="C0C8DC"/>
              <w:left w:val="single" w:sz="4" w:space="0" w:color="C0C8DC"/>
              <w:bottom w:val="single" w:sz="4" w:space="0" w:color="C0C8DC"/>
              <w:right w:val="single" w:sz="4" w:space="0" w:color="C0C8DC"/>
            </w:tcBorders>
            <w:shd w:fill="FFFFFF" w:val="clear"/>
            <w:tcMar>
              <w:left w:w="140" w:type="dxa"/>
            </w:tcMar>
          </w:tcPr>
          <w:p>
            <w:pPr>
              <w:pStyle w:val="Normal"/>
              <w:widowControl w:val="false"/>
              <w:rPr/>
            </w:pPr>
            <w:r>
              <w:rPr>
                <w:rFonts w:eastAsia="Calibri" w:cs="Calibri"/>
                <w:i w:val="false"/>
                <w:iCs w:val="false"/>
                <w:color w:val="2D5299"/>
                <w:sz w:val="20"/>
                <w:szCs w:val="20"/>
              </w:rPr>
              <w:t>D11411811</w:t>
            </w:r>
          </w:p>
        </w:tc>
      </w:tr>
      <w:tr>
        <w:trPr/>
        <w:tc>
          <w:tcPr>
            <w:tcW w:w="498"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jc w:val="center"/>
              <w:rPr/>
            </w:pPr>
            <w:r>
              <w:rPr>
                <w:rFonts w:eastAsia="Calibri" w:cs="Calibri"/>
                <w:color w:val="444444"/>
                <w:sz w:val="20"/>
                <w:szCs w:val="20"/>
              </w:rPr>
              <w:t>3</w:t>
            </w:r>
          </w:p>
        </w:tc>
        <w:tc>
          <w:tcPr>
            <w:tcW w:w="4202" w:type="dxa"/>
            <w:tcBorders>
              <w:top w:val="single" w:sz="4" w:space="0" w:color="C0C8DC"/>
              <w:left w:val="single" w:sz="4" w:space="0" w:color="C0C8DC"/>
              <w:bottom w:val="single" w:sz="4" w:space="0" w:color="C0C8DC"/>
              <w:right w:val="single" w:sz="4" w:space="0" w:color="C0C8DC"/>
            </w:tcBorders>
            <w:shd w:fill="EEF2FA" w:val="clear"/>
            <w:tcMar>
              <w:left w:w="140" w:type="dxa"/>
            </w:tcMar>
          </w:tcPr>
          <w:p>
            <w:pPr>
              <w:pStyle w:val="Normal"/>
              <w:widowControl w:val="false"/>
              <w:rPr/>
            </w:pPr>
            <w:r>
              <w:rPr>
                <w:rFonts w:eastAsia="Calibri" w:cs="Calibri"/>
                <w:color w:val="1A1A1A"/>
                <w:sz w:val="20"/>
                <w:szCs w:val="20"/>
              </w:rPr>
              <w:t>Tarus Kipkalis Dennis</w:t>
            </w:r>
          </w:p>
        </w:tc>
        <w:tc>
          <w:tcPr>
            <w:tcW w:w="2500" w:type="dxa"/>
            <w:tcBorders>
              <w:top w:val="single" w:sz="4" w:space="0" w:color="C0C8DC"/>
              <w:left w:val="single" w:sz="4" w:space="0" w:color="C0C8DC"/>
              <w:bottom w:val="single" w:sz="4" w:space="0" w:color="C0C8DC"/>
              <w:right w:val="single" w:sz="4" w:space="0" w:color="C0C8DC"/>
            </w:tcBorders>
            <w:shd w:fill="EEF2FA" w:val="clear"/>
            <w:tcMar>
              <w:left w:w="140" w:type="dxa"/>
            </w:tcMar>
          </w:tcPr>
          <w:p>
            <w:pPr>
              <w:pStyle w:val="Normal"/>
              <w:widowControl w:val="false"/>
              <w:rPr/>
            </w:pPr>
            <w:r>
              <w:rPr>
                <w:rFonts w:eastAsia="Calibri" w:cs="Calibri"/>
                <w:i w:val="false"/>
                <w:iCs w:val="false"/>
                <w:color w:val="2D5299"/>
                <w:sz w:val="20"/>
                <w:szCs w:val="20"/>
              </w:rPr>
              <w:t>M11411816</w:t>
            </w:r>
          </w:p>
        </w:tc>
      </w:tr>
      <w:tr>
        <w:trPr/>
        <w:tc>
          <w:tcPr>
            <w:tcW w:w="498" w:type="dxa"/>
            <w:tcBorders>
              <w:left w:val="single" w:sz="4" w:space="0" w:color="C0C8DC"/>
              <w:bottom w:val="single" w:sz="4" w:space="0" w:color="C0C8DC"/>
              <w:right w:val="single" w:sz="4" w:space="0" w:color="C0C8DC"/>
            </w:tcBorders>
            <w:shd w:fill="EEF2FA" w:val="clear"/>
          </w:tcPr>
          <w:p>
            <w:pPr>
              <w:pStyle w:val="Normal"/>
              <w:widowControl w:val="false"/>
              <w:jc w:val="center"/>
              <w:rPr/>
            </w:pPr>
            <w:r>
              <w:rPr/>
              <w:t>4</w:t>
            </w:r>
          </w:p>
        </w:tc>
        <w:tc>
          <w:tcPr>
            <w:tcW w:w="4202" w:type="dxa"/>
            <w:tcBorders>
              <w:left w:val="single" w:sz="4" w:space="0" w:color="C0C8DC"/>
              <w:bottom w:val="single" w:sz="4" w:space="0" w:color="C0C8DC"/>
              <w:right w:val="single" w:sz="4" w:space="0" w:color="C0C8DC"/>
            </w:tcBorders>
            <w:shd w:fill="EEF2FA" w:val="clear"/>
            <w:tcMar>
              <w:left w:w="140" w:type="dxa"/>
            </w:tcMar>
          </w:tcPr>
          <w:p>
            <w:pPr>
              <w:pStyle w:val="Normal"/>
              <w:widowControl w:val="false"/>
              <w:rPr/>
            </w:pPr>
            <w:r>
              <w:rPr/>
              <w:t>Mathews Opiyo Opemba</w:t>
            </w:r>
          </w:p>
        </w:tc>
        <w:tc>
          <w:tcPr>
            <w:tcW w:w="2500" w:type="dxa"/>
            <w:tcBorders>
              <w:left w:val="single" w:sz="4" w:space="0" w:color="C0C8DC"/>
              <w:bottom w:val="single" w:sz="4" w:space="0" w:color="C0C8DC"/>
              <w:right w:val="single" w:sz="4" w:space="0" w:color="C0C8DC"/>
            </w:tcBorders>
            <w:shd w:fill="EEF2FA" w:val="clear"/>
            <w:tcMar>
              <w:left w:w="140" w:type="dxa"/>
            </w:tcMar>
          </w:tcPr>
          <w:p>
            <w:pPr>
              <w:pStyle w:val="Normal"/>
              <w:widowControl w:val="false"/>
              <w:rPr/>
            </w:pPr>
            <w:r>
              <w:rPr/>
              <w:t>M11411819</w:t>
            </w:r>
          </w:p>
        </w:tc>
      </w:tr>
      <w:tr>
        <w:trPr/>
        <w:tc>
          <w:tcPr>
            <w:tcW w:w="498"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jc w:val="center"/>
              <w:rPr/>
            </w:pPr>
            <w:r>
              <w:rPr>
                <w:rFonts w:eastAsia="Calibri" w:cs="Calibri"/>
                <w:color w:val="444444"/>
                <w:sz w:val="20"/>
                <w:szCs w:val="20"/>
              </w:rPr>
              <w:t>5</w:t>
            </w:r>
          </w:p>
        </w:tc>
        <w:tc>
          <w:tcPr>
            <w:tcW w:w="4202" w:type="dxa"/>
            <w:tcBorders>
              <w:top w:val="single" w:sz="4" w:space="0" w:color="C0C8DC"/>
              <w:left w:val="single" w:sz="4" w:space="0" w:color="C0C8DC"/>
              <w:bottom w:val="single" w:sz="4" w:space="0" w:color="C0C8DC"/>
              <w:right w:val="single" w:sz="4" w:space="0" w:color="C0C8DC"/>
            </w:tcBorders>
            <w:shd w:fill="FFFFFF" w:val="clear"/>
            <w:tcMar>
              <w:left w:w="140" w:type="dxa"/>
            </w:tcMar>
          </w:tcPr>
          <w:p>
            <w:pPr>
              <w:pStyle w:val="Normal"/>
              <w:widowControl w:val="false"/>
              <w:rPr/>
            </w:pPr>
            <w:r>
              <w:rPr>
                <w:rFonts w:eastAsia="Calibri" w:cs="Calibri"/>
                <w:color w:val="1A1A1A"/>
                <w:sz w:val="20"/>
                <w:szCs w:val="20"/>
              </w:rPr>
              <w:t>Krittawit Krittayaruangroj (Chris)</w:t>
            </w:r>
          </w:p>
        </w:tc>
        <w:tc>
          <w:tcPr>
            <w:tcW w:w="2500" w:type="dxa"/>
            <w:tcBorders>
              <w:top w:val="single" w:sz="4" w:space="0" w:color="C0C8DC"/>
              <w:left w:val="single" w:sz="4" w:space="0" w:color="C0C8DC"/>
              <w:bottom w:val="single" w:sz="4" w:space="0" w:color="C0C8DC"/>
              <w:right w:val="single" w:sz="4" w:space="0" w:color="C0C8DC"/>
            </w:tcBorders>
            <w:shd w:fill="FFFFFF" w:val="clear"/>
            <w:tcMar>
              <w:left w:w="140" w:type="dxa"/>
            </w:tcMar>
          </w:tcPr>
          <w:p>
            <w:pPr>
              <w:pStyle w:val="Normal"/>
              <w:widowControl w:val="false"/>
              <w:rPr/>
            </w:pPr>
            <w:r>
              <w:rPr>
                <w:rFonts w:eastAsia="Calibri" w:cs="Calibri"/>
                <w:i/>
                <w:iCs/>
                <w:color w:val="1A7A7A"/>
                <w:sz w:val="20"/>
                <w:szCs w:val="20"/>
              </w:rPr>
              <w:t>Visiting Researcher</w:t>
            </w:r>
          </w:p>
        </w:tc>
      </w:tr>
    </w:tbl>
    <w:p>
      <w:pPr>
        <w:pStyle w:val="Normal"/>
        <w:spacing w:before="100" w:after="0"/>
        <w:rPr/>
      </w:pPr>
      <w:r>
        <w:rPr/>
      </w:r>
    </w:p>
    <w:p>
      <w:pPr>
        <w:pStyle w:val="Normal"/>
        <w:shd w:val="clear" w:fill="1E3A6E"/>
        <w:spacing w:before="220" w:after="80"/>
        <w:ind w:left="120" w:right="120" w:hanging="0"/>
        <w:rPr/>
      </w:pPr>
      <w:r>
        <w:rPr>
          <w:rFonts w:eastAsia="Calibri" w:cs="Calibri"/>
          <w:b/>
          <w:bCs/>
          <w:color w:val="FFFFFF"/>
          <w:sz w:val="22"/>
          <w:szCs w:val="22"/>
        </w:rPr>
        <w:t xml:space="preserve">Step 1  </w:t>
      </w:r>
      <w:r>
        <w:rPr>
          <w:rFonts w:eastAsia="Calibri" w:cs="Calibri"/>
          <w:b/>
          <w:bCs/>
          <w:color w:val="A8C4E8"/>
          <w:sz w:val="22"/>
          <w:szCs w:val="22"/>
        </w:rPr>
        <w:t>— Brainstorm Determinants</w:t>
      </w:r>
    </w:p>
    <w:p>
      <w:pPr>
        <w:pStyle w:val="Normal"/>
        <w:spacing w:before="60" w:after="80"/>
        <w:rPr/>
      </w:pPr>
      <w:r>
        <w:rPr>
          <w:rFonts w:eastAsia="Calibri" w:cs="Calibri"/>
          <w:i/>
          <w:iCs/>
          <w:color w:val="444444"/>
          <w:sz w:val="19"/>
          <w:szCs w:val="19"/>
        </w:rPr>
        <w:t>Based on the five required categories, the following factors represent a holistic ecosystem of well-being. Each determinant was selected for its cross-domain impact and theoretical grounding.</w:t>
      </w:r>
    </w:p>
    <w:tbl>
      <w:tblPr>
        <w:tblW w:w="9355" w:type="dxa"/>
        <w:jc w:val="left"/>
        <w:tblInd w:w="0" w:type="dxa"/>
        <w:tblLayout w:type="fixed"/>
        <w:tblCellMar>
          <w:top w:w="80" w:type="dxa"/>
          <w:left w:w="120" w:type="dxa"/>
          <w:bottom w:w="80" w:type="dxa"/>
          <w:right w:w="80" w:type="dxa"/>
        </w:tblCellMar>
      </w:tblPr>
      <w:tblGrid>
        <w:gridCol w:w="4064"/>
        <w:gridCol w:w="2781"/>
        <w:gridCol w:w="2510"/>
      </w:tblGrid>
      <w:tr>
        <w:trPr>
          <w:tblHeader w:val="true"/>
        </w:trPr>
        <w:tc>
          <w:tcPr>
            <w:tcW w:w="4064" w:type="dxa"/>
            <w:tcBorders>
              <w:top w:val="single" w:sz="4" w:space="0" w:color="1E3A6E"/>
              <w:left w:val="single" w:sz="4" w:space="0" w:color="1E3A6E"/>
              <w:bottom w:val="single" w:sz="4" w:space="0" w:color="1E3A6E"/>
              <w:right w:val="single" w:sz="4" w:space="0" w:color="1E3A6E"/>
            </w:tcBorders>
            <w:shd w:fill="1E3A6E" w:val="clear"/>
          </w:tcPr>
          <w:p>
            <w:pPr>
              <w:pStyle w:val="Normal"/>
              <w:widowControl w:val="false"/>
              <w:jc w:val="left"/>
              <w:rPr/>
            </w:pPr>
            <w:r>
              <w:rPr>
                <w:rFonts w:eastAsia="Calibri" w:cs="Calibri"/>
                <w:b/>
                <w:bCs/>
                <w:color w:val="FFFFFF"/>
                <w:sz w:val="18"/>
                <w:szCs w:val="18"/>
              </w:rPr>
              <w:t>Determinant</w:t>
            </w:r>
          </w:p>
        </w:tc>
        <w:tc>
          <w:tcPr>
            <w:tcW w:w="2781" w:type="dxa"/>
            <w:tcBorders>
              <w:top w:val="single" w:sz="4" w:space="0" w:color="1E3A6E"/>
              <w:left w:val="single" w:sz="4" w:space="0" w:color="1E3A6E"/>
              <w:bottom w:val="single" w:sz="4" w:space="0" w:color="1E3A6E"/>
              <w:right w:val="single" w:sz="4" w:space="0" w:color="1E3A6E"/>
            </w:tcBorders>
            <w:shd w:fill="1E3A6E" w:val="clear"/>
          </w:tcPr>
          <w:p>
            <w:pPr>
              <w:pStyle w:val="Normal"/>
              <w:widowControl w:val="false"/>
              <w:jc w:val="center"/>
              <w:rPr/>
            </w:pPr>
            <w:r>
              <w:rPr>
                <w:rFonts w:eastAsia="Calibri" w:cs="Calibri"/>
                <w:b/>
                <w:bCs/>
                <w:color w:val="FFFFFF"/>
                <w:sz w:val="18"/>
                <w:szCs w:val="18"/>
              </w:rPr>
              <w:t>Category</w:t>
            </w:r>
          </w:p>
        </w:tc>
        <w:tc>
          <w:tcPr>
            <w:tcW w:w="2510" w:type="dxa"/>
            <w:tcBorders>
              <w:top w:val="single" w:sz="4" w:space="0" w:color="1E3A6E"/>
              <w:left w:val="single" w:sz="4" w:space="0" w:color="1E3A6E"/>
              <w:bottom w:val="single" w:sz="4" w:space="0" w:color="1E3A6E"/>
              <w:right w:val="single" w:sz="4" w:space="0" w:color="1E3A6E"/>
            </w:tcBorders>
            <w:shd w:fill="1E3A6E" w:val="clear"/>
          </w:tcPr>
          <w:p>
            <w:pPr>
              <w:pStyle w:val="Normal"/>
              <w:widowControl w:val="false"/>
              <w:jc w:val="center"/>
              <w:rPr/>
            </w:pPr>
            <w:r>
              <w:rPr>
                <w:rFonts w:eastAsia="Calibri" w:cs="Calibri"/>
                <w:b/>
                <w:bCs/>
                <w:color w:val="FFFFFF"/>
                <w:sz w:val="18"/>
                <w:szCs w:val="18"/>
              </w:rPr>
              <w:t>Direction</w:t>
            </w:r>
          </w:p>
        </w:tc>
      </w:tr>
      <w:tr>
        <w:trPr/>
        <w:tc>
          <w:tcPr>
            <w:tcW w:w="4064"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Cognitive Resilience</w:t>
            </w:r>
          </w:p>
        </w:tc>
        <w:tc>
          <w:tcPr>
            <w:tcW w:w="2781" w:type="dxa"/>
            <w:tcBorders>
              <w:top w:val="single" w:sz="4" w:space="0" w:color="C0C8DC"/>
              <w:left w:val="single" w:sz="4" w:space="0" w:color="C0C8DC"/>
              <w:bottom w:val="single" w:sz="4" w:space="0" w:color="C0C8DC"/>
              <w:right w:val="single" w:sz="4" w:space="0" w:color="C0C8DC"/>
            </w:tcBorders>
            <w:shd w:fill="E8EDF8" w:val="clear"/>
            <w:tcMar>
              <w:left w:w="80" w:type="dxa"/>
            </w:tcMar>
          </w:tcPr>
          <w:p>
            <w:pPr>
              <w:pStyle w:val="Normal"/>
              <w:widowControl w:val="false"/>
              <w:jc w:val="center"/>
              <w:rPr/>
            </w:pPr>
            <w:r>
              <w:rPr>
                <w:rFonts w:eastAsia="Calibri" w:cs="Calibri"/>
                <w:b/>
                <w:bCs/>
                <w:color w:val="3B66B5"/>
                <w:sz w:val="18"/>
                <w:szCs w:val="18"/>
              </w:rPr>
              <w:t>Psychological</w:t>
            </w:r>
          </w:p>
        </w:tc>
        <w:tc>
          <w:tcPr>
            <w:tcW w:w="2510" w:type="dxa"/>
            <w:tcBorders>
              <w:top w:val="single" w:sz="4" w:space="0" w:color="C0C8DC"/>
              <w:left w:val="single" w:sz="4" w:space="0" w:color="C0C8DC"/>
              <w:bottom w:val="single" w:sz="4" w:space="0" w:color="C0C8DC"/>
              <w:right w:val="single" w:sz="4" w:space="0" w:color="C0C8DC"/>
            </w:tcBorders>
            <w:shd w:fill="EEF2FA" w:val="clear"/>
            <w:tcMar>
              <w:left w:w="80" w:type="dxa"/>
            </w:tcMar>
          </w:tcPr>
          <w:p>
            <w:pPr>
              <w:pStyle w:val="Normal"/>
              <w:widowControl w:val="false"/>
              <w:jc w:val="center"/>
              <w:rPr/>
            </w:pPr>
            <w:r>
              <w:rPr>
                <w:rFonts w:eastAsia="Calibri" w:cs="Calibri"/>
                <w:b/>
                <w:bCs/>
                <w:color w:val="1E6B42"/>
                <w:sz w:val="18"/>
                <w:szCs w:val="18"/>
              </w:rPr>
              <w:t>Positive</w:t>
            </w:r>
          </w:p>
        </w:tc>
      </w:tr>
      <w:tr>
        <w:trPr/>
        <w:tc>
          <w:tcPr>
            <w:tcW w:w="4064"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Social Support Networks</w:t>
            </w:r>
          </w:p>
        </w:tc>
        <w:tc>
          <w:tcPr>
            <w:tcW w:w="2781" w:type="dxa"/>
            <w:tcBorders>
              <w:top w:val="single" w:sz="4" w:space="0" w:color="C0C8DC"/>
              <w:left w:val="single" w:sz="4" w:space="0" w:color="C0C8DC"/>
              <w:bottom w:val="single" w:sz="4" w:space="0" w:color="C0C8DC"/>
              <w:right w:val="single" w:sz="4" w:space="0" w:color="C0C8DC"/>
            </w:tcBorders>
            <w:shd w:fill="E5F5EC" w:val="clear"/>
            <w:tcMar>
              <w:left w:w="80" w:type="dxa"/>
            </w:tcMar>
          </w:tcPr>
          <w:p>
            <w:pPr>
              <w:pStyle w:val="Normal"/>
              <w:widowControl w:val="false"/>
              <w:jc w:val="center"/>
              <w:rPr/>
            </w:pPr>
            <w:r>
              <w:rPr>
                <w:rFonts w:eastAsia="Calibri" w:cs="Calibri"/>
                <w:b/>
                <w:bCs/>
                <w:color w:val="1E6B42"/>
                <w:sz w:val="18"/>
                <w:szCs w:val="18"/>
              </w:rPr>
              <w:t>Social</w:t>
            </w:r>
          </w:p>
        </w:tc>
        <w:tc>
          <w:tcPr>
            <w:tcW w:w="2510" w:type="dxa"/>
            <w:tcBorders>
              <w:top w:val="single" w:sz="4" w:space="0" w:color="C0C8DC"/>
              <w:left w:val="single" w:sz="4" w:space="0" w:color="C0C8DC"/>
              <w:bottom w:val="single" w:sz="4" w:space="0" w:color="C0C8DC"/>
              <w:right w:val="single" w:sz="4" w:space="0" w:color="C0C8DC"/>
            </w:tcBorders>
            <w:shd w:fill="FFFFFF" w:val="clear"/>
            <w:tcMar>
              <w:left w:w="80" w:type="dxa"/>
            </w:tcMar>
          </w:tcPr>
          <w:p>
            <w:pPr>
              <w:pStyle w:val="Normal"/>
              <w:widowControl w:val="false"/>
              <w:jc w:val="center"/>
              <w:rPr/>
            </w:pPr>
            <w:r>
              <w:rPr>
                <w:rFonts w:eastAsia="Calibri" w:cs="Calibri"/>
                <w:b/>
                <w:bCs/>
                <w:color w:val="1E6B42"/>
                <w:sz w:val="18"/>
                <w:szCs w:val="18"/>
              </w:rPr>
              <w:t>Positive</w:t>
            </w:r>
          </w:p>
        </w:tc>
      </w:tr>
      <w:tr>
        <w:trPr/>
        <w:tc>
          <w:tcPr>
            <w:tcW w:w="4064"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Income Equality</w:t>
            </w:r>
          </w:p>
        </w:tc>
        <w:tc>
          <w:tcPr>
            <w:tcW w:w="2781" w:type="dxa"/>
            <w:tcBorders>
              <w:top w:val="single" w:sz="4" w:space="0" w:color="C0C8DC"/>
              <w:left w:val="single" w:sz="4" w:space="0" w:color="C0C8DC"/>
              <w:bottom w:val="single" w:sz="4" w:space="0" w:color="C0C8DC"/>
              <w:right w:val="single" w:sz="4" w:space="0" w:color="C0C8DC"/>
            </w:tcBorders>
            <w:shd w:fill="FDF3E3" w:val="clear"/>
            <w:tcMar>
              <w:left w:w="80" w:type="dxa"/>
            </w:tcMar>
          </w:tcPr>
          <w:p>
            <w:pPr>
              <w:pStyle w:val="Normal"/>
              <w:widowControl w:val="false"/>
              <w:jc w:val="center"/>
              <w:rPr/>
            </w:pPr>
            <w:r>
              <w:rPr>
                <w:rFonts w:eastAsia="Calibri" w:cs="Calibri"/>
                <w:b/>
                <w:bCs/>
                <w:color w:val="9A5200"/>
                <w:sz w:val="18"/>
                <w:szCs w:val="18"/>
              </w:rPr>
              <w:t>Structural</w:t>
            </w:r>
          </w:p>
        </w:tc>
        <w:tc>
          <w:tcPr>
            <w:tcW w:w="2510" w:type="dxa"/>
            <w:tcBorders>
              <w:top w:val="single" w:sz="4" w:space="0" w:color="C0C8DC"/>
              <w:left w:val="single" w:sz="4" w:space="0" w:color="C0C8DC"/>
              <w:bottom w:val="single" w:sz="4" w:space="0" w:color="C0C8DC"/>
              <w:right w:val="single" w:sz="4" w:space="0" w:color="C0C8DC"/>
            </w:tcBorders>
            <w:shd w:fill="EEF2FA" w:val="clear"/>
            <w:tcMar>
              <w:left w:w="80" w:type="dxa"/>
            </w:tcMar>
          </w:tcPr>
          <w:p>
            <w:pPr>
              <w:pStyle w:val="Normal"/>
              <w:widowControl w:val="false"/>
              <w:jc w:val="center"/>
              <w:rPr/>
            </w:pPr>
            <w:r>
              <w:rPr>
                <w:rFonts w:eastAsia="Calibri" w:cs="Calibri"/>
                <w:b/>
                <w:bCs/>
                <w:color w:val="1E6B42"/>
                <w:sz w:val="18"/>
                <w:szCs w:val="18"/>
              </w:rPr>
              <w:t>Positive</w:t>
            </w:r>
          </w:p>
        </w:tc>
      </w:tr>
      <w:tr>
        <w:trPr/>
        <w:tc>
          <w:tcPr>
            <w:tcW w:w="4064"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Epigenetic Regulation</w:t>
            </w:r>
          </w:p>
        </w:tc>
        <w:tc>
          <w:tcPr>
            <w:tcW w:w="2781" w:type="dxa"/>
            <w:tcBorders>
              <w:top w:val="single" w:sz="4" w:space="0" w:color="C0C8DC"/>
              <w:left w:val="single" w:sz="4" w:space="0" w:color="C0C8DC"/>
              <w:bottom w:val="single" w:sz="4" w:space="0" w:color="C0C8DC"/>
              <w:right w:val="single" w:sz="4" w:space="0" w:color="C0C8DC"/>
            </w:tcBorders>
            <w:shd w:fill="F2ECF9" w:val="clear"/>
            <w:tcMar>
              <w:left w:w="80" w:type="dxa"/>
            </w:tcMar>
          </w:tcPr>
          <w:p>
            <w:pPr>
              <w:pStyle w:val="Normal"/>
              <w:widowControl w:val="false"/>
              <w:jc w:val="center"/>
              <w:rPr/>
            </w:pPr>
            <w:r>
              <w:rPr>
                <w:rFonts w:eastAsia="Calibri" w:cs="Calibri"/>
                <w:b/>
                <w:bCs/>
                <w:color w:val="5B2D8E"/>
                <w:sz w:val="18"/>
                <w:szCs w:val="18"/>
              </w:rPr>
              <w:t>Biological</w:t>
            </w:r>
          </w:p>
        </w:tc>
        <w:tc>
          <w:tcPr>
            <w:tcW w:w="2510" w:type="dxa"/>
            <w:tcBorders>
              <w:top w:val="single" w:sz="4" w:space="0" w:color="C0C8DC"/>
              <w:left w:val="single" w:sz="4" w:space="0" w:color="C0C8DC"/>
              <w:bottom w:val="single" w:sz="4" w:space="0" w:color="C0C8DC"/>
              <w:right w:val="single" w:sz="4" w:space="0" w:color="C0C8DC"/>
            </w:tcBorders>
            <w:shd w:fill="FFFFFF" w:val="clear"/>
            <w:tcMar>
              <w:left w:w="80" w:type="dxa"/>
            </w:tcMar>
          </w:tcPr>
          <w:p>
            <w:pPr>
              <w:pStyle w:val="Normal"/>
              <w:widowControl w:val="false"/>
              <w:jc w:val="center"/>
              <w:rPr/>
            </w:pPr>
            <w:r>
              <w:rPr>
                <w:rFonts w:eastAsia="Calibri" w:cs="Calibri"/>
                <w:b/>
                <w:bCs/>
                <w:color w:val="9A5200"/>
                <w:sz w:val="18"/>
                <w:szCs w:val="18"/>
              </w:rPr>
              <w:t>Neutral</w:t>
            </w:r>
          </w:p>
        </w:tc>
      </w:tr>
      <w:tr>
        <w:trPr/>
        <w:tc>
          <w:tcPr>
            <w:tcW w:w="4064"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Algorithmic Bias</w:t>
            </w:r>
          </w:p>
        </w:tc>
        <w:tc>
          <w:tcPr>
            <w:tcW w:w="2781" w:type="dxa"/>
            <w:tcBorders>
              <w:top w:val="single" w:sz="4" w:space="0" w:color="C0C8DC"/>
              <w:left w:val="single" w:sz="4" w:space="0" w:color="C0C8DC"/>
              <w:bottom w:val="single" w:sz="4" w:space="0" w:color="C0C8DC"/>
              <w:right w:val="single" w:sz="4" w:space="0" w:color="C0C8DC"/>
            </w:tcBorders>
            <w:shd w:fill="E0F4F4" w:val="clear"/>
            <w:tcMar>
              <w:left w:w="80" w:type="dxa"/>
            </w:tcMar>
          </w:tcPr>
          <w:p>
            <w:pPr>
              <w:pStyle w:val="Normal"/>
              <w:widowControl w:val="false"/>
              <w:jc w:val="center"/>
              <w:rPr/>
            </w:pPr>
            <w:r>
              <w:rPr>
                <w:rFonts w:eastAsia="Calibri" w:cs="Calibri"/>
                <w:b/>
                <w:bCs/>
                <w:color w:val="1A7A7A"/>
                <w:sz w:val="18"/>
                <w:szCs w:val="18"/>
              </w:rPr>
              <w:t>Digital</w:t>
            </w:r>
          </w:p>
        </w:tc>
        <w:tc>
          <w:tcPr>
            <w:tcW w:w="2510" w:type="dxa"/>
            <w:tcBorders>
              <w:top w:val="single" w:sz="4" w:space="0" w:color="C0C8DC"/>
              <w:left w:val="single" w:sz="4" w:space="0" w:color="C0C8DC"/>
              <w:bottom w:val="single" w:sz="4" w:space="0" w:color="C0C8DC"/>
              <w:right w:val="single" w:sz="4" w:space="0" w:color="C0C8DC"/>
            </w:tcBorders>
            <w:shd w:fill="EEF2FA" w:val="clear"/>
            <w:tcMar>
              <w:left w:w="80" w:type="dxa"/>
            </w:tcMar>
          </w:tcPr>
          <w:p>
            <w:pPr>
              <w:pStyle w:val="Normal"/>
              <w:widowControl w:val="false"/>
              <w:jc w:val="center"/>
              <w:rPr/>
            </w:pPr>
            <w:r>
              <w:rPr>
                <w:rFonts w:eastAsia="Calibri" w:cs="Calibri"/>
                <w:b/>
                <w:bCs/>
                <w:color w:val="A0291A"/>
                <w:sz w:val="18"/>
                <w:szCs w:val="18"/>
              </w:rPr>
              <w:t>Negative</w:t>
            </w:r>
          </w:p>
        </w:tc>
      </w:tr>
      <w:tr>
        <w:trPr/>
        <w:tc>
          <w:tcPr>
            <w:tcW w:w="4064"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Job Security</w:t>
            </w:r>
          </w:p>
        </w:tc>
        <w:tc>
          <w:tcPr>
            <w:tcW w:w="2781" w:type="dxa"/>
            <w:tcBorders>
              <w:top w:val="single" w:sz="4" w:space="0" w:color="C0C8DC"/>
              <w:left w:val="single" w:sz="4" w:space="0" w:color="C0C8DC"/>
              <w:bottom w:val="single" w:sz="4" w:space="0" w:color="C0C8DC"/>
              <w:right w:val="single" w:sz="4" w:space="0" w:color="C0C8DC"/>
            </w:tcBorders>
            <w:shd w:fill="FDF3E3" w:val="clear"/>
            <w:tcMar>
              <w:left w:w="80" w:type="dxa"/>
            </w:tcMar>
          </w:tcPr>
          <w:p>
            <w:pPr>
              <w:pStyle w:val="Normal"/>
              <w:widowControl w:val="false"/>
              <w:jc w:val="center"/>
              <w:rPr/>
            </w:pPr>
            <w:r>
              <w:rPr>
                <w:rFonts w:eastAsia="Calibri" w:cs="Calibri"/>
                <w:b/>
                <w:bCs/>
                <w:color w:val="9A5200"/>
                <w:sz w:val="18"/>
                <w:szCs w:val="18"/>
              </w:rPr>
              <w:t>Structural</w:t>
            </w:r>
          </w:p>
        </w:tc>
        <w:tc>
          <w:tcPr>
            <w:tcW w:w="2510" w:type="dxa"/>
            <w:tcBorders>
              <w:top w:val="single" w:sz="4" w:space="0" w:color="C0C8DC"/>
              <w:left w:val="single" w:sz="4" w:space="0" w:color="C0C8DC"/>
              <w:bottom w:val="single" w:sz="4" w:space="0" w:color="C0C8DC"/>
              <w:right w:val="single" w:sz="4" w:space="0" w:color="C0C8DC"/>
            </w:tcBorders>
            <w:shd w:fill="FFFFFF" w:val="clear"/>
            <w:tcMar>
              <w:left w:w="80" w:type="dxa"/>
            </w:tcMar>
          </w:tcPr>
          <w:p>
            <w:pPr>
              <w:pStyle w:val="Normal"/>
              <w:widowControl w:val="false"/>
              <w:jc w:val="center"/>
              <w:rPr/>
            </w:pPr>
            <w:r>
              <w:rPr>
                <w:rFonts w:eastAsia="Calibri" w:cs="Calibri"/>
                <w:b/>
                <w:bCs/>
                <w:color w:val="1E6B42"/>
                <w:sz w:val="18"/>
                <w:szCs w:val="18"/>
              </w:rPr>
              <w:t>Positive</w:t>
            </w:r>
          </w:p>
        </w:tc>
      </w:tr>
      <w:tr>
        <w:trPr/>
        <w:tc>
          <w:tcPr>
            <w:tcW w:w="4064"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Neuroplasticity</w:t>
            </w:r>
          </w:p>
        </w:tc>
        <w:tc>
          <w:tcPr>
            <w:tcW w:w="2781" w:type="dxa"/>
            <w:tcBorders>
              <w:top w:val="single" w:sz="4" w:space="0" w:color="C0C8DC"/>
              <w:left w:val="single" w:sz="4" w:space="0" w:color="C0C8DC"/>
              <w:bottom w:val="single" w:sz="4" w:space="0" w:color="C0C8DC"/>
              <w:right w:val="single" w:sz="4" w:space="0" w:color="C0C8DC"/>
            </w:tcBorders>
            <w:shd w:fill="F2ECF9" w:val="clear"/>
            <w:tcMar>
              <w:left w:w="80" w:type="dxa"/>
            </w:tcMar>
          </w:tcPr>
          <w:p>
            <w:pPr>
              <w:pStyle w:val="Normal"/>
              <w:widowControl w:val="false"/>
              <w:jc w:val="center"/>
              <w:rPr/>
            </w:pPr>
            <w:r>
              <w:rPr>
                <w:rFonts w:eastAsia="Calibri" w:cs="Calibri"/>
                <w:b/>
                <w:bCs/>
                <w:color w:val="5B2D8E"/>
                <w:sz w:val="18"/>
                <w:szCs w:val="18"/>
              </w:rPr>
              <w:t>Biological</w:t>
            </w:r>
          </w:p>
        </w:tc>
        <w:tc>
          <w:tcPr>
            <w:tcW w:w="2510" w:type="dxa"/>
            <w:tcBorders>
              <w:top w:val="single" w:sz="4" w:space="0" w:color="C0C8DC"/>
              <w:left w:val="single" w:sz="4" w:space="0" w:color="C0C8DC"/>
              <w:bottom w:val="single" w:sz="4" w:space="0" w:color="C0C8DC"/>
              <w:right w:val="single" w:sz="4" w:space="0" w:color="C0C8DC"/>
            </w:tcBorders>
            <w:shd w:fill="EEF2FA" w:val="clear"/>
            <w:tcMar>
              <w:left w:w="80" w:type="dxa"/>
            </w:tcMar>
          </w:tcPr>
          <w:p>
            <w:pPr>
              <w:pStyle w:val="Normal"/>
              <w:widowControl w:val="false"/>
              <w:jc w:val="center"/>
              <w:rPr/>
            </w:pPr>
            <w:r>
              <w:rPr>
                <w:rFonts w:eastAsia="Calibri" w:cs="Calibri"/>
                <w:b/>
                <w:bCs/>
                <w:color w:val="1E6B42"/>
                <w:sz w:val="18"/>
                <w:szCs w:val="18"/>
              </w:rPr>
              <w:t>Positive</w:t>
            </w:r>
          </w:p>
        </w:tc>
      </w:tr>
      <w:tr>
        <w:trPr/>
        <w:tc>
          <w:tcPr>
            <w:tcW w:w="4064"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Self-Efficacy</w:t>
            </w:r>
          </w:p>
        </w:tc>
        <w:tc>
          <w:tcPr>
            <w:tcW w:w="2781" w:type="dxa"/>
            <w:tcBorders>
              <w:top w:val="single" w:sz="4" w:space="0" w:color="C0C8DC"/>
              <w:left w:val="single" w:sz="4" w:space="0" w:color="C0C8DC"/>
              <w:bottom w:val="single" w:sz="4" w:space="0" w:color="C0C8DC"/>
              <w:right w:val="single" w:sz="4" w:space="0" w:color="C0C8DC"/>
            </w:tcBorders>
            <w:shd w:fill="E8EDF8" w:val="clear"/>
            <w:tcMar>
              <w:left w:w="80" w:type="dxa"/>
            </w:tcMar>
          </w:tcPr>
          <w:p>
            <w:pPr>
              <w:pStyle w:val="Normal"/>
              <w:widowControl w:val="false"/>
              <w:jc w:val="center"/>
              <w:rPr/>
            </w:pPr>
            <w:r>
              <w:rPr>
                <w:rFonts w:eastAsia="Calibri" w:cs="Calibri"/>
                <w:b/>
                <w:bCs/>
                <w:color w:val="3B66B5"/>
                <w:sz w:val="18"/>
                <w:szCs w:val="18"/>
              </w:rPr>
              <w:t>Psychological</w:t>
            </w:r>
          </w:p>
        </w:tc>
        <w:tc>
          <w:tcPr>
            <w:tcW w:w="2510" w:type="dxa"/>
            <w:tcBorders>
              <w:top w:val="single" w:sz="4" w:space="0" w:color="C0C8DC"/>
              <w:left w:val="single" w:sz="4" w:space="0" w:color="C0C8DC"/>
              <w:bottom w:val="single" w:sz="4" w:space="0" w:color="C0C8DC"/>
              <w:right w:val="single" w:sz="4" w:space="0" w:color="C0C8DC"/>
            </w:tcBorders>
            <w:shd w:fill="FFFFFF" w:val="clear"/>
            <w:tcMar>
              <w:left w:w="80" w:type="dxa"/>
            </w:tcMar>
          </w:tcPr>
          <w:p>
            <w:pPr>
              <w:pStyle w:val="Normal"/>
              <w:widowControl w:val="false"/>
              <w:jc w:val="center"/>
              <w:rPr/>
            </w:pPr>
            <w:r>
              <w:rPr>
                <w:rFonts w:eastAsia="Calibri" w:cs="Calibri"/>
                <w:b/>
                <w:bCs/>
                <w:color w:val="1E6B42"/>
                <w:sz w:val="18"/>
                <w:szCs w:val="18"/>
              </w:rPr>
              <w:t>Positive</w:t>
            </w:r>
          </w:p>
        </w:tc>
      </w:tr>
      <w:tr>
        <w:trPr/>
        <w:tc>
          <w:tcPr>
            <w:tcW w:w="4064"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Urban Green Spaces</w:t>
            </w:r>
          </w:p>
        </w:tc>
        <w:tc>
          <w:tcPr>
            <w:tcW w:w="2781" w:type="dxa"/>
            <w:tcBorders>
              <w:top w:val="single" w:sz="4" w:space="0" w:color="C0C8DC"/>
              <w:left w:val="single" w:sz="4" w:space="0" w:color="C0C8DC"/>
              <w:bottom w:val="single" w:sz="4" w:space="0" w:color="C0C8DC"/>
              <w:right w:val="single" w:sz="4" w:space="0" w:color="C0C8DC"/>
            </w:tcBorders>
            <w:shd w:fill="FDF3E3" w:val="clear"/>
            <w:tcMar>
              <w:left w:w="80" w:type="dxa"/>
            </w:tcMar>
          </w:tcPr>
          <w:p>
            <w:pPr>
              <w:pStyle w:val="Normal"/>
              <w:widowControl w:val="false"/>
              <w:jc w:val="center"/>
              <w:rPr/>
            </w:pPr>
            <w:r>
              <w:rPr>
                <w:rFonts w:eastAsia="Calibri" w:cs="Calibri"/>
                <w:b/>
                <w:bCs/>
                <w:color w:val="9A5200"/>
                <w:sz w:val="18"/>
                <w:szCs w:val="18"/>
              </w:rPr>
              <w:t>Structural</w:t>
            </w:r>
          </w:p>
        </w:tc>
        <w:tc>
          <w:tcPr>
            <w:tcW w:w="2510" w:type="dxa"/>
            <w:tcBorders>
              <w:top w:val="single" w:sz="4" w:space="0" w:color="C0C8DC"/>
              <w:left w:val="single" w:sz="4" w:space="0" w:color="C0C8DC"/>
              <w:bottom w:val="single" w:sz="4" w:space="0" w:color="C0C8DC"/>
              <w:right w:val="single" w:sz="4" w:space="0" w:color="C0C8DC"/>
            </w:tcBorders>
            <w:shd w:fill="EEF2FA" w:val="clear"/>
            <w:tcMar>
              <w:left w:w="80" w:type="dxa"/>
            </w:tcMar>
          </w:tcPr>
          <w:p>
            <w:pPr>
              <w:pStyle w:val="Normal"/>
              <w:widowControl w:val="false"/>
              <w:jc w:val="center"/>
              <w:rPr/>
            </w:pPr>
            <w:r>
              <w:rPr>
                <w:rFonts w:eastAsia="Calibri" w:cs="Calibri"/>
                <w:b/>
                <w:bCs/>
                <w:color w:val="1E6B42"/>
                <w:sz w:val="18"/>
                <w:szCs w:val="18"/>
              </w:rPr>
              <w:t>Positive</w:t>
            </w:r>
          </w:p>
        </w:tc>
      </w:tr>
      <w:tr>
        <w:trPr>
          <w:trHeight w:val="427" w:hRule="atLeast"/>
        </w:trPr>
        <w:tc>
          <w:tcPr>
            <w:tcW w:w="4064"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Digital Connectivity</w:t>
            </w:r>
          </w:p>
        </w:tc>
        <w:tc>
          <w:tcPr>
            <w:tcW w:w="2781" w:type="dxa"/>
            <w:tcBorders>
              <w:top w:val="single" w:sz="4" w:space="0" w:color="C0C8DC"/>
              <w:left w:val="single" w:sz="4" w:space="0" w:color="C0C8DC"/>
              <w:bottom w:val="single" w:sz="4" w:space="0" w:color="C0C8DC"/>
              <w:right w:val="single" w:sz="4" w:space="0" w:color="C0C8DC"/>
            </w:tcBorders>
            <w:shd w:fill="E0F4F4" w:val="clear"/>
            <w:tcMar>
              <w:left w:w="80" w:type="dxa"/>
            </w:tcMar>
          </w:tcPr>
          <w:p>
            <w:pPr>
              <w:pStyle w:val="Normal"/>
              <w:widowControl w:val="false"/>
              <w:jc w:val="center"/>
              <w:rPr/>
            </w:pPr>
            <w:r>
              <w:rPr>
                <w:rFonts w:eastAsia="Calibri" w:cs="Calibri"/>
                <w:b/>
                <w:bCs/>
                <w:color w:val="1A7A7A"/>
                <w:sz w:val="18"/>
                <w:szCs w:val="18"/>
              </w:rPr>
              <w:t>Digital</w:t>
            </w:r>
          </w:p>
        </w:tc>
        <w:tc>
          <w:tcPr>
            <w:tcW w:w="2510" w:type="dxa"/>
            <w:tcBorders>
              <w:top w:val="single" w:sz="4" w:space="0" w:color="C0C8DC"/>
              <w:left w:val="single" w:sz="4" w:space="0" w:color="C0C8DC"/>
              <w:bottom w:val="single" w:sz="4" w:space="0" w:color="C0C8DC"/>
              <w:right w:val="single" w:sz="4" w:space="0" w:color="C0C8DC"/>
            </w:tcBorders>
            <w:shd w:fill="FFFFFF" w:val="clear"/>
            <w:tcMar>
              <w:left w:w="80" w:type="dxa"/>
            </w:tcMar>
          </w:tcPr>
          <w:p>
            <w:pPr>
              <w:pStyle w:val="Normal"/>
              <w:widowControl w:val="false"/>
              <w:jc w:val="center"/>
              <w:rPr/>
            </w:pPr>
            <w:r>
              <w:rPr>
                <w:rFonts w:eastAsia="Calibri" w:cs="Calibri"/>
                <w:b/>
                <w:bCs/>
                <w:color w:val="9A5200"/>
                <w:sz w:val="18"/>
                <w:szCs w:val="18"/>
              </w:rPr>
              <w:t>Neutral</w:t>
            </w:r>
          </w:p>
        </w:tc>
      </w:tr>
    </w:tbl>
    <w:p>
      <w:pPr>
        <w:pStyle w:val="Normal"/>
        <w:spacing w:before="60" w:after="0"/>
        <w:rPr/>
      </w:pPr>
      <w:r>
        <w:rPr/>
      </w:r>
    </w:p>
    <w:p>
      <w:pPr>
        <w:pStyle w:val="Normal"/>
        <w:shd w:val="clear" w:fill="1E3A6E"/>
        <w:spacing w:before="220" w:after="80"/>
        <w:ind w:left="120" w:right="120" w:hanging="0"/>
        <w:rPr/>
      </w:pPr>
      <w:r>
        <w:rPr>
          <w:rFonts w:eastAsia="Calibri" w:cs="Calibri"/>
          <w:b/>
          <w:bCs/>
          <w:color w:val="FFFFFF"/>
          <w:sz w:val="22"/>
          <w:szCs w:val="22"/>
        </w:rPr>
        <w:t xml:space="preserve">Step 2  </w:t>
      </w:r>
      <w:r>
        <w:rPr>
          <w:rFonts w:eastAsia="Calibri" w:cs="Calibri"/>
          <w:b/>
          <w:bCs/>
          <w:color w:val="A8C4E8"/>
          <w:sz w:val="22"/>
          <w:szCs w:val="22"/>
        </w:rPr>
        <w:t>— Connect to Theory</w:t>
      </w:r>
    </w:p>
    <w:p>
      <w:pPr>
        <w:pStyle w:val="Normal"/>
        <w:spacing w:before="60" w:after="80"/>
        <w:rPr/>
      </w:pPr>
      <w:r>
        <w:rPr>
          <w:rFonts w:eastAsia="Calibri" w:cs="Calibri"/>
          <w:i/>
          <w:iCs/>
          <w:color w:val="444444"/>
          <w:sz w:val="19"/>
          <w:szCs w:val="19"/>
        </w:rPr>
        <w:t>Each determinant is mapped to a core psychological or well-being framework, explaining the mechanism through which it shapes individual and collective well-being.</w:t>
      </w:r>
    </w:p>
    <w:tbl>
      <w:tblPr>
        <w:tblW w:w="9450" w:type="dxa"/>
        <w:jc w:val="left"/>
        <w:tblInd w:w="0" w:type="dxa"/>
        <w:tblLayout w:type="fixed"/>
        <w:tblCellMar>
          <w:top w:w="80" w:type="dxa"/>
          <w:left w:w="120" w:type="dxa"/>
          <w:bottom w:w="80" w:type="dxa"/>
          <w:right w:w="80" w:type="dxa"/>
        </w:tblCellMar>
      </w:tblPr>
      <w:tblGrid>
        <w:gridCol w:w="2199"/>
        <w:gridCol w:w="2200"/>
        <w:gridCol w:w="5051"/>
      </w:tblGrid>
      <w:tr>
        <w:trPr>
          <w:tblHeader w:val="true"/>
        </w:trPr>
        <w:tc>
          <w:tcPr>
            <w:tcW w:w="2199" w:type="dxa"/>
            <w:tcBorders>
              <w:top w:val="single" w:sz="4" w:space="0" w:color="1E3A6E"/>
              <w:left w:val="single" w:sz="4" w:space="0" w:color="1E3A6E"/>
              <w:bottom w:val="single" w:sz="4" w:space="0" w:color="1E3A6E"/>
              <w:right w:val="single" w:sz="4" w:space="0" w:color="1E3A6E"/>
            </w:tcBorders>
            <w:shd w:fill="1E3A6E" w:val="clear"/>
          </w:tcPr>
          <w:p>
            <w:pPr>
              <w:pStyle w:val="Normal"/>
              <w:widowControl w:val="false"/>
              <w:rPr/>
            </w:pPr>
            <w:r>
              <w:rPr>
                <w:rFonts w:eastAsia="Calibri" w:cs="Calibri"/>
                <w:b/>
                <w:bCs/>
                <w:color w:val="FFFFFF"/>
                <w:sz w:val="18"/>
                <w:szCs w:val="18"/>
              </w:rPr>
              <w:t>Determinant</w:t>
            </w:r>
          </w:p>
        </w:tc>
        <w:tc>
          <w:tcPr>
            <w:tcW w:w="2200" w:type="dxa"/>
            <w:tcBorders>
              <w:top w:val="single" w:sz="4" w:space="0" w:color="1E3A6E"/>
              <w:left w:val="single" w:sz="4" w:space="0" w:color="1E3A6E"/>
              <w:bottom w:val="single" w:sz="4" w:space="0" w:color="1E3A6E"/>
              <w:right w:val="single" w:sz="4" w:space="0" w:color="1E3A6E"/>
            </w:tcBorders>
            <w:shd w:fill="1E3A6E" w:val="clear"/>
          </w:tcPr>
          <w:p>
            <w:pPr>
              <w:pStyle w:val="Normal"/>
              <w:widowControl w:val="false"/>
              <w:rPr/>
            </w:pPr>
            <w:r>
              <w:rPr>
                <w:rFonts w:eastAsia="Calibri" w:cs="Calibri"/>
                <w:b/>
                <w:bCs/>
                <w:color w:val="FFFFFF"/>
                <w:sz w:val="18"/>
                <w:szCs w:val="18"/>
              </w:rPr>
              <w:t>Theoretical Framework</w:t>
            </w:r>
          </w:p>
        </w:tc>
        <w:tc>
          <w:tcPr>
            <w:tcW w:w="5051" w:type="dxa"/>
            <w:tcBorders>
              <w:top w:val="single" w:sz="4" w:space="0" w:color="1E3A6E"/>
              <w:left w:val="single" w:sz="4" w:space="0" w:color="1E3A6E"/>
              <w:bottom w:val="single" w:sz="4" w:space="0" w:color="1E3A6E"/>
              <w:right w:val="single" w:sz="4" w:space="0" w:color="1E3A6E"/>
            </w:tcBorders>
            <w:shd w:fill="1E3A6E" w:val="clear"/>
          </w:tcPr>
          <w:p>
            <w:pPr>
              <w:pStyle w:val="Normal"/>
              <w:widowControl w:val="false"/>
              <w:rPr/>
            </w:pPr>
            <w:r>
              <w:rPr>
                <w:rFonts w:eastAsia="Calibri" w:cs="Calibri"/>
                <w:b/>
                <w:bCs/>
                <w:color w:val="FFFFFF"/>
                <w:sz w:val="18"/>
                <w:szCs w:val="18"/>
              </w:rPr>
              <w:t>Explanation</w:t>
            </w:r>
          </w:p>
        </w:tc>
      </w:tr>
      <w:tr>
        <w:trPr/>
        <w:tc>
          <w:tcPr>
            <w:tcW w:w="2199"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Income Equality</w:t>
            </w:r>
          </w:p>
        </w:tc>
        <w:tc>
          <w:tcPr>
            <w:tcW w:w="2200" w:type="dxa"/>
            <w:tcBorders>
              <w:top w:val="single" w:sz="4" w:space="0" w:color="C0C8DC"/>
              <w:left w:val="single" w:sz="4" w:space="0" w:color="C0C8DC"/>
              <w:bottom w:val="single" w:sz="4" w:space="0" w:color="C0C8DC"/>
              <w:right w:val="single" w:sz="4" w:space="0" w:color="C0C8DC"/>
            </w:tcBorders>
            <w:shd w:fill="E5F5EC" w:val="clear"/>
          </w:tcPr>
          <w:p>
            <w:pPr>
              <w:pStyle w:val="Normal"/>
              <w:widowControl w:val="false"/>
              <w:rPr/>
            </w:pPr>
            <w:r>
              <w:rPr>
                <w:rFonts w:eastAsia="Calibri" w:cs="Calibri"/>
                <w:b/>
                <w:bCs/>
                <w:color w:val="1E6B42"/>
                <w:sz w:val="18"/>
                <w:szCs w:val="18"/>
              </w:rPr>
              <w:t>Diener's SWB</w:t>
            </w:r>
          </w:p>
        </w:tc>
        <w:tc>
          <w:tcPr>
            <w:tcW w:w="5051"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color w:val="444444"/>
                <w:sz w:val="18"/>
                <w:szCs w:val="18"/>
              </w:rPr>
              <w:t>Financial stability provides the cognitive and material foundation for life satisfaction. Without it, higher-order well-being is structurally constrained.</w:t>
            </w:r>
          </w:p>
        </w:tc>
      </w:tr>
      <w:tr>
        <w:trPr/>
        <w:tc>
          <w:tcPr>
            <w:tcW w:w="2199"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Urban Green Spaces</w:t>
            </w:r>
          </w:p>
        </w:tc>
        <w:tc>
          <w:tcPr>
            <w:tcW w:w="2200"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6B42"/>
                <w:sz w:val="18"/>
                <w:szCs w:val="18"/>
              </w:rPr>
              <w:t>Ryff's PWB</w:t>
            </w:r>
          </w:p>
        </w:tc>
        <w:tc>
          <w:tcPr>
            <w:tcW w:w="5051"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color w:val="444444"/>
                <w:sz w:val="18"/>
                <w:szCs w:val="18"/>
              </w:rPr>
              <w:t>Access to nature directly supports Environmental Mastery — a core pillar of psychological well-being — by restoring attention and reducing stress.</w:t>
            </w:r>
          </w:p>
        </w:tc>
      </w:tr>
      <w:tr>
        <w:trPr/>
        <w:tc>
          <w:tcPr>
            <w:tcW w:w="2199"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Job Security</w:t>
            </w:r>
          </w:p>
        </w:tc>
        <w:tc>
          <w:tcPr>
            <w:tcW w:w="2200" w:type="dxa"/>
            <w:tcBorders>
              <w:top w:val="single" w:sz="4" w:space="0" w:color="C0C8DC"/>
              <w:left w:val="single" w:sz="4" w:space="0" w:color="C0C8DC"/>
              <w:bottom w:val="single" w:sz="4" w:space="0" w:color="C0C8DC"/>
              <w:right w:val="single" w:sz="4" w:space="0" w:color="C0C8DC"/>
            </w:tcBorders>
            <w:shd w:fill="E5F5EC" w:val="clear"/>
          </w:tcPr>
          <w:p>
            <w:pPr>
              <w:pStyle w:val="Normal"/>
              <w:widowControl w:val="false"/>
              <w:rPr/>
            </w:pPr>
            <w:r>
              <w:rPr>
                <w:rFonts w:eastAsia="Calibri" w:cs="Calibri"/>
                <w:b/>
                <w:bCs/>
                <w:color w:val="1E6B42"/>
                <w:sz w:val="18"/>
                <w:szCs w:val="18"/>
              </w:rPr>
              <w:t>Self-Determination Theory</w:t>
            </w:r>
          </w:p>
        </w:tc>
        <w:tc>
          <w:tcPr>
            <w:tcW w:w="5051"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color w:val="444444"/>
                <w:sz w:val="18"/>
                <w:szCs w:val="18"/>
              </w:rPr>
              <w:t>Stable employment creates the conditions for Competence (skill development) and Autonomy (self-directed work), two of the three basic psychological needs.</w:t>
            </w:r>
          </w:p>
        </w:tc>
      </w:tr>
      <w:tr>
        <w:trPr/>
        <w:tc>
          <w:tcPr>
            <w:tcW w:w="2199"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Social Support Networks</w:t>
            </w:r>
          </w:p>
        </w:tc>
        <w:tc>
          <w:tcPr>
            <w:tcW w:w="2200"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6B42"/>
                <w:sz w:val="18"/>
                <w:szCs w:val="18"/>
              </w:rPr>
              <w:t>PERMA (Seligman)</w:t>
            </w:r>
          </w:p>
        </w:tc>
        <w:tc>
          <w:tcPr>
            <w:tcW w:w="5051"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color w:val="444444"/>
                <w:sz w:val="18"/>
                <w:szCs w:val="18"/>
              </w:rPr>
              <w:t>Directly nourishes the Relationships (R) and Positive Emotions (P) pillars. Harvard's longitudinal research confirms social quality as the single strongest predictor of healthy ageing.</w:t>
            </w:r>
          </w:p>
        </w:tc>
      </w:tr>
      <w:tr>
        <w:trPr/>
        <w:tc>
          <w:tcPr>
            <w:tcW w:w="2199"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b/>
                <w:bCs/>
                <w:color w:val="1E3A6E"/>
                <w:sz w:val="18"/>
                <w:szCs w:val="18"/>
              </w:rPr>
              <w:t>Self-Efficacy</w:t>
            </w:r>
          </w:p>
        </w:tc>
        <w:tc>
          <w:tcPr>
            <w:tcW w:w="2200" w:type="dxa"/>
            <w:tcBorders>
              <w:top w:val="single" w:sz="4" w:space="0" w:color="C0C8DC"/>
              <w:left w:val="single" w:sz="4" w:space="0" w:color="C0C8DC"/>
              <w:bottom w:val="single" w:sz="4" w:space="0" w:color="C0C8DC"/>
              <w:right w:val="single" w:sz="4" w:space="0" w:color="C0C8DC"/>
            </w:tcBorders>
            <w:shd w:fill="E5F5EC" w:val="clear"/>
          </w:tcPr>
          <w:p>
            <w:pPr>
              <w:pStyle w:val="Normal"/>
              <w:widowControl w:val="false"/>
              <w:rPr/>
            </w:pPr>
            <w:r>
              <w:rPr>
                <w:rFonts w:eastAsia="Calibri" w:cs="Calibri"/>
                <w:b/>
                <w:bCs/>
                <w:color w:val="1E6B42"/>
                <w:sz w:val="18"/>
                <w:szCs w:val="18"/>
              </w:rPr>
              <w:t>Eudaimonic Well-Being</w:t>
            </w:r>
          </w:p>
        </w:tc>
        <w:tc>
          <w:tcPr>
            <w:tcW w:w="5051" w:type="dxa"/>
            <w:tcBorders>
              <w:top w:val="single" w:sz="4" w:space="0" w:color="C0C8DC"/>
              <w:left w:val="single" w:sz="4" w:space="0" w:color="C0C8DC"/>
              <w:bottom w:val="single" w:sz="4" w:space="0" w:color="C0C8DC"/>
              <w:right w:val="single" w:sz="4" w:space="0" w:color="C0C8DC"/>
            </w:tcBorders>
            <w:shd w:fill="EEF2FA" w:val="clear"/>
          </w:tcPr>
          <w:p>
            <w:pPr>
              <w:pStyle w:val="Normal"/>
              <w:widowControl w:val="false"/>
              <w:rPr/>
            </w:pPr>
            <w:r>
              <w:rPr>
                <w:rFonts w:eastAsia="Calibri" w:cs="Calibri"/>
                <w:color w:val="444444"/>
                <w:sz w:val="18"/>
                <w:szCs w:val="18"/>
              </w:rPr>
              <w:t>Belief in one's capacity for effective action drives self-realisation and purposeful functioning — the essence of eudaimonic well-being, distinct from hedonic pleasure.</w:t>
            </w:r>
          </w:p>
        </w:tc>
      </w:tr>
      <w:tr>
        <w:trPr/>
        <w:tc>
          <w:tcPr>
            <w:tcW w:w="2199"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3A6E"/>
                <w:sz w:val="18"/>
                <w:szCs w:val="18"/>
              </w:rPr>
              <w:t>Digital Connectivity</w:t>
            </w:r>
          </w:p>
        </w:tc>
        <w:tc>
          <w:tcPr>
            <w:tcW w:w="2200"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b/>
                <w:bCs/>
                <w:color w:val="1E6B42"/>
                <w:sz w:val="18"/>
                <w:szCs w:val="18"/>
              </w:rPr>
              <w:t>PERMA + SDT</w:t>
            </w:r>
          </w:p>
        </w:tc>
        <w:tc>
          <w:tcPr>
            <w:tcW w:w="5051" w:type="dxa"/>
            <w:tcBorders>
              <w:top w:val="single" w:sz="4" w:space="0" w:color="C0C8DC"/>
              <w:left w:val="single" w:sz="4" w:space="0" w:color="C0C8DC"/>
              <w:bottom w:val="single" w:sz="4" w:space="0" w:color="C0C8DC"/>
              <w:right w:val="single" w:sz="4" w:space="0" w:color="C0C8DC"/>
            </w:tcBorders>
            <w:shd w:fill="FFFFFF" w:val="clear"/>
          </w:tcPr>
          <w:p>
            <w:pPr>
              <w:pStyle w:val="Normal"/>
              <w:widowControl w:val="false"/>
              <w:rPr/>
            </w:pPr>
            <w:r>
              <w:rPr>
                <w:rFonts w:eastAsia="Calibri" w:cs="Calibri"/>
                <w:color w:val="444444"/>
                <w:sz w:val="18"/>
                <w:szCs w:val="18"/>
              </w:rPr>
              <w:t xml:space="preserve">Digital Connectivity operates as both an enabler and a risk factor for well-being. When equitably distributed and mindfully used, it extends access to healthcare, education, social connection and economic opportunity — satisfying core needs across PERMA and SDT. When poorly designed or unequally distributed, it reproduces structural inequality and introduces new psychological risks. The determinant is therefore not digital access itself, but the </w:t>
            </w:r>
            <w:r>
              <w:rPr>
                <w:rStyle w:val="Emphasis"/>
                <w:rFonts w:eastAsia="Calibri" w:cs="Calibri"/>
                <w:color w:val="444444"/>
                <w:sz w:val="18"/>
                <w:szCs w:val="18"/>
              </w:rPr>
              <w:t>quality, equity and intentionality</w:t>
            </w:r>
            <w:r>
              <w:rPr>
                <w:rFonts w:eastAsia="Calibri" w:cs="Calibri"/>
                <w:color w:val="444444"/>
                <w:sz w:val="18"/>
                <w:szCs w:val="18"/>
              </w:rPr>
              <w:t xml:space="preserve"> of that access.</w:t>
            </w:r>
          </w:p>
        </w:tc>
      </w:tr>
    </w:tbl>
    <w:p>
      <w:pPr>
        <w:pStyle w:val="Normal"/>
        <w:shd w:val="clear" w:fill="1E3A6E"/>
        <w:spacing w:before="220" w:after="80"/>
        <w:ind w:left="120" w:right="120" w:hanging="0"/>
        <w:rPr/>
      </w:pPr>
      <w:r>
        <w:rPr>
          <w:rFonts w:eastAsia="Calibri" w:cs="Calibri"/>
          <w:b/>
          <w:bCs/>
          <w:color w:val="FFFFFF"/>
          <w:sz w:val="22"/>
          <w:szCs w:val="22"/>
        </w:rPr>
        <w:t xml:space="preserve">Step 3  </w:t>
      </w:r>
      <w:r>
        <w:rPr>
          <w:rFonts w:eastAsia="Calibri" w:cs="Calibri"/>
          <w:b/>
          <w:bCs/>
          <w:color w:val="A8C4E8"/>
          <w:sz w:val="22"/>
          <w:szCs w:val="22"/>
        </w:rPr>
        <w:t>— Draw Your Ecosystem Map</w:t>
      </w:r>
    </w:p>
    <w:p>
      <w:pPr>
        <w:pStyle w:val="Normal"/>
        <w:spacing w:before="60" w:after="80"/>
        <w:rPr/>
      </w:pPr>
      <w:r>
        <w:rPr>
          <w:rFonts w:eastAsia="Calibri" w:cs="Calibri"/>
          <w:i/>
          <w:iCs/>
          <w:color w:val="444444"/>
          <w:sz w:val="19"/>
          <w:szCs w:val="19"/>
        </w:rPr>
        <w:t xml:space="preserve">The diagram below maps all 10 determinants as connected nodes around a central Well-Being hub. </w:t>
      </w:r>
    </w:p>
    <w:p>
      <w:pPr>
        <w:pStyle w:val="Normal"/>
        <w:spacing w:before="60" w:after="8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290310" cy="432435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290310" cy="4324350"/>
                    </a:xfrm>
                    <a:prstGeom prst="rect">
                      <a:avLst/>
                    </a:prstGeom>
                  </pic:spPr>
                </pic:pic>
              </a:graphicData>
            </a:graphic>
          </wp:anchor>
        </w:drawing>
      </w:r>
      <w:r>
        <w:rPr>
          <w:rFonts w:eastAsia="Calibri" w:cs="Calibri"/>
          <w:i/>
          <w:iCs/>
          <w:color w:val="444444"/>
          <w:sz w:val="16"/>
          <w:szCs w:val="16"/>
        </w:rPr>
        <w:t>Green lines indicate positive (enhancing) connections; red dashed lines indicate negative or diminishing ones; grey dashed lines represent biological influences. Cross-connections between determinants show how each layer shapes the others.</w:t>
      </w:r>
    </w:p>
    <w:p>
      <w:pPr>
        <w:pStyle w:val="Normal"/>
        <w:shd w:val="clear" w:fill="1E3A6E"/>
        <w:spacing w:before="220" w:after="80"/>
        <w:ind w:left="120" w:right="120" w:hanging="0"/>
        <w:rPr/>
      </w:pPr>
      <w:r>
        <w:rPr>
          <w:rFonts w:eastAsia="Calibri" w:cs="Calibri"/>
          <w:b/>
          <w:bCs/>
          <w:color w:val="FFFFFF"/>
          <w:sz w:val="22"/>
          <w:szCs w:val="22"/>
        </w:rPr>
        <w:t xml:space="preserve">Step 4  </w:t>
      </w:r>
      <w:r>
        <w:rPr>
          <w:rFonts w:eastAsia="Calibri" w:cs="Calibri"/>
          <w:b/>
          <w:bCs/>
          <w:color w:val="A8C4E8"/>
          <w:sz w:val="22"/>
          <w:szCs w:val="22"/>
        </w:rPr>
        <w:t>— Identify Insights</w:t>
      </w:r>
    </w:p>
    <w:p>
      <w:pPr>
        <w:pStyle w:val="Normal"/>
        <w:spacing w:lineRule="auto" w:line="360" w:before="100" w:after="40"/>
        <w:rPr/>
      </w:pPr>
      <w:r>
        <w:rPr>
          <w:rFonts w:eastAsia="Calibri" w:cs="Calibri"/>
          <w:b/>
          <w:bCs/>
          <w:color w:val="1E6B42"/>
          <w:sz w:val="22"/>
          <w:szCs w:val="22"/>
        </w:rPr>
        <w:t xml:space="preserve">● </w:t>
      </w:r>
      <w:r>
        <w:rPr>
          <w:rFonts w:eastAsia="Calibri" w:cs="Calibri"/>
          <w:b/>
          <w:bCs/>
          <w:color w:val="1E6B42"/>
          <w:sz w:val="20"/>
          <w:szCs w:val="20"/>
        </w:rPr>
        <w:t>Most Important Determinant</w:t>
      </w:r>
    </w:p>
    <w:p>
      <w:pPr>
        <w:pStyle w:val="TextBody"/>
        <w:spacing w:lineRule="auto" w:line="360" w:before="0" w:after="80"/>
        <w:ind w:left="360" w:hanging="0"/>
        <w:rPr/>
      </w:pPr>
      <w:r>
        <w:rPr>
          <w:rFonts w:eastAsia="Calibri" w:cs="Calibri"/>
          <w:i w:val="false"/>
          <w:iCs w:val="false"/>
          <w:color w:val="444444"/>
          <w:sz w:val="20"/>
          <w:szCs w:val="20"/>
        </w:rPr>
        <w:t>Social Support Networks. Consistent with findings from the Harvard Study of Adult Development, the quality of close relationships is one of the strongest predictors of long-term physical and psychological well-being.</w:t>
      </w:r>
    </w:p>
    <w:p>
      <w:pPr>
        <w:pStyle w:val="Normal"/>
        <w:spacing w:lineRule="auto" w:line="360" w:before="100" w:after="40"/>
        <w:rPr/>
      </w:pPr>
      <w:r>
        <w:rPr>
          <w:rFonts w:eastAsia="Calibri" w:cs="Calibri"/>
          <w:b/>
          <w:bCs/>
          <w:color w:val="1A7A7A"/>
          <w:sz w:val="22"/>
          <w:szCs w:val="22"/>
        </w:rPr>
        <w:t xml:space="preserve">● </w:t>
      </w:r>
      <w:r>
        <w:rPr>
          <w:rFonts w:eastAsia="Calibri" w:cs="Calibri"/>
          <w:b/>
          <w:bCs/>
          <w:color w:val="1A7A7A"/>
          <w:sz w:val="20"/>
          <w:szCs w:val="20"/>
        </w:rPr>
        <w:t>Most Surprising Insight</w:t>
      </w:r>
    </w:p>
    <w:p>
      <w:pPr>
        <w:pStyle w:val="TextBody"/>
        <w:spacing w:lineRule="auto" w:line="360" w:before="0" w:after="80"/>
        <w:ind w:left="360" w:hanging="0"/>
        <w:rPr/>
      </w:pPr>
      <w:r>
        <w:rPr>
          <w:rFonts w:eastAsia="Calibri" w:cs="Calibri"/>
          <w:i w:val="false"/>
          <w:iCs w:val="false"/>
          <w:color w:val="444444"/>
          <w:sz w:val="20"/>
          <w:szCs w:val="20"/>
        </w:rPr>
        <w:t>Digital Connectivity as a structural necessity. In 2026, the absence of digital access is no longer simply a "technology issue" — it is a structural barrier to healthcare, education, and social belonging, with direct consequences for well-being outcomes.</w:t>
      </w:r>
    </w:p>
    <w:p>
      <w:pPr>
        <w:pStyle w:val="Normal"/>
        <w:spacing w:lineRule="auto" w:line="360" w:before="100" w:after="40"/>
        <w:rPr/>
      </w:pPr>
      <w:r>
        <w:rPr>
          <w:rFonts w:eastAsia="Calibri" w:cs="Calibri"/>
          <w:b/>
          <w:bCs/>
          <w:color w:val="5B2D8E"/>
          <w:sz w:val="22"/>
          <w:szCs w:val="22"/>
        </w:rPr>
        <w:t xml:space="preserve">● </w:t>
      </w:r>
      <w:r>
        <w:rPr>
          <w:rFonts w:eastAsia="Calibri" w:cs="Calibri"/>
          <w:b/>
          <w:bCs/>
          <w:color w:val="5B2D8E"/>
          <w:sz w:val="20"/>
          <w:szCs w:val="20"/>
        </w:rPr>
        <w:t>Question to Explore Further</w:t>
      </w:r>
    </w:p>
    <w:p>
      <w:pPr>
        <w:pStyle w:val="Normal"/>
        <w:spacing w:lineRule="auto" w:line="360" w:before="0" w:after="80"/>
        <w:ind w:left="360" w:hanging="0"/>
        <w:rPr/>
      </w:pPr>
      <w:r>
        <w:rPr>
          <w:rFonts w:eastAsia="Calibri" w:cs="Calibri"/>
          <w:i w:val="false"/>
          <w:iCs w:val="false"/>
          <w:color w:val="444444"/>
          <w:sz w:val="20"/>
          <w:szCs w:val="20"/>
        </w:rPr>
        <w:t>How do biological predispositions — such as temperament and neuroplasticity — interact with digital environments to produce divergent well-being outcomes in adolescents? This intersection of the biological core and the digital layer deserves dedicated longitudinal research.</w:t>
      </w:r>
    </w:p>
    <w:p>
      <w:pPr>
        <w:pStyle w:val="Normal"/>
        <w:shd w:val="clear" w:fill="1E3A6E"/>
        <w:spacing w:before="220" w:after="80"/>
        <w:ind w:left="120" w:right="120" w:hanging="0"/>
        <w:rPr/>
      </w:pPr>
      <w:r>
        <w:rPr>
          <w:rFonts w:eastAsia="Calibri" w:cs="Calibri"/>
          <w:b/>
          <w:bCs/>
          <w:color w:val="FFFFFF"/>
          <w:sz w:val="22"/>
          <w:szCs w:val="22"/>
        </w:rPr>
        <w:t xml:space="preserve">Step 5  </w:t>
      </w:r>
      <w:r>
        <w:rPr>
          <w:rFonts w:eastAsia="Calibri" w:cs="Calibri"/>
          <w:b/>
          <w:bCs/>
          <w:color w:val="A8C4E8"/>
          <w:sz w:val="22"/>
          <w:szCs w:val="22"/>
        </w:rPr>
        <w:t>— Prepare for Class Sharing</w:t>
      </w:r>
    </w:p>
    <w:p>
      <w:pPr>
        <w:pStyle w:val="Normal"/>
        <w:spacing w:before="60" w:after="40"/>
        <w:rPr/>
      </w:pPr>
      <w:r>
        <w:rPr/>
      </w:r>
    </w:p>
    <w:p>
      <w:pPr>
        <w:pStyle w:val="Normal"/>
        <w:spacing w:lineRule="auto" w:line="360" w:before="100" w:after="60"/>
        <w:rPr/>
      </w:pPr>
      <w:r>
        <w:rPr>
          <w:rFonts w:eastAsia="Calibri" w:cs="Calibri"/>
          <w:b/>
          <w:bCs/>
          <w:color w:val="1E3A6E"/>
          <w:sz w:val="20"/>
          <w:szCs w:val="20"/>
        </w:rPr>
        <w:t xml:space="preserve">1.  </w:t>
      </w:r>
      <w:r>
        <w:rPr>
          <w:rFonts w:eastAsia="Calibri" w:cs="Calibri"/>
          <w:b/>
          <w:bCs/>
          <w:color w:val="2D5299"/>
          <w:sz w:val="20"/>
          <w:szCs w:val="20"/>
        </w:rPr>
        <w:t xml:space="preserve">Key Determinants: </w:t>
      </w:r>
      <w:r>
        <w:rPr>
          <w:rFonts w:eastAsia="Calibri" w:cs="Calibri"/>
          <w:i w:val="false"/>
          <w:iCs w:val="false"/>
          <w:color w:val="444444"/>
          <w:sz w:val="20"/>
          <w:szCs w:val="20"/>
        </w:rPr>
        <w:t>Structural factors such as Income Equality create the foundational environment in which Social Support can flourish. Without structural stability, even strong social networks are constrained in their protective effect.</w:t>
      </w:r>
    </w:p>
    <w:p>
      <w:pPr>
        <w:pStyle w:val="Normal"/>
        <w:spacing w:lineRule="auto" w:line="360" w:before="100" w:after="60"/>
        <w:rPr/>
      </w:pPr>
      <w:r>
        <w:rPr>
          <w:rFonts w:eastAsia="Calibri" w:cs="Calibri"/>
          <w:b/>
          <w:bCs/>
          <w:color w:val="1E3A6E"/>
          <w:sz w:val="20"/>
          <w:szCs w:val="20"/>
        </w:rPr>
        <w:t xml:space="preserve">2.  </w:t>
      </w:r>
      <w:r>
        <w:rPr>
          <w:rFonts w:eastAsia="Calibri" w:cs="Calibri"/>
          <w:b/>
          <w:bCs/>
          <w:color w:val="2D5299"/>
          <w:sz w:val="20"/>
          <w:szCs w:val="20"/>
        </w:rPr>
        <w:t xml:space="preserve">Theory Connections: </w:t>
      </w:r>
      <w:r>
        <w:rPr>
          <w:rFonts w:eastAsia="Calibri" w:cs="Calibri"/>
          <w:i w:val="false"/>
          <w:iCs w:val="false"/>
          <w:color w:val="444444"/>
          <w:sz w:val="20"/>
          <w:szCs w:val="20"/>
        </w:rPr>
        <w:t>Both PERMA (Seligman) and Ryff's Psychological Well-Being model were applied to demonstrate that well-being is a multi-dimensional state of active functioning — not merely the absence of distress or the presence of pleasant feelings.</w:t>
      </w:r>
    </w:p>
    <w:p>
      <w:pPr>
        <w:pStyle w:val="Normal"/>
        <w:spacing w:lineRule="auto" w:line="360" w:before="100" w:after="60"/>
        <w:rPr/>
      </w:pPr>
      <w:r>
        <w:rPr>
          <w:rFonts w:eastAsia="Calibri" w:cs="Calibri"/>
          <w:b/>
          <w:bCs/>
          <w:color w:val="1E3A6E"/>
          <w:sz w:val="20"/>
          <w:szCs w:val="20"/>
        </w:rPr>
        <w:t xml:space="preserve">3.  </w:t>
      </w:r>
      <w:r>
        <w:rPr>
          <w:rFonts w:eastAsia="Calibri" w:cs="Calibri"/>
          <w:b/>
          <w:bCs/>
          <w:color w:val="2D5299"/>
          <w:sz w:val="20"/>
          <w:szCs w:val="20"/>
        </w:rPr>
        <w:t xml:space="preserve">Most Interesting Insight: </w:t>
      </w:r>
      <w:r>
        <w:rPr>
          <w:rFonts w:eastAsia="Calibri" w:cs="Calibri"/>
          <w:i w:val="false"/>
          <w:iCs w:val="false"/>
          <w:color w:val="444444"/>
          <w:sz w:val="20"/>
          <w:szCs w:val="20"/>
        </w:rPr>
        <w:t>The emergence of Digital Determinants as a category that mirrors traditional structural factors. Our online ecosystem now shapes access, opportunity, and social belonging in ways that are structurally analogous to physical infrastructure.</w:t>
      </w:r>
    </w:p>
    <w:p>
      <w:pPr>
        <w:pStyle w:val="Normal"/>
        <w:pBdr>
          <w:top w:val="single" w:sz="4" w:space="6" w:color="C0C8DC"/>
        </w:pBdr>
        <w:spacing w:before="200" w:after="0"/>
        <w:rPr/>
      </w:pPr>
      <w:r>
        <w:rPr>
          <w:rFonts w:eastAsia="Calibri" w:cs="Calibri"/>
          <w:i/>
          <w:iCs/>
          <w:color w:val="444444"/>
          <w:sz w:val="16"/>
          <w:szCs w:val="16"/>
        </w:rPr>
        <w:t>References: PERMA · Seligman (2011)  ·  Ryff's PWB · Ryff (1989)  ·  SDT · Deci &amp; Ryan (1985)  ·  SWB · Diener (1984)  ·  Harvard Study of Adult Development</w:t>
      </w:r>
    </w:p>
    <w:sectPr>
      <w:type w:val="nextPage"/>
      <w:pgSz w:w="11906" w:h="16838"/>
      <w:pgMar w:left="1000" w:right="100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StrongEmphasis">
    <w:name w:val="Strong"/>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1A1A1A"/>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LibreOffice/7.4.7.1$MacOSX_X86_64 LibreOffice_project/9204137cd80881d05c679c2486e99f8e6c810710</Application>
  <AppVersion>15.0000</AppVersion>
  <Pages>3</Pages>
  <Words>654</Words>
  <Characters>4239</Characters>
  <CharactersWithSpaces>4829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2026-03-10T08:50:14Z</dcterms:created>
  <dc:creator>Un-named</dc:creator>
  <dc:description/>
  <dc:language>en-US</dc:language>
  <cp:lastModifiedBy/>
  <dcterms:modified xsi:type="dcterms:W3CDTF">2026-03-26T08:53:17Z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