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w:body>
    <w:p>
      <w:pPr>
        <w:rPr>
          <w:rFonts w:hint="eastAsia"/>
          <w:sz w:val="28"/>
          <w:szCs w:val="28"/>
          <w:lang w:val="en-US" w:eastAsia="zh-CN"/>
        </w:rPr>
      </w:pPr>
      <w:r>
        <w:rPr>
          <w:rFonts w:hint="eastAsia"/>
          <w:sz w:val="28"/>
          <w:szCs w:val="28"/>
          <w:lang w:val="en-US" w:eastAsia="zh-CN"/>
        </w:rPr>
        <w:t>与资源有关的税种习题</w:t>
      </w:r>
    </w:p>
    <w:p>
      <w:pPr>
        <w:numPr>
          <w:ilvl w:val="0"/>
          <w:numId w:val="1"/>
        </w:numPr>
        <w:rPr>
          <w:rFonts w:hint="eastAsia"/>
          <w:sz w:val="28"/>
          <w:szCs w:val="28"/>
          <w:lang w:val="en-US" w:eastAsia="zh-CN"/>
        </w:rPr>
      </w:pPr>
      <w:r>
        <w:rPr>
          <w:rFonts w:hint="eastAsia"/>
          <w:sz w:val="28"/>
          <w:szCs w:val="28"/>
          <w:lang w:val="en-US" w:eastAsia="zh-CN"/>
        </w:rPr>
        <w:t>填空题</w:t>
      </w:r>
    </w:p>
    <w:p>
      <w:pPr>
        <w:numPr>
          <w:ilvl w:val="0"/>
          <w:numId w:val="2"/>
        </w:numPr>
        <w:rPr>
          <w:rFonts w:hint="eastAsia"/>
          <w:sz w:val="28"/>
          <w:szCs w:val="28"/>
          <w:lang w:val="en-US" w:eastAsia="zh-CN"/>
        </w:rPr>
      </w:pPr>
      <w:r>
        <w:rPr>
          <w:rFonts w:hint="eastAsia"/>
          <w:sz w:val="28"/>
          <w:szCs w:val="28"/>
          <w:lang w:val="en-US" w:eastAsia="zh-CN"/>
        </w:rPr>
        <w:t>资源税的应纳税额，按照（        ）或者（        ）的办法。</w:t>
      </w:r>
    </w:p>
    <w:p>
      <w:pPr>
        <w:numPr>
          <w:ilvl w:val="0"/>
          <w:numId w:val="2"/>
        </w:numPr>
        <w:rPr>
          <w:rFonts w:hint="default"/>
          <w:sz w:val="28"/>
          <w:szCs w:val="28"/>
          <w:lang w:val="en-US" w:eastAsia="zh-CN"/>
        </w:rPr>
      </w:pPr>
      <w:r>
        <w:rPr>
          <w:rFonts w:hint="eastAsia"/>
          <w:sz w:val="28"/>
          <w:szCs w:val="28"/>
          <w:lang w:val="en-US" w:eastAsia="zh-CN"/>
        </w:rPr>
        <w:t>计算资源税时的销售额为纳税人销售应税产品向购买方收取的全部价款和（       ）。</w:t>
      </w:r>
    </w:p>
    <w:p>
      <w:pPr>
        <w:numPr>
          <w:ilvl w:val="0"/>
          <w:numId w:val="2"/>
        </w:numPr>
        <w:rPr>
          <w:rFonts w:hint="default"/>
          <w:sz w:val="28"/>
          <w:szCs w:val="28"/>
          <w:lang w:val="en-US" w:eastAsia="zh-CN"/>
        </w:rPr>
      </w:pPr>
      <w:r>
        <w:rPr>
          <w:rFonts w:hint="eastAsia"/>
          <w:sz w:val="28"/>
          <w:szCs w:val="28"/>
          <w:lang w:val="en-US" w:eastAsia="zh-CN"/>
        </w:rPr>
        <w:t>在资源税征收管理过程中，收购未税矿产品的单位为资源税的（           ）。</w:t>
      </w:r>
    </w:p>
    <w:p>
      <w:pPr>
        <w:numPr>
          <w:ilvl w:val="0"/>
          <w:numId w:val="2"/>
        </w:numPr>
        <w:rPr>
          <w:rFonts w:hint="default"/>
          <w:sz w:val="28"/>
          <w:szCs w:val="28"/>
          <w:lang w:val="en-US" w:eastAsia="zh-CN"/>
        </w:rPr>
      </w:pPr>
      <w:r>
        <w:rPr>
          <w:rFonts w:hint="eastAsia"/>
          <w:sz w:val="28"/>
          <w:szCs w:val="28"/>
          <w:lang w:val="en-US" w:eastAsia="zh-CN"/>
        </w:rPr>
        <w:t>城镇土地使用税的征税范围是（                           ）。</w:t>
      </w:r>
    </w:p>
    <w:p>
      <w:pPr>
        <w:numPr>
          <w:ilvl w:val="0"/>
          <w:numId w:val="2"/>
        </w:numPr>
        <w:rPr>
          <w:rFonts w:hint="default"/>
          <w:sz w:val="28"/>
          <w:szCs w:val="28"/>
          <w:lang w:val="en-US" w:eastAsia="zh-CN"/>
        </w:rPr>
      </w:pPr>
      <w:r>
        <w:rPr>
          <w:rFonts w:hint="eastAsia"/>
          <w:sz w:val="28"/>
          <w:szCs w:val="28"/>
          <w:lang w:val="en-US" w:eastAsia="zh-CN"/>
        </w:rPr>
        <w:t>城镇土地使用税实行（                    ）的征收办法。</w:t>
      </w:r>
    </w:p>
    <w:p>
      <w:pPr>
        <w:numPr>
          <w:ilvl w:val="0"/>
          <w:numId w:val="2"/>
        </w:numPr>
        <w:rPr>
          <w:rFonts w:hint="default"/>
          <w:sz w:val="28"/>
          <w:szCs w:val="28"/>
          <w:lang w:val="en-US" w:eastAsia="zh-CN"/>
        </w:rPr>
      </w:pPr>
      <w:r>
        <w:rPr>
          <w:rFonts w:hint="eastAsia"/>
          <w:sz w:val="28"/>
          <w:szCs w:val="28"/>
          <w:lang w:val="en-US" w:eastAsia="zh-CN"/>
        </w:rPr>
        <w:t>城镇土地使用税按纳税人实际占用的（            ），依照规定税额按年计算。</w:t>
      </w:r>
    </w:p>
    <w:p>
      <w:pPr>
        <w:numPr>
          <w:ilvl w:val="0"/>
          <w:numId w:val="2"/>
        </w:numPr>
        <w:rPr>
          <w:rFonts w:hint="default"/>
          <w:sz w:val="28"/>
          <w:szCs w:val="28"/>
          <w:lang w:val="en-US" w:eastAsia="zh-CN"/>
        </w:rPr>
      </w:pPr>
      <w:r>
        <w:rPr>
          <w:rFonts w:hint="eastAsia"/>
          <w:sz w:val="28"/>
          <w:szCs w:val="28"/>
          <w:lang w:val="en-US" w:eastAsia="zh-CN"/>
        </w:rPr>
        <w:t>土地增值税实行（           ）税率。</w:t>
      </w:r>
    </w:p>
    <w:p>
      <w:pPr>
        <w:numPr>
          <w:ilvl w:val="0"/>
          <w:numId w:val="2"/>
        </w:numPr>
        <w:rPr>
          <w:rFonts w:hint="default"/>
          <w:sz w:val="28"/>
          <w:szCs w:val="28"/>
          <w:lang w:val="en-US" w:eastAsia="zh-CN"/>
        </w:rPr>
      </w:pPr>
      <w:r>
        <w:rPr>
          <w:rFonts w:hint="eastAsia"/>
          <w:sz w:val="28"/>
          <w:szCs w:val="28"/>
          <w:lang w:val="en-US" w:eastAsia="zh-CN"/>
        </w:rPr>
        <w:t>土地增值税的计税依据是出售房地产所取得的（          ）。</w:t>
      </w:r>
    </w:p>
    <w:p>
      <w:pPr>
        <w:numPr>
          <w:ilvl w:val="0"/>
          <w:numId w:val="2"/>
        </w:numPr>
        <w:rPr>
          <w:rFonts w:hint="default"/>
          <w:sz w:val="28"/>
          <w:szCs w:val="28"/>
          <w:lang w:val="en-US" w:eastAsia="zh-CN"/>
        </w:rPr>
      </w:pPr>
      <w:r>
        <w:rPr>
          <w:rFonts w:hint="eastAsia"/>
          <w:sz w:val="28"/>
          <w:szCs w:val="28"/>
          <w:lang w:val="en-US" w:eastAsia="zh-CN"/>
        </w:rPr>
        <w:t>增值额未超过扣除项目金额50%的部分，土地增值税税率为（   ）。</w:t>
      </w:r>
    </w:p>
    <w:p>
      <w:pPr>
        <w:numPr>
          <w:ilvl w:val="0"/>
          <w:numId w:val="2"/>
        </w:numPr>
        <w:rPr>
          <w:rFonts w:hint="default"/>
          <w:sz w:val="28"/>
          <w:szCs w:val="28"/>
          <w:lang w:val="en-US" w:eastAsia="zh-CN"/>
        </w:rPr>
      </w:pPr>
      <w:r>
        <w:rPr>
          <w:rFonts w:hint="eastAsia"/>
          <w:sz w:val="28"/>
          <w:szCs w:val="28"/>
          <w:lang w:val="en-US" w:eastAsia="zh-CN"/>
        </w:rPr>
        <w:t>在计算土地增值税时，纳税人能够按转让房地产项目分摊利息支出并提供金融机构证明的，财务费用中的（         ），允许扣除；其他房地产开发费用，纳税人按取得土地使用权所支付的金额与土地和新建房及配套设施的成本之和的（      ）以内计算扣除。</w:t>
      </w:r>
    </w:p>
    <w:p>
      <w:pPr>
        <w:numPr>
          <w:ilvl w:val="0"/>
          <w:numId w:val="2"/>
        </w:numPr>
        <w:rPr>
          <w:rFonts w:hint="default"/>
          <w:sz w:val="28"/>
          <w:szCs w:val="28"/>
          <w:lang w:val="en-US" w:eastAsia="zh-CN"/>
        </w:rPr>
      </w:pPr>
      <w:r>
        <w:rPr>
          <w:rFonts w:hint="eastAsia"/>
          <w:sz w:val="28"/>
          <w:szCs w:val="28"/>
          <w:lang w:val="en-US" w:eastAsia="zh-CN"/>
        </w:rPr>
        <w:t>耕地占用税实行（       ）征收。</w:t>
      </w:r>
    </w:p>
    <w:p>
      <w:pPr>
        <w:numPr>
          <w:ilvl w:val="0"/>
          <w:numId w:val="2"/>
        </w:numPr>
        <w:rPr>
          <w:rFonts w:hint="default"/>
          <w:sz w:val="28"/>
          <w:szCs w:val="28"/>
          <w:lang w:val="en-US" w:eastAsia="zh-CN"/>
        </w:rPr>
      </w:pPr>
      <w:r>
        <w:rPr>
          <w:rFonts w:hint="eastAsia"/>
          <w:sz w:val="28"/>
          <w:szCs w:val="28"/>
          <w:lang w:val="en-US" w:eastAsia="zh-CN"/>
        </w:rPr>
        <w:t>占用耕地（         ）或者从事（              ）的单位或者个人，为耕地占用税的纳税义务人。</w:t>
      </w:r>
    </w:p>
    <w:p>
      <w:pPr>
        <w:numPr>
          <w:ilvl w:val="0"/>
          <w:numId w:val="2"/>
        </w:numPr>
        <w:rPr>
          <w:rFonts w:hint="default"/>
          <w:sz w:val="28"/>
          <w:szCs w:val="28"/>
          <w:lang w:val="en-US" w:eastAsia="zh-CN"/>
        </w:rPr>
      </w:pPr>
      <w:r>
        <w:rPr>
          <w:rFonts w:hint="eastAsia"/>
          <w:sz w:val="28"/>
          <w:szCs w:val="28"/>
          <w:lang w:val="en-US" w:eastAsia="zh-CN"/>
        </w:rPr>
        <w:t>经济特区的耕地占用税税额标准可适当提高，但提高的部分最高不得超过各省、自治区、直辖市人民政府核定的当地适用税率的（       ）。</w:t>
      </w: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判断题</w:t>
      </w:r>
    </w:p>
    <w:p>
      <w:pPr>
        <w:numPr>
          <w:ilvl w:val="0"/>
          <w:numId w:val="3"/>
        </w:numPr>
        <w:ind w:leftChars="0"/>
        <w:rPr>
          <w:rFonts w:hint="eastAsia"/>
          <w:sz w:val="28"/>
          <w:szCs w:val="28"/>
          <w:lang w:val="en-US" w:eastAsia="zh-CN"/>
        </w:rPr>
      </w:pPr>
      <w:r>
        <w:rPr>
          <w:rFonts w:hint="eastAsia"/>
          <w:sz w:val="28"/>
          <w:szCs w:val="28"/>
          <w:lang w:val="en-US" w:eastAsia="zh-CN"/>
        </w:rPr>
        <w:t>我国资源税是对一切矿产资源和盐资源征税。（    ）</w:t>
      </w:r>
    </w:p>
    <w:p>
      <w:pPr>
        <w:numPr>
          <w:ilvl w:val="0"/>
          <w:numId w:val="3"/>
        </w:numPr>
        <w:ind w:leftChars="0"/>
        <w:rPr>
          <w:rFonts w:hint="default"/>
          <w:sz w:val="28"/>
          <w:szCs w:val="28"/>
          <w:lang w:val="en-US" w:eastAsia="zh-CN"/>
        </w:rPr>
      </w:pPr>
      <w:r>
        <w:rPr>
          <w:rFonts w:hint="eastAsia"/>
          <w:sz w:val="28"/>
          <w:szCs w:val="28"/>
          <w:lang w:val="en-US" w:eastAsia="zh-CN"/>
        </w:rPr>
        <w:t>对盐场自销盐取得的收入，既要征盐税，也要征增值税。（     ）</w:t>
      </w:r>
    </w:p>
    <w:p>
      <w:pPr>
        <w:numPr>
          <w:ilvl w:val="0"/>
          <w:numId w:val="3"/>
        </w:numPr>
        <w:ind w:leftChars="0"/>
        <w:rPr>
          <w:rFonts w:hint="default"/>
          <w:sz w:val="28"/>
          <w:szCs w:val="28"/>
          <w:lang w:val="en-US" w:eastAsia="zh-CN"/>
        </w:rPr>
      </w:pPr>
      <w:r>
        <w:rPr>
          <w:rFonts w:hint="eastAsia"/>
          <w:sz w:val="28"/>
          <w:szCs w:val="28"/>
          <w:lang w:val="en-US" w:eastAsia="zh-CN"/>
        </w:rPr>
        <w:t>资源税在税率设计上采取差别税额，是为了贯彻“普遍征收”的原则。（   ）</w:t>
      </w:r>
    </w:p>
    <w:p>
      <w:pPr>
        <w:numPr>
          <w:ilvl w:val="0"/>
          <w:numId w:val="3"/>
        </w:numPr>
        <w:ind w:leftChars="0"/>
        <w:rPr>
          <w:rFonts w:hint="default"/>
          <w:sz w:val="28"/>
          <w:szCs w:val="28"/>
          <w:lang w:val="en-US" w:eastAsia="zh-CN"/>
        </w:rPr>
      </w:pPr>
      <w:r>
        <w:rPr>
          <w:rFonts w:hint="eastAsia"/>
          <w:sz w:val="28"/>
          <w:szCs w:val="28"/>
          <w:lang w:val="en-US" w:eastAsia="zh-CN"/>
        </w:rPr>
        <w:t>纳税人直接对外销售的天然气，以实际生产数量为为征税对象。（    ）</w:t>
      </w:r>
    </w:p>
    <w:p>
      <w:pPr>
        <w:numPr>
          <w:ilvl w:val="0"/>
          <w:numId w:val="3"/>
        </w:numPr>
        <w:ind w:leftChars="0"/>
        <w:rPr>
          <w:rFonts w:hint="default"/>
          <w:sz w:val="28"/>
          <w:szCs w:val="28"/>
          <w:lang w:val="en-US" w:eastAsia="zh-CN"/>
        </w:rPr>
      </w:pPr>
      <w:r>
        <w:rPr>
          <w:rFonts w:hint="eastAsia"/>
          <w:sz w:val="28"/>
          <w:szCs w:val="28"/>
          <w:lang w:val="en-US" w:eastAsia="zh-CN"/>
        </w:rPr>
        <w:t>按照税法规定，转让国有土地使用权、地上建筑物及其附着物并取得的收入，是指出售或者其他方式有偿转让房地产的行为，也包括以继承、赠予方式无偿转让房地产的行为。（    ）</w:t>
      </w:r>
    </w:p>
    <w:p>
      <w:pPr>
        <w:numPr>
          <w:ilvl w:val="0"/>
          <w:numId w:val="3"/>
        </w:numPr>
        <w:ind w:leftChars="0"/>
        <w:rPr>
          <w:rFonts w:hint="default"/>
          <w:sz w:val="28"/>
          <w:szCs w:val="28"/>
          <w:lang w:val="en-US" w:eastAsia="zh-CN"/>
        </w:rPr>
      </w:pPr>
      <w:r>
        <w:rPr>
          <w:rFonts w:hint="eastAsia"/>
          <w:sz w:val="28"/>
          <w:szCs w:val="28"/>
          <w:lang w:val="en-US" w:eastAsia="zh-CN"/>
        </w:rPr>
        <w:t>企业无论是专营还是兼营房地产业务，只要其有偿出售房地产，就是土地增值税的纳税人。（    ）</w:t>
      </w:r>
    </w:p>
    <w:p>
      <w:pPr>
        <w:numPr>
          <w:ilvl w:val="0"/>
          <w:numId w:val="3"/>
        </w:numPr>
        <w:ind w:leftChars="0"/>
        <w:rPr>
          <w:rFonts w:hint="default"/>
          <w:sz w:val="28"/>
          <w:szCs w:val="28"/>
          <w:lang w:val="en-US" w:eastAsia="zh-CN"/>
        </w:rPr>
      </w:pPr>
      <w:r>
        <w:rPr>
          <w:rFonts w:hint="eastAsia"/>
          <w:sz w:val="28"/>
          <w:szCs w:val="28"/>
          <w:lang w:val="en-US" w:eastAsia="zh-CN"/>
        </w:rPr>
        <w:t>取得土地使用权所支付的金额，即纳税人为取得土地使用权所支付的价款和按国家统一规定交纳的有关费用。（    ）</w:t>
      </w:r>
    </w:p>
    <w:p>
      <w:pPr>
        <w:numPr>
          <w:ilvl w:val="0"/>
          <w:numId w:val="3"/>
        </w:numPr>
        <w:ind w:leftChars="0"/>
        <w:rPr>
          <w:rFonts w:hint="default"/>
          <w:sz w:val="28"/>
          <w:szCs w:val="28"/>
          <w:lang w:val="en-US" w:eastAsia="zh-CN"/>
        </w:rPr>
      </w:pPr>
      <w:r>
        <w:rPr>
          <w:rFonts w:hint="eastAsia"/>
          <w:sz w:val="28"/>
          <w:szCs w:val="28"/>
          <w:lang w:val="en-US" w:eastAsia="zh-CN"/>
        </w:rPr>
        <w:t>与房地产开发项目有关的财务费用中的利息支出，凡能够按转让房地产项目分摊并提供金融机构证明的，允许据实扣除，并没有任何限制。（      ）</w:t>
      </w:r>
    </w:p>
    <w:p>
      <w:pPr>
        <w:numPr>
          <w:ilvl w:val="0"/>
          <w:numId w:val="3"/>
        </w:numPr>
        <w:ind w:leftChars="0"/>
        <w:rPr>
          <w:rFonts w:hint="default"/>
          <w:sz w:val="28"/>
          <w:szCs w:val="28"/>
          <w:lang w:val="en-US" w:eastAsia="zh-CN"/>
        </w:rPr>
      </w:pPr>
      <w:r>
        <w:rPr>
          <w:rFonts w:hint="eastAsia"/>
          <w:sz w:val="28"/>
          <w:szCs w:val="28"/>
          <w:lang w:val="en-US" w:eastAsia="zh-CN"/>
        </w:rPr>
        <w:t>个人因为工作调动或改善居住条件而转让原自用住房，经向税务机关申报审核，凡居住满3年或3年以上的，免征土地增值税。（     ）</w:t>
      </w:r>
    </w:p>
    <w:p>
      <w:pPr>
        <w:numPr>
          <w:ilvl w:val="0"/>
          <w:numId w:val="3"/>
        </w:numPr>
        <w:ind w:leftChars="0"/>
        <w:rPr>
          <w:rFonts w:hint="default"/>
          <w:sz w:val="28"/>
          <w:szCs w:val="28"/>
          <w:lang w:val="en-US" w:eastAsia="zh-CN"/>
        </w:rPr>
      </w:pPr>
      <w:r>
        <w:rPr>
          <w:rFonts w:hint="eastAsia"/>
          <w:sz w:val="28"/>
          <w:szCs w:val="28"/>
          <w:lang w:val="en-US" w:eastAsia="zh-CN"/>
        </w:rPr>
        <w:t>学校、幼儿园、养老院、医院占用耕地，免征耕地占用税。（   ）</w:t>
      </w:r>
    </w:p>
    <w:p>
      <w:pPr>
        <w:numPr>
          <w:ilvl w:val="0"/>
          <w:numId w:val="3"/>
        </w:numPr>
        <w:ind w:leftChars="0"/>
        <w:rPr>
          <w:rFonts w:hint="default"/>
          <w:sz w:val="28"/>
          <w:szCs w:val="28"/>
          <w:lang w:val="en-US" w:eastAsia="zh-CN"/>
        </w:rPr>
      </w:pPr>
      <w:r>
        <w:rPr>
          <w:rFonts w:hint="eastAsia"/>
          <w:sz w:val="28"/>
          <w:szCs w:val="28"/>
          <w:lang w:val="en-US" w:eastAsia="zh-CN"/>
        </w:rPr>
        <w:t>耕地占用税只在占用耕地建房或从事其他非农业建设行为时一次征收，以后不再征收。（    ）</w:t>
      </w:r>
    </w:p>
    <w:p>
      <w:pPr>
        <w:numPr>
          <w:ilvl w:val="0"/>
          <w:numId w:val="3"/>
        </w:numPr>
        <w:ind w:leftChars="0"/>
        <w:rPr>
          <w:rFonts w:hint="default"/>
          <w:sz w:val="28"/>
          <w:szCs w:val="28"/>
          <w:lang w:val="en-US" w:eastAsia="zh-CN"/>
        </w:rPr>
      </w:pPr>
      <w:r>
        <w:rPr>
          <w:rFonts w:hint="eastAsia"/>
          <w:sz w:val="28"/>
          <w:szCs w:val="28"/>
          <w:lang w:val="en-US" w:eastAsia="zh-CN"/>
        </w:rPr>
        <w:t>拥有土地使用权的单位和个人不在土地所在地的，其土地的实际使用人和代管人为城镇土地使用税的纳税人。（     ）</w:t>
      </w:r>
    </w:p>
    <w:p>
      <w:pPr>
        <w:numPr>
          <w:ilvl w:val="0"/>
          <w:numId w:val="3"/>
        </w:numPr>
        <w:ind w:leftChars="0"/>
        <w:rPr>
          <w:rFonts w:hint="default"/>
          <w:sz w:val="28"/>
          <w:szCs w:val="28"/>
          <w:lang w:val="en-US" w:eastAsia="zh-CN"/>
        </w:rPr>
      </w:pPr>
      <w:r>
        <w:rPr>
          <w:rFonts w:hint="eastAsia"/>
          <w:sz w:val="28"/>
          <w:szCs w:val="28"/>
          <w:lang w:val="en-US" w:eastAsia="zh-CN"/>
        </w:rPr>
        <w:t>税法规定，经济落后地区的城镇土地使用税可适当降低税税额，但降低税额不得超过最低税额的50%。  （         ）</w:t>
      </w: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选择题</w:t>
      </w:r>
    </w:p>
    <w:p>
      <w:pPr>
        <w:numPr>
          <w:ilvl w:val="0"/>
          <w:numId w:val="4"/>
        </w:numPr>
        <w:ind w:leftChars="0"/>
        <w:rPr>
          <w:rFonts w:hint="eastAsia"/>
          <w:sz w:val="28"/>
          <w:szCs w:val="28"/>
          <w:lang w:val="en-US" w:eastAsia="zh-CN"/>
        </w:rPr>
      </w:pPr>
      <w:r>
        <w:rPr>
          <w:rFonts w:hint="eastAsia"/>
          <w:sz w:val="28"/>
          <w:szCs w:val="28"/>
          <w:lang w:val="en-US" w:eastAsia="zh-CN"/>
        </w:rPr>
        <w:t>资源税的纳税人应当向（     ）主管税务机关缴纳资源税。</w:t>
      </w:r>
    </w:p>
    <w:p>
      <w:pPr>
        <w:numPr>
          <w:ilvl w:val="0"/>
          <w:numId w:val="0"/>
        </w:numPr>
        <w:rPr>
          <w:rFonts w:hint="eastAsia"/>
          <w:sz w:val="28"/>
          <w:szCs w:val="28"/>
          <w:lang w:val="en-US" w:eastAsia="zh-CN"/>
        </w:rPr>
      </w:pPr>
      <w:r>
        <w:rPr>
          <w:rFonts w:hint="eastAsia"/>
          <w:sz w:val="28"/>
          <w:szCs w:val="28"/>
          <w:lang w:val="en-US" w:eastAsia="zh-CN"/>
        </w:rPr>
        <w:t>A.应税产品的开采地   B.纳税人所在地</w:t>
      </w:r>
    </w:p>
    <w:p>
      <w:pPr>
        <w:numPr>
          <w:ilvl w:val="0"/>
          <w:numId w:val="0"/>
        </w:numPr>
        <w:rPr>
          <w:rFonts w:hint="eastAsia"/>
          <w:sz w:val="28"/>
          <w:szCs w:val="28"/>
          <w:lang w:val="en-US" w:eastAsia="zh-CN"/>
        </w:rPr>
      </w:pPr>
      <w:r>
        <w:rPr>
          <w:rFonts w:hint="eastAsia"/>
          <w:sz w:val="28"/>
          <w:szCs w:val="28"/>
          <w:lang w:val="en-US" w:eastAsia="zh-CN"/>
        </w:rPr>
        <w:t>C.纳税人注册地       D.生产所在地</w:t>
      </w:r>
    </w:p>
    <w:p>
      <w:pPr>
        <w:numPr>
          <w:ilvl w:val="0"/>
          <w:numId w:val="4"/>
        </w:numPr>
        <w:ind w:left="0" w:leftChars="0" w:firstLine="0" w:firstLineChars="0"/>
        <w:rPr>
          <w:rFonts w:hint="eastAsia"/>
          <w:sz w:val="28"/>
          <w:szCs w:val="28"/>
          <w:lang w:val="en-US" w:eastAsia="zh-CN"/>
        </w:rPr>
      </w:pPr>
      <w:r>
        <w:rPr>
          <w:rFonts w:hint="eastAsia"/>
          <w:sz w:val="28"/>
          <w:szCs w:val="28"/>
          <w:lang w:val="en-US" w:eastAsia="zh-CN"/>
        </w:rPr>
        <w:t>下列产品中，应缴纳资源税的有（       ）。</w:t>
      </w:r>
    </w:p>
    <w:p>
      <w:pPr>
        <w:numPr>
          <w:ilvl w:val="0"/>
          <w:numId w:val="0"/>
        </w:numPr>
        <w:ind w:leftChars="0"/>
        <w:rPr>
          <w:rFonts w:hint="eastAsia"/>
          <w:sz w:val="28"/>
          <w:szCs w:val="28"/>
          <w:lang w:val="en-US" w:eastAsia="zh-CN"/>
        </w:rPr>
      </w:pPr>
      <w:r>
        <w:rPr>
          <w:rFonts w:hint="eastAsia"/>
          <w:sz w:val="28"/>
          <w:szCs w:val="28"/>
          <w:lang w:val="en-US" w:eastAsia="zh-CN"/>
        </w:rPr>
        <w:t xml:space="preserve">A.固体盐     B.原油    C.林木    D.金属矿原矿 </w:t>
      </w:r>
    </w:p>
    <w:p>
      <w:pPr>
        <w:numPr>
          <w:ilvl w:val="0"/>
          <w:numId w:val="4"/>
        </w:numPr>
        <w:ind w:left="0" w:leftChars="0" w:firstLine="0" w:firstLineChars="0"/>
        <w:rPr>
          <w:rFonts w:hint="eastAsia"/>
          <w:sz w:val="28"/>
          <w:szCs w:val="28"/>
          <w:lang w:val="en-US" w:eastAsia="zh-CN"/>
        </w:rPr>
      </w:pPr>
      <w:r>
        <w:rPr>
          <w:rFonts w:hint="eastAsia"/>
          <w:sz w:val="28"/>
          <w:szCs w:val="28"/>
          <w:lang w:val="en-US" w:eastAsia="zh-CN"/>
        </w:rPr>
        <w:t>某煤矿某月生产、销售原煤120万吨，应缴纳（     ）。</w:t>
      </w:r>
    </w:p>
    <w:p>
      <w:pPr>
        <w:numPr>
          <w:ilvl w:val="0"/>
          <w:numId w:val="0"/>
        </w:numPr>
        <w:ind w:leftChars="0"/>
        <w:rPr>
          <w:rFonts w:hint="eastAsia"/>
          <w:sz w:val="28"/>
          <w:szCs w:val="28"/>
          <w:lang w:val="en-US" w:eastAsia="zh-CN"/>
        </w:rPr>
      </w:pPr>
      <w:r>
        <w:rPr>
          <w:rFonts w:hint="eastAsia"/>
          <w:sz w:val="28"/>
          <w:szCs w:val="28"/>
          <w:lang w:val="en-US" w:eastAsia="zh-CN"/>
        </w:rPr>
        <w:t>A.印花税     B.资源税    C.城市维护建设税    D.增值税</w:t>
      </w:r>
    </w:p>
    <w:p>
      <w:pPr>
        <w:numPr>
          <w:ilvl w:val="0"/>
          <w:numId w:val="4"/>
        </w:numPr>
        <w:ind w:left="0" w:leftChars="0" w:firstLine="0" w:firstLineChars="0"/>
        <w:rPr>
          <w:rFonts w:hint="eastAsia"/>
          <w:sz w:val="28"/>
          <w:szCs w:val="28"/>
          <w:lang w:val="en-US" w:eastAsia="zh-CN"/>
        </w:rPr>
      </w:pPr>
      <w:r>
        <w:rPr>
          <w:rFonts w:hint="eastAsia"/>
          <w:sz w:val="28"/>
          <w:szCs w:val="28"/>
          <w:lang w:val="en-US" w:eastAsia="zh-CN"/>
        </w:rPr>
        <w:t>下列属于资源税纳税人的有（        ）。</w:t>
      </w:r>
    </w:p>
    <w:p>
      <w:pPr>
        <w:numPr>
          <w:ilvl w:val="0"/>
          <w:numId w:val="0"/>
        </w:numPr>
        <w:ind w:leftChars="0"/>
        <w:rPr>
          <w:rFonts w:hint="eastAsia"/>
          <w:sz w:val="28"/>
          <w:szCs w:val="28"/>
          <w:lang w:val="en-US" w:eastAsia="zh-CN"/>
        </w:rPr>
      </w:pPr>
      <w:r>
        <w:rPr>
          <w:rFonts w:hint="eastAsia"/>
          <w:sz w:val="28"/>
          <w:szCs w:val="28"/>
          <w:lang w:val="en-US" w:eastAsia="zh-CN"/>
        </w:rPr>
        <w:t>A.开采铁矿石的国有企业     B.五矿进出口公司</w:t>
      </w:r>
    </w:p>
    <w:p>
      <w:pPr>
        <w:numPr>
          <w:ilvl w:val="0"/>
          <w:numId w:val="0"/>
        </w:numPr>
        <w:ind w:leftChars="0"/>
        <w:rPr>
          <w:rFonts w:hint="eastAsia"/>
          <w:sz w:val="28"/>
          <w:szCs w:val="28"/>
          <w:lang w:val="en-US" w:eastAsia="zh-CN"/>
        </w:rPr>
      </w:pPr>
      <w:r>
        <w:rPr>
          <w:rFonts w:hint="eastAsia"/>
          <w:sz w:val="28"/>
          <w:szCs w:val="28"/>
          <w:lang w:val="en-US" w:eastAsia="zh-CN"/>
        </w:rPr>
        <w:t>C.开采金属矿的外商投资企业  D.钢铁生产企业</w:t>
      </w:r>
    </w:p>
    <w:p>
      <w:pPr>
        <w:numPr>
          <w:ilvl w:val="0"/>
          <w:numId w:val="4"/>
        </w:numPr>
        <w:ind w:left="0" w:leftChars="0" w:firstLine="0" w:firstLineChars="0"/>
        <w:rPr>
          <w:rFonts w:hint="eastAsia"/>
          <w:sz w:val="28"/>
          <w:szCs w:val="28"/>
          <w:lang w:val="en-US" w:eastAsia="zh-CN"/>
        </w:rPr>
      </w:pPr>
      <w:r>
        <w:rPr>
          <w:rFonts w:hint="eastAsia"/>
          <w:sz w:val="28"/>
          <w:szCs w:val="28"/>
          <w:lang w:val="en-US" w:eastAsia="zh-CN"/>
        </w:rPr>
        <w:t>土地增值税的最高税率为（     ）。</w:t>
      </w:r>
    </w:p>
    <w:p>
      <w:pPr>
        <w:numPr>
          <w:ilvl w:val="0"/>
          <w:numId w:val="0"/>
        </w:numPr>
        <w:ind w:leftChars="0"/>
        <w:rPr>
          <w:rFonts w:hint="eastAsia"/>
          <w:sz w:val="28"/>
          <w:szCs w:val="28"/>
          <w:lang w:val="en-US" w:eastAsia="zh-CN"/>
        </w:rPr>
      </w:pPr>
      <w:r>
        <w:rPr>
          <w:rFonts w:hint="eastAsia"/>
          <w:sz w:val="28"/>
          <w:szCs w:val="28"/>
          <w:lang w:val="en-US" w:eastAsia="zh-CN"/>
        </w:rPr>
        <w:t>A.50%     B.20%      C.30%   D.60%</w:t>
      </w:r>
    </w:p>
    <w:p>
      <w:pPr>
        <w:numPr>
          <w:ilvl w:val="0"/>
          <w:numId w:val="4"/>
        </w:numPr>
        <w:ind w:left="0" w:leftChars="0" w:firstLine="0" w:firstLineChars="0"/>
        <w:rPr>
          <w:rFonts w:hint="eastAsia"/>
          <w:sz w:val="28"/>
          <w:szCs w:val="28"/>
          <w:lang w:val="en-US" w:eastAsia="zh-CN"/>
        </w:rPr>
      </w:pPr>
      <w:r>
        <w:rPr>
          <w:rFonts w:hint="eastAsia"/>
          <w:sz w:val="28"/>
          <w:szCs w:val="28"/>
          <w:lang w:val="en-US" w:eastAsia="zh-CN"/>
        </w:rPr>
        <w:t>土地增值额超过扣除项目金额（      ）的部分，税率为60%。</w:t>
      </w:r>
    </w:p>
    <w:p>
      <w:pPr>
        <w:numPr>
          <w:ilvl w:val="0"/>
          <w:numId w:val="0"/>
        </w:numPr>
        <w:ind w:leftChars="0"/>
        <w:rPr>
          <w:rFonts w:hint="eastAsia"/>
          <w:sz w:val="28"/>
          <w:szCs w:val="28"/>
          <w:lang w:val="en-US" w:eastAsia="zh-CN"/>
        </w:rPr>
      </w:pPr>
      <w:r>
        <w:rPr>
          <w:rFonts w:hint="eastAsia"/>
          <w:sz w:val="28"/>
          <w:szCs w:val="28"/>
          <w:lang w:val="en-US" w:eastAsia="zh-CN"/>
        </w:rPr>
        <w:t>A.50%      B.60%    C.100%    D.200%</w:t>
      </w:r>
    </w:p>
    <w:p>
      <w:pPr>
        <w:numPr>
          <w:ilvl w:val="0"/>
          <w:numId w:val="4"/>
        </w:numPr>
        <w:ind w:left="0" w:leftChars="0" w:firstLine="0" w:firstLineChars="0"/>
        <w:rPr>
          <w:rFonts w:hint="eastAsia"/>
          <w:sz w:val="28"/>
          <w:szCs w:val="28"/>
          <w:lang w:val="en-US" w:eastAsia="zh-CN"/>
        </w:rPr>
      </w:pPr>
      <w:r>
        <w:rPr>
          <w:rFonts w:hint="eastAsia"/>
          <w:sz w:val="28"/>
          <w:szCs w:val="28"/>
          <w:lang w:val="en-US" w:eastAsia="zh-CN"/>
        </w:rPr>
        <w:t>下列情形中，需要按照房地产评估价格计算征收土地增值税的是（         ）。</w:t>
      </w:r>
    </w:p>
    <w:p>
      <w:pPr>
        <w:numPr>
          <w:ilvl w:val="0"/>
          <w:numId w:val="0"/>
        </w:numPr>
        <w:ind w:leftChars="0"/>
        <w:rPr>
          <w:rFonts w:hint="eastAsia"/>
          <w:sz w:val="28"/>
          <w:szCs w:val="28"/>
          <w:lang w:val="en-US" w:eastAsia="zh-CN"/>
        </w:rPr>
      </w:pPr>
      <w:r>
        <w:rPr>
          <w:rFonts w:hint="eastAsia"/>
          <w:sz w:val="28"/>
          <w:szCs w:val="28"/>
          <w:lang w:val="en-US" w:eastAsia="zh-CN"/>
        </w:rPr>
        <w:t xml:space="preserve">A.隐瞒、虚报房地产成交价格的     </w:t>
      </w:r>
    </w:p>
    <w:p>
      <w:pPr>
        <w:numPr>
          <w:ilvl w:val="0"/>
          <w:numId w:val="0"/>
        </w:numPr>
        <w:ind w:leftChars="0"/>
        <w:rPr>
          <w:rFonts w:hint="eastAsia"/>
          <w:sz w:val="28"/>
          <w:szCs w:val="28"/>
          <w:lang w:val="en-US" w:eastAsia="zh-CN"/>
        </w:rPr>
      </w:pPr>
      <w:r>
        <w:rPr>
          <w:rFonts w:hint="eastAsia"/>
          <w:sz w:val="28"/>
          <w:szCs w:val="28"/>
          <w:lang w:val="en-US" w:eastAsia="zh-CN"/>
        </w:rPr>
        <w:t>B.提供扣除项目金额不实的</w:t>
      </w:r>
    </w:p>
    <w:p>
      <w:pPr>
        <w:numPr>
          <w:ilvl w:val="0"/>
          <w:numId w:val="0"/>
        </w:numPr>
        <w:ind w:leftChars="0"/>
        <w:rPr>
          <w:rFonts w:hint="eastAsia"/>
          <w:sz w:val="28"/>
          <w:szCs w:val="28"/>
          <w:lang w:val="en-US" w:eastAsia="zh-CN"/>
        </w:rPr>
      </w:pPr>
      <w:r>
        <w:rPr>
          <w:rFonts w:hint="eastAsia"/>
          <w:sz w:val="28"/>
          <w:szCs w:val="28"/>
          <w:lang w:val="en-US" w:eastAsia="zh-CN"/>
        </w:rPr>
        <w:t>C.转让房地产的成交价格低于房地产评估价格，又无正当理由的</w:t>
      </w:r>
    </w:p>
    <w:p>
      <w:pPr>
        <w:numPr>
          <w:ilvl w:val="0"/>
          <w:numId w:val="0"/>
        </w:numPr>
        <w:ind w:leftChars="0"/>
        <w:rPr>
          <w:rFonts w:hint="eastAsia"/>
          <w:sz w:val="28"/>
          <w:szCs w:val="28"/>
          <w:lang w:val="en-US" w:eastAsia="zh-CN"/>
        </w:rPr>
      </w:pPr>
      <w:r>
        <w:rPr>
          <w:rFonts w:hint="eastAsia"/>
          <w:sz w:val="28"/>
          <w:szCs w:val="28"/>
          <w:lang w:val="en-US" w:eastAsia="zh-CN"/>
        </w:rPr>
        <w:t>D.转让房地产的成交价格高于房地产评估价格，又无正当理由的</w:t>
      </w:r>
    </w:p>
    <w:p>
      <w:pPr>
        <w:numPr>
          <w:ilvl w:val="0"/>
          <w:numId w:val="4"/>
        </w:numPr>
        <w:ind w:left="0" w:leftChars="0" w:firstLine="0" w:firstLineChars="0"/>
        <w:rPr>
          <w:rFonts w:hint="eastAsia"/>
          <w:sz w:val="28"/>
          <w:szCs w:val="28"/>
          <w:lang w:val="en-US" w:eastAsia="zh-CN"/>
        </w:rPr>
      </w:pPr>
      <w:r>
        <w:rPr>
          <w:rFonts w:hint="eastAsia"/>
          <w:sz w:val="28"/>
          <w:szCs w:val="28"/>
          <w:lang w:val="en-US" w:eastAsia="zh-CN"/>
        </w:rPr>
        <w:t>房地产评估价包括的含义是（      ）。</w:t>
      </w:r>
    </w:p>
    <w:p>
      <w:pPr>
        <w:numPr>
          <w:ilvl w:val="0"/>
          <w:numId w:val="0"/>
        </w:numPr>
        <w:ind w:leftChars="0"/>
        <w:rPr>
          <w:rFonts w:hint="eastAsia"/>
          <w:sz w:val="28"/>
          <w:szCs w:val="28"/>
          <w:lang w:val="en-US" w:eastAsia="zh-CN"/>
        </w:rPr>
      </w:pPr>
      <w:r>
        <w:rPr>
          <w:rFonts w:hint="eastAsia"/>
          <w:sz w:val="28"/>
          <w:szCs w:val="28"/>
          <w:lang w:val="en-US" w:eastAsia="zh-CN"/>
        </w:rPr>
        <w:t>A.成交价高于房地产评估价格的，按评估的市场交易价计算收入</w:t>
      </w:r>
    </w:p>
    <w:p>
      <w:pPr>
        <w:numPr>
          <w:ilvl w:val="0"/>
          <w:numId w:val="0"/>
        </w:numPr>
        <w:ind w:leftChars="0"/>
        <w:rPr>
          <w:rFonts w:hint="eastAsia"/>
          <w:sz w:val="28"/>
          <w:szCs w:val="28"/>
          <w:lang w:val="en-US" w:eastAsia="zh-CN"/>
        </w:rPr>
      </w:pPr>
      <w:r>
        <w:rPr>
          <w:rFonts w:hint="eastAsia"/>
          <w:sz w:val="28"/>
          <w:szCs w:val="28"/>
          <w:lang w:val="en-US" w:eastAsia="zh-CN"/>
        </w:rPr>
        <w:t>B.成交价低于房地产评估价格的，按评估的市场交易价计算收入</w:t>
      </w:r>
    </w:p>
    <w:p>
      <w:pPr>
        <w:numPr>
          <w:ilvl w:val="0"/>
          <w:numId w:val="0"/>
        </w:numPr>
        <w:ind w:leftChars="0"/>
        <w:rPr>
          <w:rFonts w:hint="eastAsia"/>
          <w:sz w:val="28"/>
          <w:szCs w:val="28"/>
          <w:lang w:val="en-US" w:eastAsia="zh-CN"/>
        </w:rPr>
      </w:pPr>
      <w:r>
        <w:rPr>
          <w:rFonts w:hint="eastAsia"/>
          <w:sz w:val="28"/>
          <w:szCs w:val="28"/>
          <w:lang w:val="en-US" w:eastAsia="zh-CN"/>
        </w:rPr>
        <w:t>C.未提供扣除项目金额，按评估的土地基准价或房屋重置价乘以成新折扣率的价格确定扣除金额</w:t>
      </w:r>
    </w:p>
    <w:p>
      <w:pPr>
        <w:numPr>
          <w:ilvl w:val="0"/>
          <w:numId w:val="0"/>
        </w:numPr>
        <w:ind w:leftChars="0"/>
        <w:rPr>
          <w:rFonts w:hint="eastAsia"/>
          <w:sz w:val="28"/>
          <w:szCs w:val="28"/>
          <w:lang w:val="en-US" w:eastAsia="zh-CN"/>
        </w:rPr>
      </w:pPr>
      <w:r>
        <w:rPr>
          <w:rFonts w:hint="eastAsia"/>
          <w:sz w:val="28"/>
          <w:szCs w:val="28"/>
          <w:lang w:val="en-US" w:eastAsia="zh-CN"/>
        </w:rPr>
        <w:t>D.提供扣除项目金额不实的，按评估的土地基准价或房屋重置价乘以成新折扣率的价格确定扣除金额</w:t>
      </w:r>
    </w:p>
    <w:p>
      <w:pPr>
        <w:numPr>
          <w:ilvl w:val="0"/>
          <w:numId w:val="4"/>
        </w:numPr>
        <w:ind w:left="0" w:leftChars="0" w:firstLine="0" w:firstLineChars="0"/>
        <w:rPr>
          <w:rFonts w:hint="eastAsia"/>
          <w:sz w:val="28"/>
          <w:szCs w:val="28"/>
          <w:lang w:val="en-US" w:eastAsia="zh-CN"/>
        </w:rPr>
      </w:pPr>
      <w:r>
        <w:rPr>
          <w:rFonts w:hint="eastAsia"/>
          <w:sz w:val="28"/>
          <w:szCs w:val="28"/>
          <w:lang w:val="en-US" w:eastAsia="zh-CN"/>
        </w:rPr>
        <w:t>下列项目，属于暂免土地增值税的是（      ）。</w:t>
      </w:r>
    </w:p>
    <w:p>
      <w:pPr>
        <w:numPr>
          <w:ilvl w:val="0"/>
          <w:numId w:val="0"/>
        </w:numPr>
        <w:ind w:leftChars="0"/>
        <w:rPr>
          <w:rFonts w:hint="eastAsia"/>
          <w:sz w:val="28"/>
          <w:szCs w:val="28"/>
          <w:lang w:val="en-US" w:eastAsia="zh-CN"/>
        </w:rPr>
      </w:pPr>
      <w:r>
        <w:rPr>
          <w:rFonts w:hint="eastAsia"/>
          <w:sz w:val="28"/>
          <w:szCs w:val="28"/>
          <w:lang w:val="en-US" w:eastAsia="zh-CN"/>
        </w:rPr>
        <w:t>A.以房地产进行投资，投资一方以房地产作价入股，将房地产转让到所投资企业中的</w:t>
      </w:r>
    </w:p>
    <w:p>
      <w:pPr>
        <w:numPr>
          <w:ilvl w:val="0"/>
          <w:numId w:val="0"/>
        </w:numPr>
        <w:ind w:leftChars="0"/>
        <w:rPr>
          <w:rFonts w:hint="eastAsia"/>
          <w:sz w:val="28"/>
          <w:szCs w:val="28"/>
          <w:lang w:val="en-US" w:eastAsia="zh-CN"/>
        </w:rPr>
      </w:pPr>
      <w:r>
        <w:rPr>
          <w:rFonts w:hint="eastAsia"/>
          <w:sz w:val="28"/>
          <w:szCs w:val="28"/>
          <w:lang w:val="en-US" w:eastAsia="zh-CN"/>
        </w:rPr>
        <w:t>B.合作建房，一方出土地，一方出资金，建成后按比例分房自用的</w:t>
      </w:r>
    </w:p>
    <w:p>
      <w:pPr>
        <w:numPr>
          <w:ilvl w:val="0"/>
          <w:numId w:val="0"/>
        </w:numPr>
        <w:ind w:leftChars="0"/>
        <w:rPr>
          <w:rFonts w:hint="eastAsia"/>
          <w:sz w:val="28"/>
          <w:szCs w:val="28"/>
          <w:lang w:val="en-US" w:eastAsia="zh-CN"/>
        </w:rPr>
      </w:pPr>
      <w:r>
        <w:rPr>
          <w:rFonts w:hint="eastAsia"/>
          <w:sz w:val="28"/>
          <w:szCs w:val="28"/>
          <w:lang w:val="en-US" w:eastAsia="zh-CN"/>
        </w:rPr>
        <w:t>C.企业兼并时，被兼并企业将房地产转让到兼并企业中的</w:t>
      </w:r>
    </w:p>
    <w:p>
      <w:pPr>
        <w:numPr>
          <w:ilvl w:val="0"/>
          <w:numId w:val="0"/>
        </w:numPr>
        <w:ind w:leftChars="0"/>
        <w:rPr>
          <w:rFonts w:hint="eastAsia"/>
          <w:sz w:val="28"/>
          <w:szCs w:val="28"/>
          <w:lang w:val="en-US" w:eastAsia="zh-CN"/>
        </w:rPr>
      </w:pPr>
      <w:r>
        <w:rPr>
          <w:rFonts w:hint="eastAsia"/>
          <w:sz w:val="28"/>
          <w:szCs w:val="28"/>
          <w:lang w:val="en-US" w:eastAsia="zh-CN"/>
        </w:rPr>
        <w:t>D.以房地产进行联营，联营一方以房地产作为联营条件，将房地产转让到联营企业中的</w:t>
      </w:r>
    </w:p>
    <w:p>
      <w:pPr>
        <w:numPr>
          <w:ilvl w:val="0"/>
          <w:numId w:val="4"/>
        </w:numPr>
        <w:ind w:left="0" w:leftChars="0" w:firstLine="0" w:firstLineChars="0"/>
        <w:rPr>
          <w:rFonts w:hint="default"/>
          <w:sz w:val="28"/>
          <w:szCs w:val="28"/>
          <w:lang w:val="en-US" w:eastAsia="zh-CN"/>
        </w:rPr>
      </w:pPr>
      <w:bookmarkStart w:id="0" w:name="_GoBack"/>
      <w:bookmarkEnd w:id="0"/>
      <w:r>
        <w:rPr>
          <w:rFonts w:hint="eastAsia"/>
          <w:sz w:val="28"/>
          <w:szCs w:val="28"/>
          <w:lang w:val="en-US" w:eastAsia="zh-CN"/>
        </w:rPr>
        <w:t>耕地占用税的纳税人包括（      ）。</w:t>
      </w:r>
    </w:p>
    <w:p>
      <w:pPr>
        <w:numPr>
          <w:ilvl w:val="0"/>
          <w:numId w:val="0"/>
        </w:numPr>
        <w:ind w:leftChars="0"/>
        <w:rPr>
          <w:rFonts w:hint="eastAsia"/>
          <w:sz w:val="28"/>
          <w:szCs w:val="28"/>
          <w:lang w:val="en-US" w:eastAsia="zh-CN"/>
        </w:rPr>
      </w:pPr>
      <w:r>
        <w:rPr>
          <w:rFonts w:hint="eastAsia"/>
          <w:sz w:val="28"/>
          <w:szCs w:val="28"/>
          <w:lang w:val="en-US" w:eastAsia="zh-CN"/>
        </w:rPr>
        <w:t>A.国有企业      B.股份制企业   C.外商投资企业    D.社会团体</w:t>
      </w:r>
    </w:p>
    <w:p>
      <w:pPr>
        <w:numPr>
          <w:ilvl w:val="0"/>
          <w:numId w:val="4"/>
        </w:numPr>
        <w:ind w:left="0" w:leftChars="0" w:firstLine="0" w:firstLineChars="0"/>
        <w:rPr>
          <w:rFonts w:hint="eastAsia"/>
          <w:sz w:val="28"/>
          <w:szCs w:val="28"/>
          <w:lang w:val="en-US" w:eastAsia="zh-CN"/>
        </w:rPr>
      </w:pPr>
      <w:r>
        <w:rPr>
          <w:rFonts w:hint="eastAsia"/>
          <w:sz w:val="28"/>
          <w:szCs w:val="28"/>
          <w:lang w:val="en-US" w:eastAsia="zh-CN"/>
        </w:rPr>
        <w:t>城镇土地使用税的征税范围是（       ）。</w:t>
      </w:r>
    </w:p>
    <w:p>
      <w:pPr>
        <w:numPr>
          <w:ilvl w:val="0"/>
          <w:numId w:val="0"/>
        </w:numPr>
        <w:ind w:leftChars="0"/>
        <w:rPr>
          <w:rFonts w:hint="eastAsia"/>
          <w:sz w:val="28"/>
          <w:szCs w:val="28"/>
          <w:lang w:val="en-US" w:eastAsia="zh-CN"/>
        </w:rPr>
      </w:pPr>
      <w:r>
        <w:rPr>
          <w:rFonts w:hint="eastAsia"/>
          <w:sz w:val="28"/>
          <w:szCs w:val="28"/>
          <w:lang w:val="en-US" w:eastAsia="zh-CN"/>
        </w:rPr>
        <w:t>A.城市    B.农村   C.建制镇  D.工矿区</w:t>
      </w:r>
    </w:p>
    <w:p>
      <w:pPr>
        <w:numPr>
          <w:ilvl w:val="0"/>
          <w:numId w:val="4"/>
        </w:numPr>
        <w:ind w:left="0" w:leftChars="0" w:firstLine="0" w:firstLineChars="0"/>
        <w:rPr>
          <w:rFonts w:hint="eastAsia"/>
          <w:sz w:val="28"/>
          <w:szCs w:val="28"/>
          <w:lang w:val="en-US" w:eastAsia="zh-CN"/>
        </w:rPr>
      </w:pPr>
      <w:r>
        <w:rPr>
          <w:rFonts w:hint="eastAsia"/>
          <w:sz w:val="28"/>
          <w:szCs w:val="28"/>
          <w:lang w:val="en-US" w:eastAsia="zh-CN"/>
        </w:rPr>
        <w:t>下列情况中，可免征城镇土地使用税的是（      ）。</w:t>
      </w:r>
    </w:p>
    <w:p>
      <w:pPr>
        <w:numPr>
          <w:ilvl w:val="0"/>
          <w:numId w:val="0"/>
        </w:numPr>
        <w:ind w:leftChars="0"/>
        <w:rPr>
          <w:rFonts w:hint="eastAsia"/>
          <w:sz w:val="28"/>
          <w:szCs w:val="28"/>
          <w:lang w:val="en-US" w:eastAsia="zh-CN"/>
        </w:rPr>
      </w:pPr>
      <w:r>
        <w:rPr>
          <w:rFonts w:hint="eastAsia"/>
          <w:sz w:val="28"/>
          <w:szCs w:val="28"/>
          <w:lang w:val="en-US" w:eastAsia="zh-CN"/>
        </w:rPr>
        <w:t>A.企业自用的土地        B.国家机关自用的土地</w:t>
      </w:r>
    </w:p>
    <w:p>
      <w:pPr>
        <w:numPr>
          <w:ilvl w:val="0"/>
          <w:numId w:val="0"/>
        </w:numPr>
        <w:ind w:leftChars="0"/>
        <w:rPr>
          <w:rFonts w:hint="eastAsia"/>
          <w:sz w:val="28"/>
          <w:szCs w:val="28"/>
          <w:lang w:val="en-US" w:eastAsia="zh-CN"/>
        </w:rPr>
      </w:pPr>
      <w:r>
        <w:rPr>
          <w:rFonts w:hint="eastAsia"/>
          <w:sz w:val="28"/>
          <w:szCs w:val="28"/>
          <w:lang w:val="en-US" w:eastAsia="zh-CN"/>
        </w:rPr>
        <w:t>C.公园自用的土地        D.市政建设的公共土地</w:t>
      </w: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问答题</w:t>
      </w:r>
    </w:p>
    <w:p>
      <w:pPr>
        <w:numPr>
          <w:ilvl w:val="0"/>
          <w:numId w:val="0"/>
        </w:numPr>
        <w:ind w:leftChars="0"/>
        <w:rPr>
          <w:rFonts w:hint="eastAsia"/>
          <w:sz w:val="28"/>
          <w:szCs w:val="28"/>
          <w:lang w:val="en-US" w:eastAsia="zh-CN"/>
        </w:rPr>
      </w:pPr>
      <w:r>
        <w:rPr>
          <w:rFonts w:hint="eastAsia"/>
          <w:sz w:val="28"/>
          <w:szCs w:val="28"/>
          <w:lang w:val="en-US" w:eastAsia="zh-CN"/>
        </w:rPr>
        <w:t>土地增值税应纳税额的额计算步骤</w:t>
      </w: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计算题</w:t>
      </w:r>
    </w:p>
    <w:p>
      <w:pPr>
        <w:numPr>
          <w:ilvl w:val="0"/>
          <w:numId w:val="5"/>
        </w:numPr>
        <w:ind w:leftChars="0"/>
        <w:rPr>
          <w:rFonts w:hint="eastAsia"/>
          <w:sz w:val="28"/>
          <w:szCs w:val="28"/>
          <w:lang w:val="en-US" w:eastAsia="zh-CN"/>
        </w:rPr>
      </w:pPr>
      <w:r>
        <w:rPr>
          <w:rFonts w:hint="eastAsia"/>
          <w:sz w:val="28"/>
          <w:szCs w:val="28"/>
          <w:lang w:val="en-US" w:eastAsia="zh-CN"/>
        </w:rPr>
        <w:t>某房地产开发公司建造普通标准住宅，取得销售总收入4000万元。为建造标准普通住宅发生的相关支出如下：取得土地使用权支付的金额为200万元；房地产开发成本为1500万元；该公司的贷款利息支出不能提供金融机构出具的证明，当地规定的费用扣除率为10%；与转让房地产相关的税金为220万元。</w:t>
      </w:r>
    </w:p>
    <w:p>
      <w:pPr>
        <w:numPr>
          <w:ilvl w:val="0"/>
          <w:numId w:val="0"/>
        </w:numPr>
        <w:jc w:val="center"/>
        <w:rPr>
          <w:rFonts w:hint="eastAsia"/>
          <w:sz w:val="28"/>
          <w:szCs w:val="28"/>
          <w:lang w:val="en-US" w:eastAsia="zh-CN"/>
        </w:rPr>
      </w:pPr>
      <w:r>
        <w:rPr>
          <w:rFonts w:hint="eastAsia"/>
          <w:sz w:val="28"/>
          <w:szCs w:val="28"/>
          <w:lang w:val="en-US" w:eastAsia="zh-CN"/>
        </w:rPr>
        <w:t>土地增值税税率表</w:t>
      </w:r>
    </w:p>
    <w:p>
      <w:pPr>
        <w:numPr>
          <w:ilvl w:val="0"/>
          <w:numId w:val="0"/>
        </w:numPr>
        <w:rPr>
          <w:rFonts w:hint="eastAsia"/>
          <w:sz w:val="28"/>
          <w:szCs w:val="28"/>
          <w:lang w:val="en-US" w:eastAsia="zh-CN"/>
        </w:rPr>
      </w:pPr>
      <w:r>
        <w:rPr>
          <w:rFonts w:hint="eastAsia"/>
          <w:sz w:val="28"/>
          <w:szCs w:val="28"/>
          <w:lang w:val="en-US" w:eastAsia="zh-CN"/>
        </w:rPr>
        <w:t>要求：（1）该公司是否需要缴纳土地增值税？</w:t>
      </w:r>
    </w:p>
    <w:p>
      <w:pPr>
        <w:numPr>
          <w:ilvl w:val="0"/>
          <w:numId w:val="6"/>
        </w:numPr>
        <w:ind w:left="700" w:leftChars="0" w:firstLine="0" w:firstLineChars="0"/>
        <w:rPr>
          <w:rFonts w:hint="eastAsia"/>
          <w:sz w:val="28"/>
          <w:szCs w:val="28"/>
          <w:lang w:val="en-US" w:eastAsia="zh-CN"/>
        </w:rPr>
      </w:pPr>
      <w:r>
        <w:rPr>
          <w:rFonts w:hint="eastAsia"/>
          <w:sz w:val="28"/>
          <w:szCs w:val="28"/>
          <w:lang w:val="en-US" w:eastAsia="zh-CN"/>
        </w:rPr>
        <w:t>若需缴纳，试计算该公司应缴纳的土地增值税的税额。</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某房地产开发公司在市区建造一幢写字楼，取得销售收入3000万元。为建造此写字楼发生的相关支出如下：取得土地使用权支付的金额为100万元；土地征用费用100万元，前期工程费50万元，建筑安装工程费200万元，公共配套设施费用150万元，开发间接费用50万元；该公司发生贷款利息支出80万元，并能够按转让房地产项目分摊并提供金融机构证明；对于其他房地产开发费用，当地规定的扣除率为5%；与房地产转让有关的税金为165万元。</w:t>
      </w:r>
    </w:p>
    <w:p>
      <w:pPr>
        <w:numPr>
          <w:ilvl w:val="0"/>
          <w:numId w:val="0"/>
        </w:numPr>
        <w:ind w:leftChars="0"/>
        <w:rPr>
          <w:rFonts w:hint="eastAsia"/>
          <w:sz w:val="28"/>
          <w:szCs w:val="28"/>
          <w:lang w:val="en-US" w:eastAsia="zh-CN"/>
        </w:rPr>
      </w:pPr>
      <w:r>
        <w:rPr>
          <w:rFonts w:hint="eastAsia"/>
          <w:sz w:val="28"/>
          <w:szCs w:val="28"/>
          <w:lang w:val="en-US" w:eastAsia="zh-CN"/>
        </w:rPr>
        <w:t>试计算该公司应缴纳的土地增值税税额。</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某企业实际占用土地面积为18000平方米。其中13000平方米自用，3000平方米无偿借给军队作训练场；2000平方米出租，取得租金收入60万元，该企业所处地段规定的年税额为每平方米4元。</w:t>
      </w:r>
    </w:p>
    <w:p>
      <w:pPr>
        <w:numPr>
          <w:ilvl w:val="0"/>
          <w:numId w:val="0"/>
        </w:numPr>
        <w:ind w:leftChars="0"/>
        <w:rPr>
          <w:rFonts w:hint="eastAsia"/>
          <w:sz w:val="28"/>
          <w:szCs w:val="28"/>
          <w:lang w:val="en-US" w:eastAsia="zh-CN"/>
        </w:rPr>
      </w:pPr>
      <w:r>
        <w:rPr>
          <w:rFonts w:hint="eastAsia"/>
          <w:sz w:val="28"/>
          <w:szCs w:val="28"/>
          <w:lang w:val="en-US" w:eastAsia="zh-CN"/>
        </w:rPr>
        <w:t>试计算该企业当年应缴纳的城镇土地使用税。</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上海市某公司因业务拓展需要，占用了10000平方米耕地，属于基本农田。上海市人民政府核定的耕地占用税税额是每平方米46元，占用基本农田的适用税额在此基础上提高50%。</w:t>
      </w:r>
    </w:p>
    <w:p>
      <w:pPr>
        <w:numPr>
          <w:ilvl w:val="0"/>
          <w:numId w:val="0"/>
        </w:numPr>
        <w:ind w:leftChars="0"/>
        <w:rPr>
          <w:rFonts w:hint="default"/>
          <w:sz w:val="28"/>
          <w:szCs w:val="28"/>
          <w:lang w:val="en-US" w:eastAsia="zh-CN"/>
        </w:rPr>
      </w:pPr>
      <w:r>
        <w:rPr>
          <w:rFonts w:hint="eastAsia"/>
          <w:sz w:val="28"/>
          <w:szCs w:val="28"/>
          <w:lang w:val="en-US" w:eastAsia="zh-CN"/>
        </w:rPr>
        <w:t>试计算该公司应缴纳的耕地占用税税额。</w:t>
      </w:r>
    </w:p>
    <w:p>
      <w:pPr>
        <w:numPr>
          <w:ilvl w:val="0"/>
          <w:numId w:val="0"/>
        </w:numPr>
        <w:ind w:leftChars="0"/>
        <w:rPr>
          <w:rFonts w:hint="default"/>
          <w:sz w:val="28"/>
          <w:szCs w:val="28"/>
          <w:lang w:val="en-US" w:eastAsia="zh-CN"/>
        </w:rPr>
      </w:pPr>
    </w:p>
    <w:p>
      <w:pPr>
        <w:numPr>
          <w:ilvl w:val="0"/>
          <w:numId w:val="0"/>
        </w:numPr>
        <w:ind w:leftChars="0"/>
        <w:rPr>
          <w:rFonts w:hint="default"/>
          <w:sz w:val="28"/>
          <w:szCs w:val="28"/>
          <w:lang w:val="en-US" w:eastAsia="zh-CN"/>
        </w:rPr>
      </w:pPr>
    </w:p>
    <w:p>
      <w:pPr>
        <w:numPr>
          <w:ilvl w:val="0"/>
          <w:numId w:val="0"/>
        </w:numPr>
        <w:ind w:leftChars="0"/>
        <w:rPr>
          <w:rFonts w:hint="default"/>
          <w:sz w:val="28"/>
          <w:szCs w:val="28"/>
          <w:lang w:val="en-US" w:eastAsia="zh-CN"/>
        </w:rPr>
      </w:pPr>
      <w:r>
        <w:rPr>
          <w:rFonts w:hint="eastAsia"/>
          <w:sz w:val="28"/>
          <w:szCs w:val="28"/>
          <w:lang w:val="en-US" w:eastAsia="zh-CN"/>
        </w:rPr>
        <w:t xml:space="preserve">                                                                                                                                                                                             </w:t>
      </w:r>
    </w:p>
    <w:sectPr>
      <w:pgSz w:w="11906" w:h="16838"/>
      <w:pgMar w:top="1440" w:right="1800" w:bottom="1440" w:left="1800" w:header="851" w:footer="992" w:gutter="0"/>
      <w:cols w:space="425" w:num="1"/>
      <w:docGrid w:type="lines" w:linePitch="312" w:charSpace="0"/>
    </w:sectPr>
    <w:tbl>
      <w:tblPr>
        <w:tblStyle w:val="3"/>
        <w:tblW w:w="9072" w:type="dxa"/>
        <w:tblInd w:w="-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5640"/>
        <w:gridCol w:w="816"/>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级数</w:t>
            </w:r>
          </w:p>
        </w:tc>
        <w:tc>
          <w:tcPr>
            <w:tcW w:w="5640"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级距</w:t>
            </w:r>
          </w:p>
        </w:tc>
        <w:tc>
          <w:tcPr>
            <w:tcW w:w="816"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税率</w:t>
            </w:r>
          </w:p>
        </w:tc>
        <w:tc>
          <w:tcPr>
            <w:tcW w:w="1800" w:type="dxa"/>
          </w:tcPr>
          <w:p>
            <w:pPr>
              <w:numPr>
                <w:ilvl w:val="0"/>
                <w:numId w:val="0"/>
              </w:numPr>
              <w:jc w:val="center"/>
              <w:rPr>
                <w:rFonts w:hint="default"/>
                <w:sz w:val="28"/>
                <w:szCs w:val="28"/>
                <w:vertAlign w:val="baseline"/>
                <w:lang w:val="en-US" w:eastAsia="zh-CN"/>
              </w:rPr>
            </w:pPr>
            <w:r>
              <w:rPr>
                <w:rFonts w:hint="eastAsia"/>
                <w:sz w:val="28"/>
                <w:szCs w:val="28"/>
                <w:vertAlign w:val="baseline"/>
                <w:lang w:val="en-US" w:eastAsia="zh-CN"/>
              </w:rPr>
              <w:t>速算扣除数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564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增值额未超过扣除项目金额50%的部分</w:t>
            </w:r>
          </w:p>
        </w:tc>
        <w:tc>
          <w:tcPr>
            <w:tcW w:w="81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30%</w:t>
            </w:r>
          </w:p>
        </w:tc>
        <w:tc>
          <w:tcPr>
            <w:tcW w:w="180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564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增值额超过扣除项目金额50%、未超过100%的部分</w:t>
            </w:r>
          </w:p>
        </w:tc>
        <w:tc>
          <w:tcPr>
            <w:tcW w:w="81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40%</w:t>
            </w:r>
          </w:p>
        </w:tc>
        <w:tc>
          <w:tcPr>
            <w:tcW w:w="180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564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增值额超过扣除项目金额100%、未超过200%的部分</w:t>
            </w:r>
          </w:p>
        </w:tc>
        <w:tc>
          <w:tcPr>
            <w:tcW w:w="81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50%</w:t>
            </w:r>
          </w:p>
        </w:tc>
        <w:tc>
          <w:tcPr>
            <w:tcW w:w="180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4</w:t>
            </w:r>
          </w:p>
        </w:tc>
        <w:tc>
          <w:tcPr>
            <w:tcW w:w="564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增值额超过扣除项目金200%的部分</w:t>
            </w:r>
          </w:p>
        </w:tc>
        <w:tc>
          <w:tcPr>
            <w:tcW w:w="81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60%</w:t>
            </w:r>
          </w:p>
        </w:tc>
        <w:tc>
          <w:tcPr>
            <w:tcW w:w="180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35%</w:t>
            </w:r>
          </w:p>
        </w:tc>
      </w:tr>
    </w:tbl>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0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EFF" w:usb1="C000785B"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E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libri">
    <w:charset w:val="00"/>
    <w:family w:val="swiss"/>
    <w:panose1 w:val="020F0502020204030204"/>
    <w:pitch w:val="default"/>
    <w:sig w:usb0="E0002EFF" w:usb1="C000247B" w:usb2="00000009" w:usb3="00000000" w:csb0="200001FF" w:csb1="00000000"/>
  </w:font>
</w:fonts>
</file>

<file path=word/numbering.xml><?xml version="1.0" encoding="utf-8"?>
<w:numbering xmlns:w="http://schemas.openxmlformats.org/wordprocessingml/2006/main">
  <w:abstractNum w:abstractNumId="0">
    <w:lvl w:ilvl="0" w:tentative="0">
      <w:start w:val="1"/>
      <w:numFmt w:val="decimal"/>
      <w:suff w:val="nothing"/>
      <w:lvlText w:val="%1、"/>
      <w:lvlJc w:val="left"/>
    </w:lvl>
    <w:multiLevelType w:val="singleLevel"/>
    <w:tmpl w:val="A5680241"/>
  </w:abstractNum>
  <w:abstractNum w:abstractNumId="1">
    <w:lvl w:ilvl="0" w:tentative="0">
      <w:start w:val="1"/>
      <w:numFmt w:val="chineseCounting"/>
      <w:suff w:val="nothing"/>
      <w:lvlText w:val="%1、"/>
      <w:lvlJc w:val="left"/>
      <w:rPr>
        <w:rFonts w:hint="eastAsia"/>
      </w:rPr>
    </w:lvl>
    <w:multiLevelType w:val="singleLevel"/>
    <w:tmpl w:val="C84C638C"/>
  </w:abstractNum>
  <w:abstractNum w:abstractNumId="2">
    <w:lvl w:ilvl="0" w:tentative="0">
      <w:start w:val="2"/>
      <w:numFmt w:val="decimal"/>
      <w:suff w:val="nothing"/>
      <w:lvlText w:val="（%1）"/>
      <w:lvlJc w:val="left"/>
      <w:pPr>
        <w:ind w:left="700" w:leftChars="0" w:firstLine="0" w:firstLineChars="0"/>
      </w:pPr>
    </w:lvl>
    <w:multiLevelType w:val="singleLevel"/>
    <w:tmpl w:val="CA45C8BD"/>
  </w:abstractNum>
  <w:abstractNum w:abstractNumId="3">
    <w:lvl w:ilvl="0" w:tentative="0">
      <w:start w:val="1"/>
      <w:numFmt w:val="decimal"/>
      <w:suff w:val="nothing"/>
      <w:lvlText w:val="%1、"/>
      <w:lvlJc w:val="left"/>
    </w:lvl>
    <w:multiLevelType w:val="singleLevel"/>
    <w:tmpl w:val="F679CD21"/>
  </w:abstractNum>
  <w:abstractNum w:abstractNumId="4">
    <w:lvl w:ilvl="0" w:tentative="0">
      <w:start w:val="1"/>
      <w:numFmt w:val="decimal"/>
      <w:suff w:val="nothing"/>
      <w:lvlText w:val="%1、"/>
      <w:lvlJc w:val="left"/>
    </w:lvl>
    <w:multiLevelType w:val="singleLevel"/>
    <w:tmpl w:val="F7AF5E4B"/>
  </w:abstractNum>
  <w:abstractNum w:abstractNumId="5">
    <w:lvl w:ilvl="0" w:tentative="0">
      <w:start w:val="1"/>
      <w:numFmt w:val="decimal"/>
      <w:suff w:val="nothing"/>
      <w:lvlText w:val="%1、"/>
      <w:lvlJc w:val="left"/>
    </w:lvl>
    <w:multiLevelType w:val="singleLevel"/>
    <w:tmpl w:val="4A5E5201"/>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http://schemas.openxmlformats.org/officeDocument/2006/math" xmlns:w="http://schemas.openxmlformats.org/wordprocessingml/2006/main">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heme="minorHAnsi" w:hAnsiTheme="minorHAnsi" w:eastAsiaTheme="minorEastAsia" w:cstheme="minorBidi"/>
      <w:kern w:val="2"/>
      <w:sz w:val="21"/>
      <w:szCs w:val="24"/>
      <w:lang w:val="en-US" w:eastAsia="zh-CN" w:bidi="ar-SA"/>
    </w:rPr>
    <w:uiPriority w:val="0"/>
  </w:style>
  <w:style w:type="character" w:default="1" w:styleId="4">
    <w:name w:val="Default Paragraph Font"/>
    <w:semiHidden/>
    <w:uiPriority w:val="0"/>
  </w:style>
  <w:style w:type="table" w:default="1" w:styleId="2">
    <w:name w:val="Normal Table"/>
    <w:qFormat/>
    <w:semiHidden/>
    <w:tblPr>
      <w:tblCellMar>
        <w:top w:w="0" w:type="dxa"/>
        <w:left w:w="108" w:type="dxa"/>
        <w:bottom w:w="0" w:type="dxa"/>
        <w:right w:w="108" w:type="dxa"/>
      </w:tblCellMar>
    </w:tblPr>
    <w:uiPriority w:val="0"/>
  </w:style>
  <w:style w:type="table" w:styleId="3">
    <w:basedOn w:val="2"/>
    <w:name w:val="Table Grid"/>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