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0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1、“水晶宫”作为十九世纪的英国建筑奇观之一 ，</w:t>
      </w:r>
      <w:r>
        <w:rPr>
          <w:i w:val="0"/>
          <w:color w:val="333333"/>
          <w:spacing w:val="0"/>
          <w:sz w:val="21"/>
          <w:iCs w:val="0"/>
          <w:szCs w:val="21"/>
          <w:shd w:val="clear" w:fill="FFFFFF"/>
          <w:rFonts w:ascii="Helvetica" w:hAnsi="Helvetica" w:eastAsia="Helvetica" w:cs="Helvetica"/>
        </w:rPr>
        <w:t>采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纳了皇家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begin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instrText xml:space="preserve"> HYPERLINK "https://baike.baidu.com/item/%E5%9B%AD%E8%89%BA%E5%B8%88/5857109?fromModule=lemma_inlink" \t "https://baike.baidu.com/item/%E6%B0%B4%E6%99%B6%E5%AE%AB/_blank" </w:instrTex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separate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t>园艺师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end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begin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instrText xml:space="preserve"> HYPERLINK "https://baike.baidu.com/item/%E7%BA%A6%E7%91%9F%E5%A4%AB%C2%B7%E5%B8%95%E5%85%8B%E6%96%AF%E9%A1%BF/9722336?fromModule=lemma_inlink" \t "https://baike.baidu.com/item/%E6%B0%B4%E6%99%B6%E5%AE%AB/_blank" </w:instrTex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separate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t>约瑟夫·帕克斯顿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end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t>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begin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instrText xml:space="preserve"> HYPERLINK "https://baike.baidu.com/item/%E8%AE%BE%E8%AE%A1%E6%96%B9%E6%A1%88/2257691?fromModule=lemma_inlink" \t "https://baike.baidu.com/item/%E6%B0%B4%E6%99%B6%E5%AE%AB/_blank" </w:instrTex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separate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t>设计方案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end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 于1851的世博会上亮相，创造性地将花房式框架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begin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instrText xml:space="preserve"> HYPERLINK "https://baike.baidu.com/item/%E7%8E%BB%E7%92%83%E7%BB%93%E6%9E%84/2888906?fromModule=lemma_inlink" \t "https://baike.baidu.com/item/%E6%B0%B4%E6%99%B6%E5%AE%AB/_blank" </w:instrTex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separate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t>玻璃结构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fldChar w:fldCharType="end"/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  <w:t>运用到建筑设计之中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 xml:space="preserve"> 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0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2、约翰.拉斯金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的设计艺术理论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：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default"/>
        </w:rPr>
        <w:t>对机械化大工业生产的不满，对人性关注。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 xml:space="preserve"> 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default"/>
        </w:rPr>
        <w:t>主张艺术要与大众生活密切联系，倡导为人民的艺术设计。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 xml:space="preserve"> 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default"/>
        </w:rPr>
        <w:t>主张取消艺术和设计之间的差别，要求美学家从事产品设计。带有强烈的道德主义色彩，他关注艺术和技术相互作用的伦理方面，从道德主义立场批判资本主义社会。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 xml:space="preserve">        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3、威廉.莫里斯被称为现代设计之父。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lang w:val="en-US" w:eastAsia="zh-CN"/>
          <w:rFonts w:hint="eastAsia"/>
        </w:rPr>
        <w:t>4、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在新艺术运动中，法国新艺术运动以巴黎和南锡作为代表城市，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赫克托·吉马德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设计的巴黎地铁入口处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具有典型的新艺术运动风格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。比利时的代表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设计师维克多·霍塔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、亨利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·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凡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·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德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·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威尔德。维也纳分离派的主力军来自学院，其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代表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人物有华格纳、约瑟夫.霍夫曼。柳树茶室是新艺术运动中苏格兰格拉斯哥设计学派麦金托什的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代表作品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5、路易.沙利文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所注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提出了“形式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追随功能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”。阿道夫.卢斯提出“装饰即罪恶”的理念。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6、“流线型”运动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代表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设计师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有提格、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雷蒙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德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·罗维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，罗维更因为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对工业设计的杰出贡献，他成为第一个荣登美国最畅销杂志《时代》周刊封面的设计师。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好莱坞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风格盛行于20世纪三十年代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最早出现在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美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国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象征着时代精神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影响到生活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审美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 xml:space="preserve"> 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default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现代主义萌芽中个， 俄国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构成主义在组织形式上主要表现为松散的个人团体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，塔特林的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第三国际塔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方案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是有代表性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经典作品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。荷兰风格派的代表人物包括艺术家蒙德里安，施罗德住宅、红蓝椅都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是荷兰风格派具有代表性经典作品。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default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“斯堪的纳维亚设计风格”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，是指挪威、丹麦、芬兰、瑞典、冰岛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五国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，地处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北欧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的它们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 xml:space="preserve">有着得天独厚的自然资源和独特的手工艺文化传统 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 xml:space="preserve"> 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在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二战后出现了一次新的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设计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 xml:space="preserve">飞跃 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朴素的、有机的形态及自然色彩和质感在国际上大受欢迎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丹麦设计大师保罗.汉宁森设计的“PH”系列灯具体现了艺术与技术的完美统一。 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阿尔瓦.阿尔托是斯堪的纳维亚杰出设计师。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包豪斯学校的三位校长中，第二位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汉斯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.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迈耶是一名坚定的马克思主义者，其设计思想具有鲜明的社会主义理想。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早期的三位全职教员有约翰.伊顿 、杰哈德.马克斯、里昂内.费宁格。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米斯·凡·德·罗是“少则多”理论的倡导者他的建筑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作品有：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伊利诺理工学院克朗楼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、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 xml:space="preserve"> 巴塞罗那世博会德国馆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、范斯沃斯住宅；家具作品有：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巴塞罗那椅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现代主义设计的代表人物有勒.柯布西耶、弗兰克.赖特、路易.沙利文。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法国装饰艺术运动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代表人物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有艾琳·格雷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、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鲁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赫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曼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、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让·杜南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马克思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.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比尔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和托马斯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·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马尔多纳多是乌尔姆设计学院的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校长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飞利浦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.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约翰逊与米斯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.凡.德罗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合作设计的西格莱姆大厦成为建筑史上的国际主义里程碑，从而奠定了国际主义建筑风格的形式基础。 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罗伯特.文丘里在其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《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建筑的复杂性与矛盾性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》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一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书中提出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建筑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设计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既要有个性，又与当地环境紧密结合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他与查尔斯.詹克斯、埃托.索特萨斯均属于后现代主义设计大师。孟菲斯集团属于后现代设计集团。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 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英国建筑师和理论家查尔斯•詹克斯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作为提出“后现代主义”设计的先锋者，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为确立后现代设计理论做出了重要贡献，他最早在设计领域提出后现代主义的概念。出版了一系列的著作描述建筑领域的后现代状况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。以下属于他的著作是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《后现代主义》《今日建筑》《后现代主义建筑语言》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维克多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.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帕帕纳克于1971年出版了《为真实世界的设计》，书中提出设计服务对象和环境生态的问题。 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后现代主义产品设计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中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 xml:space="preserve"> 阿莱西公司设计的“自鸣式水壶”体现了幽默与风趣的情调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菲利普斯塔克设计的3腿榨柠檬机酷似正在爬行的昆虫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汉斯霍莱茵设计的“玛丽莲”沙发吸取欧洲古典家具中长椅的造型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，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 xml:space="preserve"> 索特萨斯设计的“书桌”充分展现了解构主义风格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1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default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国家大剧院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的设计师是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后现代主义保罗.安德鲁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0"/>
        </w:numPr>
        <w:spacing w:afterAutospacing="false" w:beforeAutospacing="false" w:line="360" w:lineRule="auto"/>
        <w:rPr>
          <w:b w:val="1"/>
          <w:color w:val="000000"/>
          <w:sz w:val="24"/>
          <w:lang w:val="en-US" w:eastAsia="zh-CN"/>
          <w:bCs/>
          <w:szCs w:val="24"/>
          <w:rFonts w:ascii="宋体" w:hAnsi="宋体" w:eastAsia="宋体" w:cs="宋体" w:hint="eastAsia"/>
        </w:rPr>
      </w:pPr>
      <w:r>
        <w:rPr>
          <w:b w:val="1"/>
          <w:color w:val="000000"/>
          <w:sz w:val="24"/>
          <w:lang w:val="en-US" w:eastAsia="zh-CN"/>
          <w:bCs/>
          <w:szCs w:val="24"/>
          <w:rFonts w:ascii="宋体" w:hAnsi="宋体" w:eastAsia="宋体" w:cs="宋体" w:hint="eastAsia"/>
        </w:rPr>
        <w:t>名词解释：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jc w:val="both"/>
        <w:widowControl w:val="0"/>
        <w:kinsoku/>
        <w:numPr>
          <w:ilvl w:val="0"/>
          <w:numId w:val="0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default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彼得.贝伦斯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、2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圣家族教堂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、3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波普设计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、4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雷姆.库哈斯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 xml:space="preserve">、5、德国工业同盟、6、红蓝椅、7、孟菲斯集团、8、绿色设计 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0"/>
        </w:numPr>
        <w:spacing w:afterAutospacing="false" w:beforeAutospacing="false" w:line="360" w:lineRule="auto"/>
        <w:rPr>
          <w:b w:val="1"/>
          <w:color w:val="000000"/>
          <w:sz w:val="24"/>
          <w:lang w:val="en-US" w:eastAsia="zh-CN"/>
          <w:bCs/>
          <w:szCs w:val="24"/>
          <w:rFonts w:ascii="宋体" w:hAnsi="宋体" w:eastAsia="宋体" w:cs="宋体" w:hint="eastAsia"/>
        </w:rPr>
      </w:pPr>
      <w:r>
        <w:rPr>
          <w:b w:val="1"/>
          <w:color w:val="000000"/>
          <w:sz w:val="24"/>
          <w:lang w:val="en-US" w:eastAsia="zh-CN"/>
          <w:bCs/>
          <w:szCs w:val="24"/>
          <w:rFonts w:ascii="宋体" w:hAnsi="宋体" w:eastAsia="宋体" w:cs="宋体" w:hint="eastAsia"/>
        </w:rPr>
        <w:t>问答</w:t>
      </w:r>
      <w:r>
        <w:rPr>
          <w:b w:val="1"/>
          <w:color w:val="000000"/>
          <w:sz w:val="24"/>
          <w:lang w:val="en-US" w:eastAsia="zh-CN"/>
          <w:bCs/>
          <w:szCs w:val="24"/>
          <w:rFonts w:ascii="宋体" w:hAnsi="宋体" w:cs="宋体" w:hint="eastAsia"/>
        </w:rPr>
        <w:t>：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2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简述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绿色设计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及其发展。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2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、简述包豪斯与乌尔姆设计学院的联系与区别。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0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default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3、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简述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新艺术运动在各国的表现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及其发展。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4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、简述包豪斯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  <w:t>学校的教育理念与发展历程</w:t>
      </w: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。</w:t>
      </w: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0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cs="宋体" w:hint="eastAsia"/>
        </w:rPr>
      </w:pPr>
    </w:p>
    <w:p>
      <w:pPr>
        <w:keepNext w:val="0"/>
        <w:keepLines w:val="0"/>
        <w:pageBreakBefore w:val="0"/>
        <w:overflowPunct w:val="1"/>
        <w:topLinePunct w:val="0"/>
        <w:bidi w:val="0"/>
        <w:snapToGrid w:val="1"/>
        <w:kinsoku/>
        <w:numPr>
          <w:ilvl w:val="0"/>
          <w:numId w:val="0"/>
        </w:numPr>
        <w:spacing w:afterAutospacing="false" w:beforeAutospacing="false" w:line="360" w:lineRule="auto"/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</w:pPr>
      <w:r>
        <w:rPr>
          <w:b w:val="0"/>
          <w:color w:val="000000"/>
          <w:sz w:val="24"/>
          <w:lang w:val="en-US" w:eastAsia="zh-CN"/>
          <w:bCs w:val="0"/>
          <w:szCs w:val="24"/>
          <w:rFonts w:ascii="宋体" w:hAnsi="宋体" w:eastAsia="宋体" w:cs="宋体" w:hint="eastAsia"/>
        </w:rPr>
        <w:t>  </w:t>
      </w:r>
    </w:p>
    <w:p>
      <w:bookmarkStart w:id="0" w:name="_GoBack"/>
      <w:bookmarkEnd w:id="0"/>
    </w:p>
    <w:sectPr>
      <w:docGrid w:type="lines" w:linePitch="312" w:charSpace="0"/>
      <w:pgSz w:w="11906" w:h="16838"/>
      <w:pgMar w:top="1440" w:right="1080" w:bottom="1440" w:left="108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8CD069D7"/>
    <w:multiLevelType w:val="singleLevel"/>
    <w:tmpl w:val="8CD069D7"/>
    <w:lvl w:ilvl="0" w:tentative="false">
      <w:start w:val="1"/>
      <w:numFmt w:val="decimal"/>
      <w:suff w:val="nothing"/>
      <w:lvlText w:val="%1、" w:null="false"/>
      <w:lvlJc w:val="left"/>
    </w:lvl>
  </w:abstractNum>
  <w:abstractNum w:abstractNumId="1">
    <w:nsid w:val="E5E73147"/>
    <w:multiLevelType w:val="singleLevel"/>
    <w:tmpl w:val="E5E73147"/>
    <w:lvl w:ilvl="0" w:tentative="false">
      <w:start w:val="7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1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197C520C"/>
    <w:rsid w:val="197C520C"/>
    <w:rsid w:val="1C6F14EE"/>
    <w:rsid w:val="59335ED1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/>
    <w:lsdException w:name="Normal Table" w:uiPriority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 w:qFormat="1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0" w:semiHidden="0" w:unhideWhenUsed="0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0" w:semiHidden="0" w:unhideWhenUsed="0"/>
    <w:lsdException w:name="footnote reference" w:uiPriority="0" w:semiHidden="0" w:unhideWhenUsed="0"/>
    <w:lsdException w:name="footnote text" w:uiPriority="0" w:semiHidden="0" w:unhideWhenUsed="0"/>
    <w:lsdException w:name="header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1"/>
      <w:rFonts w:ascii="Times New Roman" w:hAnsi="Times New Roman" w:eastAsia="宋体" w:cs="Times New Roman"/>
    </w:rPr>
  </w:style>
  <w:style w:type="character" w:styleId="4" w:default="1">
    <w:name w:val="Default Paragraph Font"/>
    <w:uiPriority w:val="0"/>
    <w:semiHidden/>
    <w:qFormat/>
  </w:style>
  <w:style w:type="table" w:styleId="2" w:default="1">
    <w:name w:val="Normal Table"/>
    <w:uiPriority w:val="0"/>
    <w:semiHidden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table" w:styleId="3" w:default="0">
    <w:name w:val="Table Grid"/>
    <w:basedOn w:val="2"/>
    <w:uiPriority w:val="0"/>
    <w:qFormat/>
    <w:pPr>
      <w:jc w:val="both"/>
      <w:widowControl w:val="0"/>
    </w:pPr>
    <w:tblPr>
      <w:tblBorders>
        <w:top w:val="single" w:color="auto" w:sz="4" w:space="0" w:shadow="off" w:frame="off"/>
        <w:left w:val="single" w:color="auto" w:sz="4" w:space="0" w:shadow="off" w:frame="off"/>
        <w:bottom w:val="single" w:color="auto" w:sz="4" w:space="0" w:shadow="off" w:frame="off"/>
        <w:right w:val="single" w:color="auto" w:sz="4" w:space="0" w:shadow="off" w:frame="off"/>
        <w:insideH w:val="single" w:color="auto" w:sz="4" w:space="0" w:shadow="off" w:frame="off"/>
        <w:insideV w:val="single" w:color="auto" w:sz="4" w:space="0" w:shadow="off" w:frame="off"/>
      </w:tblBorders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1494</Words>
  <Characters>1502</Characters>
  <Application>WPS Office_11.1.0.14036_F1E327BC-269C-435d-A152-05C5408002CA</Application>
  <DocSecurity>0</DocSecurity>
  <Lines>0</Lines>
  <Paragraphs>0</Paragraphs>
  <ScaleCrop>false</ScaleCrop>
  <Company/>
  <LinksUpToDate>false</LinksUpToDate>
  <CharactersWithSpaces>1536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yousufuma</dc:creator>
  <cp:keywords/>
  <dc:description/>
  <cp:lastModifiedBy>yousufuma</cp:lastModifiedBy>
  <cp:revision>1</cp:revision>
  <dcterms:created xsi:type="dcterms:W3CDTF">2023-05-31T08:15:00Z</dcterms:created>
  <dcterms:modified xsi:type="dcterms:W3CDTF">2023-05-31T08:59:16Z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6A411633CF7A45AFB5928AC0950ADDF9_11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1、“水晶宫”作为十九世纪的英国建筑奇观之一 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采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纳了皇家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instrText xml:space="preserve"> HYPERLINK "https://baike.baidu.com/item/%E5%9B%AD%E8%89%BA%E5%B8%88/5857109?fromModule=lemma_inlink" \t "https://baike.baidu.com/item/%E6%B0%B4%E6%99%B6%E5%AE%AB/_blank" </w:instrTex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园艺师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instrText xml:space="preserve"> HYPERLINK "https://baike.baidu.com/item/%E7%BA%A6%E7%91%9F%E5%A4%AB%C2%B7%E5%B8%95%E5%85%8B%E6%96%AF%E9%A1%BF/9722336?fromModule=lemma_inlink" \t "https://baike.baidu.com/item/%E6%B0%B4%E6%99%B6%E5%AE%AB/_blank" </w:instrTex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约瑟夫·帕克斯顿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的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instrText xml:space="preserve"> HYPERLINK "https://baike.baidu.com/item/%E8%AE%BE%E8%AE%A1%E6%96%B9%E6%A1%88/2257691?fromModule=lemma_inlink" \t "https://baike.baidu.com/item/%E6%B0%B4%E6%99%B6%E5%AE%AB/_blank" </w:instrTex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设计方案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 于1851的世博会上亮相，创造性地将花房式框架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instrText xml:space="preserve"> HYPERLINK "https://baike.baidu.com/item/%E7%8E%BB%E7%92%83%E7%BB%93%E6%9E%84/2888906?fromModule=lemma_inlink" \t "https://baike.baidu.com/item/%E6%B0%B4%E6%99%B6%E5%AE%AB/_blank" </w:instrTex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玻璃结构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运用到建筑设计之中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2、约翰.拉斯金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的设计艺术理论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对机械化大工业生产的不满，对人性关注。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主张艺术要与大众生活密切联系，倡导为人民的艺术设计。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主张取消艺术和设计之间的差别，要求美学家从事产品设计。带有强烈的道德主义色彩，他关注艺术和技术相互作用的伦理方面，从道德主义立场批判资本主义社会。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        </w:t>
      </w:r>
    </w:p>
    <w:p>
      <w:pPr>
        <w:keepNext w:val="0"/>
        <w:keepLines w:val="0"/>
        <w:pageBreakBefore w:val="0"/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3、威廉.莫里斯被称为现代设计之父。</w:t>
      </w:r>
    </w:p>
    <w:p>
      <w:pPr>
        <w:keepNext w:val="0"/>
        <w:keepLines w:val="0"/>
        <w:pageBreakBefore w:val="0"/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在新艺术运动中，法国新艺术运动以巴黎和南锡作为代表城市，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赫克托·吉马德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设计的巴黎地铁入口处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具有典型的新艺术运动风格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。比利时的代表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设计师维克多·霍塔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、亨利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凡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德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威尔德。维也纳分离派的主力军来自学院，其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代表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人物有华格纳、约瑟夫.霍夫曼。柳树茶室是新艺术运动中苏格兰格拉斯哥设计学派麦金托什的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代表作品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5、路易.沙利文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所注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提出了“形式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追随功能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”。阿道夫.卢斯提出“装饰即罪恶”的理念。</w:t>
      </w:r>
    </w:p>
    <w:p>
      <w:pPr>
        <w:keepNext w:val="0"/>
        <w:keepLines w:val="0"/>
        <w:pageBreakBefore w:val="0"/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6、“流线型”运动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代表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设计师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有提格、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雷蒙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德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·罗维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，罗维更因为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对工业设计的杰出贡献，他成为第一个荣登美国最畅销杂志《时代》周刊封面的设计师。</w:t>
      </w:r>
    </w:p>
    <w:p>
      <w:pPr>
        <w:keepNext w:val="0"/>
        <w:keepLines w:val="0"/>
        <w:pageBreakBefore w:val="0"/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好莱坞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风格盛行于20世纪三十年代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最早出现在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美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国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象征着时代精神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影响到生活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审美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现代主义萌芽中个， 俄国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构成主义在组织形式上主要表现为松散的个人团体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，塔特林的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第三国际塔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方案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是有代表性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经典作品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。荷兰风格派的代表人物包括艺术家蒙德里安，施罗德住宅、红蓝椅都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是荷兰风格派具有代表性经典作品。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“斯堪的纳维亚设计风格”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，是指挪威、丹麦、芬兰、瑞典、冰岛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五国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，地处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北欧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的它们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有着得天独厚的自然资源和独特的手工艺文化传统 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二战后出现了一次新的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设计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飞跃 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朴素的、有机的形态及自然色彩和质感在国际上大受欢迎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丹麦设计大师保罗.汉宁森设计的“PH”系列灯具体现了艺术与技术的完美统一。 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阿尔瓦.阿尔托是斯堪的纳维亚杰出设计师。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包豪斯学校的三位校长中，第二位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汉斯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迈耶是一名坚定的马克思主义者，其设计思想具有鲜明的社会主义理想。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早期的三位全职教员有约翰.伊顿 、杰哈德.马克斯、里昂内.费宁格。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米斯·凡·德·罗是“少则多”理论的倡导者他的建筑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作品有：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伊利诺理工学院克朗楼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巴塞罗那世博会德国馆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、范斯沃斯住宅；家具作品有：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巴塞罗那椅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现代主义设计的代表人物有勒.柯布西耶、弗兰克.赖特、路易.沙利文。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法国装饰艺术运动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代表人物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有艾琳·格雷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鲁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赫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曼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让·杜南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马克思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比尔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和托马斯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·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马尔多纳多是乌尔姆设计学院的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校长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飞利浦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约翰逊与米斯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.凡.德罗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合作设计的西格莱姆大厦成为建筑史上的国际主义里程碑，从而奠定了国际主义建筑风格的形式基础。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罗伯特.文丘里在其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《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建筑的复杂性与矛盾性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书中提出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建筑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设计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既要有个性，又与当地环境紧密结合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他与查尔斯.詹克斯、埃托.索特萨斯均属于后现代主义设计大师。孟菲斯集团属于后现代设计集团。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英国建筑师和理论家查尔斯•詹克斯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作为提出“后现代主义”设计的先锋者，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为确立后现代设计理论做出了重要贡献，他最早在设计领域提出后现代主义的概念。出版了一系列的著作描述建筑领域的后现代状况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。以下属于他的著作是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《后现代主义》《今日建筑》《后现代主义建筑语言》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维克多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帕帕纳克于1971年出版了《为真实世界的设计》，书中提出设计服务对象和环境生态的问题。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后现代主义产品设计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阿莱西公司设计的“自鸣式水壶”体现了幽默与风趣的情调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菲利普斯塔克设计的3腿榨柠檬机酷似正在爬行的昆虫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汉斯霍莱茵设计的“玛丽莲”沙发吸取欧洲古典家具中长椅的造型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索特萨斯设计的“书桌”充分展现了解构主义风格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国家大剧院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的设计师是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后现代主义保罗.安德鲁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名词解释：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bidi w:val="0"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彼得.贝伦斯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、2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圣家族教堂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、3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波普设计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、4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雷姆.库哈斯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、5、德国工业同盟、6、红蓝椅、7、孟菲斯集团、8、绿色设计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问答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简述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绿色设计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及其发展。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、简述包豪斯与乌尔姆设计学院的联系与区别。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简述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新艺术运动在各国的表现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及其发展。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、简述包豪斯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学校的教育理念与发展历程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  </w:t>
      </w:r>
    </w:p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