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napToGrid w:val="0"/>
        <w:spacing w:line="360" w:lineRule="auto"/>
        <w:jc w:val="center"/>
        <w:rPr>
          <w:rFonts w:ascii="华文中宋" w:hAnsi="华文中宋" w:eastAsia="华文中宋"/>
          <w:sz w:val="28"/>
        </w:rPr>
      </w:pPr>
      <w:r>
        <w:rPr>
          <w:rFonts w:hint="eastAsia" w:ascii="楷体_GB2312" w:eastAsia="楷体_GB2312"/>
          <w:b/>
          <w:sz w:val="30"/>
        </w:rPr>
        <w:t>北京工业大学202</w:t>
      </w:r>
      <w:r>
        <w:rPr>
          <w:rFonts w:ascii="楷体_GB2312" w:eastAsia="楷体_GB2312"/>
          <w:b/>
          <w:sz w:val="30"/>
        </w:rPr>
        <w:t>2</w:t>
      </w:r>
      <w:r>
        <w:rPr>
          <w:rFonts w:hint="eastAsia" w:ascii="楷体_GB2312" w:eastAsia="楷体_GB2312"/>
          <w:b/>
          <w:sz w:val="30"/>
        </w:rPr>
        <w:t>—202</w:t>
      </w:r>
      <w:r>
        <w:rPr>
          <w:rFonts w:ascii="楷体_GB2312" w:eastAsia="楷体_GB2312"/>
          <w:b/>
          <w:sz w:val="30"/>
        </w:rPr>
        <w:t>3</w:t>
      </w:r>
      <w:r>
        <w:rPr>
          <w:rFonts w:hint="eastAsia" w:ascii="楷体_GB2312" w:eastAsia="楷体_GB2312"/>
          <w:b/>
          <w:sz w:val="30"/>
        </w:rPr>
        <w:t>学年第</w:t>
      </w:r>
      <w:r>
        <w:rPr>
          <w:rFonts w:ascii="楷体_GB2312" w:eastAsia="楷体_GB2312"/>
          <w:b/>
          <w:sz w:val="30"/>
        </w:rPr>
        <w:t>1</w:t>
      </w:r>
      <w:r>
        <w:rPr>
          <w:rFonts w:hint="eastAsia" w:ascii="楷体_GB2312" w:eastAsia="楷体_GB2312"/>
          <w:b/>
          <w:sz w:val="30"/>
        </w:rPr>
        <w:t>学期</w:t>
      </w:r>
    </w:p>
    <w:p>
      <w:pPr>
        <w:snapToGrid w:val="0"/>
        <w:spacing w:line="360" w:lineRule="auto"/>
        <w:jc w:val="center"/>
        <w:rPr>
          <w:rFonts w:ascii="楷体_GB2312" w:eastAsia="楷体_GB2312"/>
          <w:b/>
          <w:sz w:val="30"/>
        </w:rPr>
      </w:pPr>
      <w:r>
        <w:rPr>
          <w:rFonts w:hint="eastAsia" w:ascii="楷体_GB2312" w:eastAsia="楷体_GB2312"/>
          <w:b/>
          <w:sz w:val="30"/>
        </w:rPr>
        <w:t>《</w:t>
      </w:r>
      <w:r>
        <w:rPr>
          <w:rFonts w:hint="eastAsia" w:ascii="楷体_GB2312" w:eastAsia="楷体_GB2312"/>
          <w:b/>
          <w:sz w:val="30"/>
        </w:rPr>
        <w:tab/>
      </w:r>
      <w:r>
        <w:rPr>
          <w:rFonts w:hint="eastAsia" w:ascii="楷体_GB2312" w:eastAsia="楷体_GB2312"/>
          <w:b/>
          <w:sz w:val="30"/>
        </w:rPr>
        <w:t>马克思主义基本原理</w:t>
      </w:r>
      <w:r>
        <w:rPr>
          <w:rFonts w:hint="eastAsia" w:ascii="楷体_GB2312" w:eastAsia="楷体_GB2312"/>
          <w:b/>
          <w:sz w:val="30"/>
        </w:rPr>
        <w:tab/>
      </w:r>
      <w:r>
        <w:rPr>
          <w:rFonts w:hint="eastAsia" w:ascii="楷体_GB2312" w:eastAsia="楷体_GB2312"/>
          <w:b/>
          <w:sz w:val="30"/>
        </w:rPr>
        <w:t>》期末大作业</w:t>
      </w:r>
    </w:p>
    <w:p>
      <w:pPr>
        <w:snapToGrid w:val="0"/>
        <w:spacing w:line="300" w:lineRule="auto"/>
        <w:jc w:val="left"/>
        <w:rPr>
          <w:rFonts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承诺</w:t>
      </w:r>
      <w:r>
        <w:rPr>
          <w:rFonts w:ascii="楷体_GB2312" w:eastAsia="楷体_GB2312"/>
          <w:b/>
          <w:sz w:val="24"/>
        </w:rPr>
        <w:t>：</w:t>
      </w:r>
    </w:p>
    <w:p>
      <w:pPr>
        <w:snapToGrid w:val="0"/>
        <w:spacing w:line="300" w:lineRule="auto"/>
        <w:ind w:right="36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本人承诺</w:t>
      </w:r>
      <w:r>
        <w:rPr>
          <w:rFonts w:ascii="宋体" w:hAnsi="宋体" w:cs="宋体"/>
          <w:kern w:val="0"/>
          <w:sz w:val="24"/>
        </w:rPr>
        <w:t>自觉遵守有关规定</w:t>
      </w:r>
      <w:r>
        <w:rPr>
          <w:rFonts w:hint="eastAsia" w:ascii="宋体" w:hAnsi="宋体" w:cs="宋体"/>
          <w:kern w:val="0"/>
          <w:sz w:val="24"/>
        </w:rPr>
        <w:t>，做到诚实守信</w:t>
      </w:r>
      <w:r>
        <w:rPr>
          <w:rFonts w:ascii="宋体" w:hAnsi="宋体" w:cs="宋体"/>
          <w:kern w:val="0"/>
          <w:sz w:val="24"/>
        </w:rPr>
        <w:t>,</w:t>
      </w:r>
      <w:r>
        <w:rPr>
          <w:rFonts w:hint="eastAsia" w:ascii="宋体" w:hAnsi="宋体" w:cs="宋体"/>
          <w:kern w:val="0"/>
          <w:sz w:val="24"/>
        </w:rPr>
        <w:t>独</w:t>
      </w:r>
      <w:r>
        <w:rPr>
          <w:rFonts w:hint="eastAsia" w:ascii="微软雅黑" w:hAnsi="微软雅黑" w:eastAsia="微软雅黑" w:cs="微软雅黑"/>
          <w:kern w:val="0"/>
          <w:sz w:val="24"/>
        </w:rPr>
        <w:t>⽴</w:t>
      </w:r>
      <w:r>
        <w:rPr>
          <w:rFonts w:hint="eastAsia" w:ascii="宋体" w:hAnsi="宋体" w:cs="宋体"/>
          <w:kern w:val="0"/>
          <w:sz w:val="24"/>
        </w:rPr>
        <w:t>作业，按时提交。</w:t>
      </w:r>
    </w:p>
    <w:p>
      <w:pPr>
        <w:widowControl/>
        <w:snapToGrid w:val="0"/>
        <w:spacing w:line="300" w:lineRule="auto"/>
        <w:jc w:val="left"/>
        <w:rPr>
          <w:rFonts w:ascii="楷体_GB2312" w:eastAsia="楷体_GB2312"/>
          <w:b/>
          <w:sz w:val="28"/>
          <w:u w:val="single"/>
        </w:rPr>
      </w:pPr>
      <w:r>
        <w:rPr>
          <w:rFonts w:hint="eastAsia" w:ascii="楷体_GB2312" w:eastAsia="楷体_GB2312"/>
          <w:b/>
          <w:sz w:val="28"/>
        </w:rPr>
        <w:t>承诺人：</w:t>
      </w:r>
      <w:r>
        <w:rPr>
          <w:rFonts w:hint="eastAsia" w:ascii="仿宋_GB2312" w:eastAsia="仿宋_GB2312"/>
          <w:b/>
          <w:sz w:val="24"/>
          <w:u w:val="single"/>
        </w:rPr>
        <w:t xml:space="preserve">   </w:t>
      </w:r>
      <w:r>
        <w:rPr>
          <w:rFonts w:hint="eastAsia" w:ascii="楷体_GB2312" w:eastAsia="楷体_GB2312"/>
          <w:b/>
          <w:sz w:val="28"/>
        </w:rPr>
        <w:t>学  号：</w:t>
      </w:r>
      <w:r>
        <w:rPr>
          <w:rFonts w:hint="eastAsia" w:ascii="仿宋_GB2312" w:eastAsia="仿宋_GB2312"/>
          <w:b/>
          <w:sz w:val="24"/>
          <w:u w:val="single"/>
        </w:rPr>
        <w:t xml:space="preserve">      </w:t>
      </w:r>
      <w:r>
        <w:rPr>
          <w:rFonts w:hint="eastAsia" w:ascii="楷体_GB2312" w:eastAsia="楷体_GB2312"/>
          <w:b/>
          <w:sz w:val="28"/>
        </w:rPr>
        <w:t xml:space="preserve">  学部（院）：</w:t>
      </w:r>
      <w:r>
        <w:rPr>
          <w:rFonts w:hint="eastAsia" w:ascii="楷体_GB2312" w:eastAsia="楷体_GB2312"/>
          <w:b/>
          <w:sz w:val="28"/>
          <w:u w:val="single"/>
        </w:rPr>
        <w:t xml:space="preserve">       </w:t>
      </w:r>
      <w:r>
        <w:rPr>
          <w:rFonts w:ascii="楷体_GB2312" w:eastAsia="楷体_GB2312"/>
          <w:b/>
          <w:sz w:val="28"/>
          <w:u w:val="single"/>
        </w:rPr>
        <w:t xml:space="preserve">  </w:t>
      </w:r>
    </w:p>
    <w:p>
      <w:pPr>
        <w:widowControl/>
        <w:snapToGrid w:val="0"/>
        <w:spacing w:line="30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说明：本次期末大作业共两道大题，每题50分，共100分。 </w:t>
      </w:r>
    </w:p>
    <w:p>
      <w:pPr>
        <w:spacing w:line="300" w:lineRule="auto"/>
        <w:rPr>
          <w:rFonts w:ascii="楷体_GB2312" w:eastAsia="楷体_GB2312"/>
          <w:b/>
          <w:sz w:val="18"/>
          <w:szCs w:val="18"/>
        </w:rPr>
      </w:pPr>
      <w:r>
        <w:rPr>
          <w:rFonts w:hint="eastAsia" w:ascii="楷体_GB2312" w:eastAsia="楷体_GB2312"/>
          <w:b/>
          <w:sz w:val="18"/>
          <w:szCs w:val="18"/>
        </w:rPr>
        <w:t>。。。。。。。。。。。。。。。。。。。。。。。。。。。。。。。。。。。。。。。。。。。。。。。。。。。。。。。。。。。。。。。。。。。。。。。。。。。。。。。。。。。。。。。。。。。。</w:t>
      </w:r>
    </w:p>
    <w:p>
      <w:pPr>
        <w:tabs>
          <w:tab w:val="left" w:pos="0"/>
        </w:tabs>
        <w:spacing w:line="300" w:lineRule="auto"/>
        <w:rPr>
          <w:rFonts w:ascii="宋体" w:hAnsi="宋体"/>
          <w:b/>
          <w:sz w:val="24"/>
        </w:rPr>
      </w:pPr>
    </w:p>
    <w:p>
      <w:pPr>
        <w:tabs>
          <w:tab w:val="left" w:pos="0"/>
        </w:tabs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第一题：</w:t>
      </w:r>
    </w:p>
    <w:p>
      <w:pPr>
        <w:snapToGrid w:val="0"/>
        <w:spacing w:line="400" w:lineRule="exact"/>
        <w:rPr>
          <w:rFonts w:ascii="Kaiti SC" w:hAnsi="Kaiti SC" w:eastAsia="Kaiti SC"/>
          <w:sz w:val="24"/>
        </w:rPr>
      </w:pPr>
      <w:r>
        <w:rPr>
          <w:rFonts w:ascii="Kaiti SC" w:hAnsi="Kaiti SC" w:eastAsia="Kaiti SC"/>
          <w:sz w:val="24"/>
        </w:rPr>
        <w:t>材料一：每一个时代的哲学作为分工的一个特定的领域，都具有它的先驱传给它而它便由此发出的特定的思想材料作为前提。因此，经济上落后的国家在哲学上仍然能够演奏第一小提琴：18世纪的法国对英国来说是如此，后来的德国对英法两国来说也是如此。但是，不论在法国或是在德国，哲学和那个时代的普遍的学术繁荣一样，也是经济高涨的结果。</w:t>
      </w:r>
    </w:p>
    <w:p>
      <w:pPr>
        <w:snapToGrid w:val="0"/>
        <w:spacing w:line="400" w:lineRule="exact"/>
        <w:ind w:firstLine="3840" w:firstLineChars="1600"/>
        <w:rPr>
          <w:rFonts w:ascii="Kaiti SC" w:hAnsi="Kaiti SC" w:eastAsia="Kaiti SC"/>
          <w:sz w:val="24"/>
        </w:rPr>
      </w:pPr>
      <w:r>
        <w:rPr>
          <w:rFonts w:ascii="Kaiti SC" w:hAnsi="Kaiti SC" w:eastAsia="Kaiti SC"/>
          <w:sz w:val="24"/>
        </w:rPr>
        <w:t>——恩格斯：《恩格斯致康拉德·施密特》</w:t>
      </w:r>
    </w:p>
    <w:p>
      <w:pPr>
        <w:snapToGrid w:val="0"/>
        <w:spacing w:line="400" w:lineRule="exact"/>
        <w:rPr>
          <w:rFonts w:ascii="Kaiti SC" w:hAnsi="Kaiti SC" w:eastAsia="Kaiti SC"/>
          <w:sz w:val="24"/>
        </w:rPr>
      </w:pPr>
      <w:r>
        <w:rPr>
          <w:rFonts w:ascii="Kaiti SC" w:hAnsi="Kaiti SC" w:eastAsia="Kaiti SC"/>
          <w:sz w:val="24"/>
        </w:rPr>
        <w:t>材料二：全面建设社会主义现代化国家，必须坚持中国特色社会主义文化发展道路，增强文化自信，围绕举旗帜、聚民心、育新人、兴文化、展形象建设社会主义文化强国，发展面向现代化、面向世界、面向未来的、民族的科学的大众的社会主义文化。</w:t>
      </w:r>
    </w:p>
    <w:p>
      <w:pPr>
        <w:snapToGrid w:val="0"/>
        <w:spacing w:line="400" w:lineRule="exact"/>
        <w:rPr>
          <w:rFonts w:ascii="楷体" w:hAnsi="楷体" w:eastAsia="微软雅黑"/>
          <w:sz w:val="24"/>
        </w:rPr>
      </w:pPr>
      <w:r>
        <w:rPr>
          <w:rFonts w:ascii="Kaiti SC" w:hAnsi="Kaiti SC" w:eastAsia="Kaiti SC"/>
          <w:sz w:val="24"/>
        </w:rPr>
        <w:t>——习近平：《</w:t>
      </w:r>
      <w:r>
        <w:rPr>
          <w:rFonts w:hint="eastAsia" w:ascii="Kaiti SC" w:hAnsi="Kaiti SC" w:eastAsia="Kaiti SC"/>
          <w:sz w:val="24"/>
        </w:rPr>
        <w:t>高举中国特色社会主义伟大旗帜 为全面建设社会主义现代化国家而团结奋斗——在中国共产党第二十次全国代表大会上的报告》</w:t>
      </w:r>
    </w:p>
    <w:p>
      <w:pPr>
        <w:snapToGrid w:val="0"/>
        <w:spacing w:line="460" w:lineRule="exact"/>
        <w:rPr>
          <w:rFonts w:ascii="楷体" w:hAnsi="楷体" w:eastAsia="微软雅黑"/>
          <w:sz w:val="24"/>
        </w:rPr>
      </w:pPr>
    </w:p>
    <w:p>
      <w:pPr>
        <w:snapToGrid w:val="0"/>
        <w:spacing w:line="4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请运用</w:t>
      </w:r>
      <w:r>
        <w:rPr>
          <w:rFonts w:hint="eastAsia" w:ascii="微软雅黑" w:hAnsi="微软雅黑" w:eastAsia="微软雅黑"/>
          <w:sz w:val="24"/>
          <w:highlight w:val="none"/>
        </w:rPr>
        <w:t>社会存在与社会意识的辩证关系</w:t>
      </w:r>
      <w:r>
        <w:rPr>
          <w:rFonts w:hint="eastAsia" w:ascii="微软雅黑" w:hAnsi="微软雅黑" w:eastAsia="微软雅黑"/>
          <w:sz w:val="24"/>
        </w:rPr>
        <w:t>等相关原理，结合上述材料，谈一谈你对文化强国的理解。</w:t>
      </w:r>
    </w:p>
    <w:p>
      <w:pPr>
        <w:snapToGrid w:val="0"/>
        <w:spacing w:line="400" w:lineRule="exact"/>
        <w:rPr>
          <w:rFonts w:ascii="微软雅黑" w:hAnsi="微软雅黑" w:eastAsia="微软雅黑"/>
          <w:sz w:val="24"/>
        </w:rPr>
      </w:pPr>
    </w:p>
    <w:p>
      <w:pPr>
        <w:snapToGrid w:val="0"/>
        <w:spacing w:line="4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【具体要求】</w:t>
      </w:r>
    </w:p>
    <w:p>
      <w:pPr>
        <w:snapToGrid w:val="0"/>
        <w:spacing w:line="400" w:lineRule="exact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1</w:t>
      </w:r>
      <w:r>
        <w:rPr>
          <w:rFonts w:hint="eastAsia" w:ascii="微软雅黑" w:hAnsi="微软雅黑" w:eastAsia="微软雅黑"/>
          <w:sz w:val="24"/>
        </w:rPr>
        <w:t>）作业时间：2</w:t>
      </w:r>
      <w:r>
        <w:rPr>
          <w:rFonts w:ascii="微软雅黑" w:hAnsi="微软雅黑" w:eastAsia="微软雅黑"/>
          <w:sz w:val="24"/>
        </w:rPr>
        <w:t>022</w:t>
      </w:r>
      <w:r>
        <w:rPr>
          <w:rFonts w:hint="eastAsia" w:ascii="微软雅黑" w:hAnsi="微软雅黑" w:eastAsia="微软雅黑"/>
          <w:sz w:val="24"/>
        </w:rPr>
        <w:t>年1</w:t>
      </w:r>
      <w:r>
        <w:rPr>
          <w:rFonts w:ascii="微软雅黑" w:hAnsi="微软雅黑" w:eastAsia="微软雅黑"/>
          <w:sz w:val="24"/>
        </w:rPr>
        <w:t>2</w:t>
      </w:r>
      <w:r>
        <w:rPr>
          <w:rFonts w:hint="eastAsia" w:ascii="微软雅黑" w:hAnsi="微软雅黑" w:eastAsia="微软雅黑"/>
          <w:sz w:val="24"/>
        </w:rPr>
        <w:t>月3日0</w:t>
      </w:r>
      <w:r>
        <w:rPr>
          <w:rFonts w:ascii="微软雅黑" w:hAnsi="微软雅黑" w:eastAsia="微软雅黑"/>
          <w:sz w:val="24"/>
        </w:rPr>
        <w:t>9:00-2022</w:t>
      </w:r>
      <w:r>
        <w:rPr>
          <w:rFonts w:hint="eastAsia" w:ascii="微软雅黑" w:hAnsi="微软雅黑" w:eastAsia="微软雅黑"/>
          <w:sz w:val="24"/>
        </w:rPr>
        <w:t>年</w:t>
      </w:r>
      <w:r>
        <w:rPr>
          <w:rFonts w:ascii="微软雅黑" w:hAnsi="微软雅黑" w:eastAsia="微软雅黑"/>
          <w:sz w:val="24"/>
        </w:rPr>
        <w:t>12</w:t>
      </w:r>
      <w:r>
        <w:rPr>
          <w:rFonts w:hint="eastAsia" w:ascii="微软雅黑" w:hAnsi="微软雅黑" w:eastAsia="微软雅黑"/>
          <w:sz w:val="24"/>
        </w:rPr>
        <w:t>月9日2</w:t>
      </w:r>
      <w:r>
        <w:rPr>
          <w:rFonts w:ascii="微软雅黑" w:hAnsi="微软雅黑" w:eastAsia="微软雅黑"/>
          <w:sz w:val="24"/>
        </w:rPr>
        <w:t xml:space="preserve">0:00. </w:t>
      </w:r>
      <w:r>
        <w:rPr>
          <w:rFonts w:hint="eastAsia" w:ascii="微软雅黑" w:hAnsi="微软雅黑" w:eastAsia="微软雅黑"/>
          <w:sz w:val="24"/>
        </w:rPr>
        <w:t>除因疫情等人力不可控因素导致的不能正常提交，逾期提交一律无效，需参加开学补考。</w:t>
      </w:r>
    </w:p>
    <w:p>
      <w:pPr>
        <w:snapToGrid w:val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2</w:t>
      </w:r>
      <w:r>
        <w:rPr>
          <w:rFonts w:hint="eastAsia" w:ascii="微软雅黑" w:hAnsi="微软雅黑" w:eastAsia="微软雅黑"/>
          <w:sz w:val="24"/>
        </w:rPr>
        <w:t>）</w:t>
      </w:r>
      <w:r>
        <w:rPr>
          <w:rFonts w:ascii="微软雅黑" w:hAnsi="微软雅黑" w:eastAsia="微软雅黑"/>
          <w:sz w:val="24"/>
        </w:rPr>
        <w:t>字数要求：700——1000字，不够字数或超过字数均</w:t>
      </w:r>
      <w:r>
        <w:rPr>
          <w:rFonts w:hint="eastAsia" w:ascii="微软雅黑" w:hAnsi="微软雅黑" w:eastAsia="微软雅黑"/>
          <w:sz w:val="24"/>
        </w:rPr>
        <w:t>扣5分</w:t>
      </w:r>
      <w:r>
        <w:rPr>
          <w:rFonts w:ascii="微软雅黑" w:hAnsi="微软雅黑" w:eastAsia="微软雅黑"/>
          <w:sz w:val="24"/>
        </w:rPr>
        <w:t>。</w:t>
      </w:r>
    </w:p>
    <w:p>
      <w:pPr>
        <w:snapToGrid w:val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3</w:t>
      </w:r>
      <w:r>
        <w:rPr>
          <w:rFonts w:hint="eastAsia" w:ascii="微软雅黑" w:hAnsi="微软雅黑" w:eastAsia="微软雅黑"/>
          <w:sz w:val="24"/>
        </w:rPr>
        <w:t xml:space="preserve">） </w:t>
      </w:r>
      <w:r>
        <w:rPr>
          <w:rFonts w:ascii="微软雅黑" w:hAnsi="微软雅黑" w:eastAsia="微软雅黑"/>
          <w:sz w:val="24"/>
        </w:rPr>
        <w:t>可查阅资料，但不得互相抄袭或直接从网上</w:t>
      </w:r>
      <w:r>
        <w:rPr>
          <w:rFonts w:hint="eastAsia" w:ascii="微软雅黑" w:hAnsi="微软雅黑" w:eastAsia="微软雅黑"/>
          <w:sz w:val="24"/>
        </w:rPr>
        <w:t>复制粘贴</w:t>
      </w:r>
      <w:r>
        <w:rPr>
          <w:rFonts w:ascii="微软雅黑" w:hAnsi="微软雅黑" w:eastAsia="微软雅黑"/>
          <w:sz w:val="24"/>
        </w:rPr>
        <w:t>，一经发现均判为0分。</w:t>
      </w:r>
    </w:p>
    <w:p>
      <w:pPr>
        <w:snapToGrid w:val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4</w:t>
      </w:r>
      <w:r>
        <w:rPr>
          <w:rFonts w:hint="eastAsia" w:ascii="微软雅黑" w:hAnsi="微软雅黑" w:eastAsia="微软雅黑"/>
          <w:sz w:val="24"/>
        </w:rPr>
        <w:t>）</w:t>
      </w:r>
      <w:r>
        <w:rPr>
          <w:rFonts w:ascii="微软雅黑" w:hAnsi="微软雅黑" w:eastAsia="微软雅黑"/>
          <w:sz w:val="24"/>
        </w:rPr>
        <w:t>阐述简明扼要，紧扣主题，条理清晰，表达流畅，表述规范。</w:t>
      </w:r>
    </w:p>
    <w:p>
      <w:pPr>
        <w:snapToGrid w:val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5</w:t>
      </w:r>
      <w:r>
        <w:rPr>
          <w:rFonts w:hint="eastAsia" w:ascii="微软雅黑" w:hAnsi="微软雅黑" w:eastAsia="微软雅黑"/>
          <w:sz w:val="24"/>
        </w:rPr>
        <w:t>）</w:t>
      </w:r>
      <w:r>
        <w:rPr>
          <w:rFonts w:ascii="微软雅黑" w:hAnsi="微软雅黑" w:eastAsia="微软雅黑"/>
          <w:sz w:val="24"/>
        </w:rPr>
        <w:t>请务必结合</w:t>
      </w:r>
      <w:r>
        <w:rPr>
          <w:rFonts w:hint="eastAsia" w:ascii="微软雅黑" w:hAnsi="微软雅黑" w:eastAsia="微软雅黑"/>
          <w:sz w:val="24"/>
        </w:rPr>
        <w:t>马克思主义基本</w:t>
      </w:r>
      <w:r>
        <w:rPr>
          <w:rFonts w:ascii="微软雅黑" w:hAnsi="微软雅黑" w:eastAsia="微软雅黑"/>
          <w:sz w:val="24"/>
        </w:rPr>
        <w:t>原理作答</w:t>
      </w:r>
      <w:r>
        <w:rPr>
          <w:rFonts w:hint="eastAsia" w:ascii="微软雅黑" w:hAnsi="微软雅黑" w:eastAsia="微软雅黑"/>
          <w:sz w:val="24"/>
        </w:rPr>
        <w:t>，阐述原理，并将原理和现实问题分析相结合。</w:t>
      </w:r>
    </w:p>
    <w:p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  <w:r>
        <w:rPr>
          <w:rFonts w:hint="eastAsia" w:ascii="楷体_GB2312" w:eastAsia="楷体_GB2312"/>
          <w:b/>
          <w:sz w:val="30"/>
          <w:szCs w:val="30"/>
        </w:rPr>
        <w:t>答   题   纸</w:t>
      </w:r>
    </w:p>
    <w:p>
      <w:pPr>
        <w:spacing w:line="360" w:lineRule="auto"/>
        <w:rPr>
          <w:rFonts w:ascii="楷体_GB2312" w:eastAsia="楷体_GB2312"/>
          <w:b/>
          <w:sz w:val="24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姓名：</w:t>
      </w:r>
      <w:r>
        <w:rPr>
          <w:rFonts w:hint="eastAsia" w:ascii="楷体_GB2312" w:eastAsia="楷体_GB2312"/>
          <w:b/>
          <w:sz w:val="24"/>
          <w:u w:val="single"/>
        </w:rPr>
        <w:t xml:space="preserve">   </w:t>
      </w: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覃薪竹</w:t>
      </w:r>
      <w:r>
        <w:rPr>
          <w:rFonts w:hint="eastAsia" w:ascii="楷体_GB2312" w:eastAsia="楷体_GB2312"/>
          <w:b/>
          <w:sz w:val="24"/>
          <w:u w:val="single"/>
        </w:rPr>
        <w:t xml:space="preserve">          </w:t>
      </w:r>
      <w:r>
        <w:rPr>
          <w:rFonts w:hint="eastAsia" w:ascii="楷体_GB2312" w:eastAsia="楷体_GB2312"/>
          <w:b/>
          <w:sz w:val="24"/>
        </w:rPr>
        <w:t xml:space="preserve">       </w:t>
      </w:r>
      <w:r>
        <w:rPr>
          <w:rFonts w:hint="eastAsia" w:ascii="楷体_GB2312" w:eastAsia="楷体_GB2312"/>
          <w:b/>
          <w:sz w:val="28"/>
          <w:szCs w:val="28"/>
        </w:rPr>
        <w:t xml:space="preserve"> 学号：</w:t>
      </w:r>
      <w:r>
        <w:rPr>
          <w:rFonts w:hint="eastAsia" w:ascii="楷体_GB2312" w:eastAsia="楷体_GB2312"/>
          <w:b/>
          <w:sz w:val="24"/>
          <w:u w:val="single"/>
        </w:rPr>
        <w:t xml:space="preserve">    </w:t>
      </w: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21144109</w:t>
      </w:r>
      <w:r>
        <w:rPr>
          <w:rFonts w:hint="eastAsia" w:ascii="楷体_GB2312" w:eastAsia="楷体_GB2312"/>
          <w:b/>
          <w:sz w:val="24"/>
          <w:u w:val="single"/>
        </w:rPr>
        <w:t xml:space="preserve">             </w:t>
      </w:r>
    </w:p>
    <w:p>
      <w:pPr>
        <w:spacing w:line="360" w:lineRule="auto"/>
        <w:jc w:val="left"/>
        <w:rPr>
          <w:rFonts w:ascii="宋体" w:hAnsi="宋体"/>
          <w:b/>
          <w:sz w:val="24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第一题：</w:t>
      </w:r>
    </w:p>
    <w:p>
      <w:pPr>
        <w:spacing w:line="360" w:lineRule="auto"/>
        <w:ind w:firstLine="482" w:firstLineChars="200"/>
        <w:rPr>
          <w:rFonts w:hint="default" w:ascii="楷体_GB2312" w:eastAsia="楷体_GB2312"/>
          <w:b/>
          <w:sz w:val="24"/>
          <w:u w:val="single"/>
          <w:lang w:val="en-US" w:eastAsia="zh-CN"/>
        </w:rPr>
      </w:pPr>
      <w:r>
        <w:rPr>
          <w:rFonts w:hint="default" w:ascii="楷体_GB2312" w:eastAsia="楷体_GB2312"/>
          <w:b/>
          <w:sz w:val="24"/>
          <w:u w:val="single"/>
          <w:lang w:val="en-US" w:eastAsia="zh-CN"/>
        </w:rPr>
        <w:t>社会存在称社会物质生活条件，是社会生活的物质方面</w:t>
      </w: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。</w:t>
      </w:r>
      <w:r>
        <w:rPr>
          <w:rFonts w:hint="default" w:ascii="楷体_GB2312" w:eastAsia="楷体_GB2312"/>
          <w:b/>
          <w:sz w:val="24"/>
          <w:u w:val="single"/>
          <w:lang w:val="en-US" w:eastAsia="zh-CN"/>
        </w:rPr>
        <w:t>社会意识是社会存在在社会精神领域中的反映，是精神现象的总和，包括社会的一切意识要素和观念形态</w:t>
      </w: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，如</w:t>
      </w:r>
      <w:r>
        <w:rPr>
          <w:rFonts w:hint="default" w:ascii="楷体_GB2312" w:eastAsia="楷体_GB2312"/>
          <w:b/>
          <w:sz w:val="24"/>
          <w:u w:val="single"/>
          <w:lang w:val="en-US" w:eastAsia="zh-CN"/>
        </w:rPr>
        <w:t xml:space="preserve">哲学、政治、经济及日常生活等观点。 </w:t>
      </w:r>
    </w:p>
    <w:p>
      <w:pPr>
        <w:spacing w:line="360" w:lineRule="auto"/>
        <w:ind w:firstLine="482" w:firstLineChars="200"/>
        <w:rPr>
          <w:rFonts w:hint="eastAsia" w:ascii="楷体_GB2312" w:eastAsia="楷体_GB2312"/>
          <w:b/>
          <w:sz w:val="24"/>
          <w:u w:val="single"/>
          <w:lang w:val="en-US" w:eastAsia="zh-CN"/>
        </w:rPr>
      </w:pP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课本上说，社Aa888888</w:t>
      </w:r>
      <w:bookmarkStart w:id="0" w:name="_GoBack"/>
      <w:bookmarkEnd w:id="0"/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会存在和社会意识是辩证统一的。社会意识根源于社会存在，是对以实践为基础的不断变化发展的现实世界的反映。中国不断发展强大的经济政治，不断影响着国家文化的形成，发展与传播。只有国家本身的物质实力水平提升，才能为国家文化繁荣发展提供滋长的土壤。就像先前李子柒的视频火遍全世界，本身就属于一种文化输出，它靠得不仅仅是团队本身的技术能力和李子柒的个人魅力，更主要的还是国家信息网络与科技的发展为频道创作提供了平台，人们物质生活满足诞生了足够多的受众，才使李子柒带领传统文化走出中国，国家文化得以强化。同时，社会存在和社会意识是相应地不断发生变化和发展的。社会意识是具体的、历史的。每一时代的社会意识都具有不断进步的历史趋势，但不管怎样变化、发展，其根源总是深深地埋藏于经济的事实之中。原始社会中，人们没有私有观念，但是随着经济发展，私有意识才逐渐萌发，文化发展也是一样，原先国内总是存有不少人认为国外的一切都是好的，以至于空气都更加香甜，但是随着如今的国人经济发展，眼界也更加开阔，越来越多的人意识到本国的文化魅力，并致力于发展本国文化，兴起一波波国风、传统艺术文化的复兴。</w:t>
      </w:r>
    </w:p>
    <w:p>
      <w:pPr>
        <w:spacing w:line="360" w:lineRule="auto"/>
        <w:ind w:firstLine="482" w:firstLineChars="200"/>
        <w:rPr>
          <w:rFonts w:hint="eastAsia" w:ascii="楷体_GB2312" w:eastAsia="楷体_GB2312"/>
          <w:b/>
          <w:sz w:val="24"/>
          <w:u w:val="single"/>
          <w:lang w:val="en-US" w:eastAsia="zh-CN"/>
        </w:rPr>
      </w:pP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与此同时，社会意识并非消极被动地受制于社会存在，它既依赖于社会存在，又有其相对独立性。社会意识对社会存在能动的反作用就是其独立性的突出表现之一。社会意识在一定条件下通过指导人们的实践活动，作用于社会存在，影响历史的发展。唯有文化繁荣富强，提高全民族的思想道德素质和科学文化素质，才能为经济发展和社会全面进步提供强大的精神动力和智力支持。由此，我认为文化强国是必要的，也是必须的。一个国家、一个民族的文化之强，不仅表现为国际文化格局中的文化创新的程度、发展境界的高度、文化影响的力度等客观态势，更表现为其所具有的先进文化精神，以及对本民族文化价值理想所抱有的强大的文化自信。</w:t>
      </w:r>
    </w:p>
    <w:p>
      <w:pPr>
        <w:spacing w:line="360" w:lineRule="auto"/>
        <w:ind w:firstLine="482" w:firstLineChars="200"/>
        <w:rPr>
          <w:rFonts w:hint="default" w:ascii="楷体_GB2312" w:eastAsia="楷体_GB2312"/>
          <w:b/>
          <w:sz w:val="24"/>
          <w:u w:val="single"/>
          <w:lang w:val="en-US" w:eastAsia="zh-CN"/>
        </w:rPr>
      </w:pPr>
      <w:r>
        <w:rPr>
          <w:rFonts w:hint="eastAsia" w:ascii="楷体_GB2312" w:eastAsia="楷体_GB2312"/>
          <w:b/>
          <w:sz w:val="24"/>
          <w:u w:val="single"/>
          <w:lang w:val="en-US" w:eastAsia="zh-CN"/>
        </w:rPr>
        <w:t>将文化强国这一理念落实，我认为文化强国战略不仅仅涉及到企业，单位，与广大青年人群也是息息相关的。我们身为新一代的青年，更应该发挥自身的长处，不断汲取文化精华，向我们身边，向世界不断扩展致力于文化宣传，培养文化自信，建设文化强国，壮大中华民族共有的精神家园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2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200247B" w:usb2="00000009" w:usb3="00000000" w:csb0="200001FF" w:csb1="00000000"/>
  </w:font>
  <w:font w:name="华文中宋">
    <w:charset w:val="86"/>
    <w:family w:val="auto"/>
    <w:panose1 w:val="02010600040101010101"/>
    <w:pitch w:val="default"/>
    <w:sig w:usb0="00000287" w:usb1="080F0000" w:usb2="00000000" w:usb3="00000000" w:csb0="0004009F" w:csb1="DFD70000"/>
  </w:font>
  <w:font w:name="楷体_GB2312">
    <w:altName w:val="楷体"/>
    <w:charset w:val="86"/>
    <w:family w:val="modern"/>
    <w:panose1 w:val="020B0604020202020204"/>
    <w:pitch w:val="default"/>
    <w:sig w:usb0="00000000" w:usb1="00000000" w:usb2="00000010" w:usb3="00000000" w:csb0="00040000" w:csb1="00000000"/>
  </w:font>
  <w:font w:name="微软雅黑">
    <w:charset w:val="86"/>
    <w:family w:val="swiss"/>
    <w:panose1 w:val="020B0503020204020204"/>
    <w:pitch w:val="default"/>
    <w:sig w:usb0="80000287" w:usb1="2ACF3C50" w:usb2="00000016" w:usb3="00000000" w:csb0="0004001F" w:csb1="00000000"/>
  </w:font>
  <w:font w:name="仿宋_GB2312">
    <w:altName w:val="仿宋"/>
    <w:charset w:val="86"/>
    <w:family w:val="modern"/>
    <w:panose1 w:val="020B0604020202020204"/>
    <w:pitch w:val="default"/>
    <w:sig w:usb0="00000000" w:usb1="00000000" w:usb2="00000010" w:usb3="00000000" w:csb0="000401FF" w:csb1="00000000"/>
  </w:font>
  <w:font w:name="Kaiti SC">
    <w:altName w:val="宋体"/>
    <w:charset w:val="86"/>
    <w:family w:val="auto"/>
    <w:panose1 w:val="02010600040101010101"/>
    <w:pitch w:val="default"/>
    <w:sig w:usb0="00000000" w:usb1="00000000" w:usb2="00000016" w:usb3="00000000" w:csb0="0004001F" w:csb1="00000000"/>
  </w:font>
  <w:font w:name="楷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仿宋">
    <w:charset w:val="86"/>
    <w:family w:val="auto"/>
    <w:panose1 w:val="02010609060101010101"/>
    <w:pitch w:val="default"/>
    <w:sig w:usb0="800002BF" w:usb1="38CF7CFA" w:usb2="00000016" w:usb3="00000000" w:csb0="00040001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doNotUseEastAsianBreakRules/>
    <w:doNotUseIndentAsNumberingTabStop/>
    <w:doNotWrapTextWithPunct/>
    <w:spaceForUL/>
    <w:ulTrailSpace/>
    <w:useFELayout/>
  </w:compat>
  <w:docVars>
    <w:docVar w:name="commondata" w:val="eyJoZGlkIjoiYTRkOTI4MjUxNzI4YTJiYmIzZTZmYzQ4NTJlMGExNWYifQ=="/>
  </w:docVars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pPrDefault/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1"/>
    <w:unhideWhenUsed/>
  </w:style>
  <w:style w:type="table" w:default="1" w:styleId="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