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a14="http://schemas.microsoft.com/office/drawing/2010/main" mc:Ignorable="w14 wp14">
  <w:body>
    <w:p xmlns:wp14="http://schemas.microsoft.com/office/word/2010/wordml" w14:paraId="30C1F7C2" wp14:textId="77777777">
      <w:pPr>
        <w:pStyle w:val="Title"/>
      </w:pPr>
      <w:r w:rsidR="43D3AA20">
        <w:rPr/>
        <w:t>Designing for the Whole Child in K–12 E-Learning</w:t>
      </w:r>
    </w:p>
    <w:bookmarkStart w:name="a1.-introduction" w:id="9"/>
    <w:bookmarkEnd w:id="9"/>
    <w:bookmarkStart w:name="Xdf902217716bfada897db54ac5e1ced71b5cb3c" w:id="20"/>
    <w:bookmarkStart w:name="a1.-introduction-1" w:id="11"/>
    <w:p xmlns:wp14="http://schemas.microsoft.com/office/word/2010/wordml" w14:paraId="14250915" wp14:textId="77777777">
      <w:pPr>
        <w:pStyle w:val="Heading2"/>
      </w:pPr>
      <w:r w:rsidR="43D3AA20">
        <w:rPr/>
        <w:t>A1. Introduction</w:t>
      </w:r>
    </w:p>
    <w:p xmlns:wp14="http://schemas.microsoft.com/office/word/2010/wordml" w14:paraId="60722E0C" wp14:textId="77777777">
      <w:pPr>
        <w:pStyle w:val="FirstParagraph"/>
      </w:pPr>
      <w:r>
        <w:t xml:space="preserve">Designing meaningful online learning experiences requires an understanding of the real challenges that K–12 students face when learning in digital environments.</w:t>
      </w:r>
      <w:r>
        <w:br/>
      </w:r>
      <w:r>
        <w:t xml:space="preserve">While WGU materials emphasize empathy for the learner, much of my perspective comes from daily experience teaching</w:t>
      </w:r>
      <w:r>
        <w:t xml:space="preserve"> </w:t>
      </w:r>
      <w:r>
        <w:rPr>
          <w:b/>
          <w:bCs/>
        </w:rPr>
        <w:t xml:space="preserve">Computer Science and Web Development</w:t>
      </w:r>
      <w:r>
        <w:t xml:space="preserve"> </w:t>
      </w:r>
      <w:r>
        <w:t xml:space="preserve">through both</w:t>
      </w:r>
      <w:r>
        <w:t xml:space="preserve"> </w:t>
      </w:r>
      <w:r>
        <w:rPr>
          <w:b/>
          <w:bCs/>
        </w:rPr>
        <w:t xml:space="preserve">in-person and online modalities</w:t>
      </w:r>
      <w:r>
        <w:t xml:space="preserve">.</w:t>
      </w:r>
    </w:p>
    <w:p xmlns:wp14="http://schemas.microsoft.com/office/word/2010/wordml" w14:paraId="2CB26EDC" wp14:textId="77777777">
      <w:pPr>
        <w:pStyle w:val="BodyText"/>
      </w:pPr>
      <w:r>
        <w:t xml:space="preserve">Over the past 1.5 years of online teaching, I have witnessed the differences between:</w:t>
      </w:r>
      <w:r>
        <w:t xml:space="preserve"> </w:t>
      </w:r>
      <w:r>
        <w:t xml:space="preserve">-</w:t>
      </w:r>
      <w:r>
        <w:t xml:space="preserve"> </w:t>
      </w:r>
      <w:r>
        <w:rPr>
          <w:b/>
          <w:bCs/>
        </w:rPr>
        <w:t xml:space="preserve">In-class hybrid instruction</w:t>
      </w:r>
      <w:r>
        <w:t xml:space="preserve">, where students collaborate, receive immediate feedback, and build together.</w:t>
      </w:r>
      <w:r>
        <w:t xml:space="preserve"> </w:t>
      </w:r>
      <w:r>
        <w:t xml:space="preserve">-</w:t>
      </w:r>
      <w:r>
        <w:t xml:space="preserve"> </w:t>
      </w:r>
      <w:r>
        <w:rPr>
          <w:b/>
          <w:bCs/>
        </w:rPr>
        <w:t xml:space="preserve">Fully online learning</w:t>
      </w:r>
      <w:r>
        <w:t xml:space="preserve">, where motivation, structure, and emotional engagement must be deliberately designed into the experience.</w:t>
      </w:r>
    </w:p>
    <w:p xmlns:wp14="http://schemas.microsoft.com/office/word/2010/wordml" w14:paraId="48F1C24F" wp14:textId="77777777">
      <w:pPr>
        <w:pStyle w:val="BodyText"/>
      </w:pPr>
      <w:r>
        <w:t xml:space="preserve">Understanding these differences is essential for instructional designers, because</w:t>
      </w:r>
      <w:r>
        <w:t xml:space="preserve"> </w:t>
      </w:r>
      <w:r>
        <w:rPr>
          <w:i/>
          <w:iCs/>
        </w:rPr>
        <w:t xml:space="preserve">effective digital design is not merely content delivery — it is the architecture of engagement, emotion, and equity.</w:t>
      </w:r>
    </w:p>
    <w:p xmlns:wp14="http://schemas.microsoft.com/office/word/2010/wordml" w14:paraId="0A37501D" wp14:textId="780B9B22"/>
    <w:bookmarkStart w:name="modes-of-teaching-comparison" w:id="10"/>
    <w:p xmlns:wp14="http://schemas.microsoft.com/office/word/2010/wordml" w14:paraId="0E543A1E" wp14:textId="7E71B3FA">
      <w:pPr>
        <w:pStyle w:val="Heading3"/>
      </w:pPr>
      <w:r w:rsidR="43D3AA20">
        <w:rPr/>
        <w:t>Modes of Teaching Comparison</w:t>
      </w:r>
    </w:p>
    <w:p xmlns:wp14="http://schemas.microsoft.com/office/word/2010/wordml" w:rsidP="43D3AA20" w14:paraId="5DAB6C7B" wp14:textId="58C738FB">
      <w:pPr>
        <w:pStyle w:val="Normal"/>
      </w:pPr>
      <w:r w:rsidR="7A6F24B5">
        <w:drawing>
          <wp:inline xmlns:wp14="http://schemas.microsoft.com/office/word/2010/wordprocessingDrawing" wp14:editId="6E73E673" wp14:anchorId="2DB2F4A8">
            <wp:extent cx="4832927" cy="3067050"/>
            <wp:effectExtent l="0" t="0" r="0" b="0"/>
            <wp:docPr id="1613608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3608942" name=""/>
                    <pic:cNvPicPr/>
                  </pic:nvPicPr>
                  <pic:blipFill>
                    <a:blip xmlns:r="http://schemas.openxmlformats.org/officeDocument/2006/relationships" r:embed="rId1925516492">
                      <a:extLst>
                        <a:ext uri="{28A0092B-C50C-407E-A947-70E740481C1C}">
                          <a14:useLocalDpi xmlns:a14="http://schemas.microsoft.com/office/drawing/2010/main"/>
                        </a:ext>
                      </a:extLst>
                    </a:blip>
                    <a:stretch>
                      <a:fillRect/>
                    </a:stretch>
                  </pic:blipFill>
                  <pic:spPr>
                    <a:xfrm rot="0">
                      <a:off x="0" y="0"/>
                      <a:ext cx="4832927" cy="3067050"/>
                    </a:xfrm>
                    <a:prstGeom prst="rect">
                      <a:avLst/>
                    </a:prstGeom>
                  </pic:spPr>
                </pic:pic>
              </a:graphicData>
            </a:graphic>
          </wp:inline>
        </w:drawing>
      </w:r>
    </w:p>
    <w:bookmarkEnd w:id="10"/>
    <w:bookmarkEnd w:id="11"/>
    <w:bookmarkStart w:name="a2.-challenges-and-contrasts" w:id="19"/>
    <w:p xmlns:wp14="http://schemas.microsoft.com/office/word/2010/wordml" w14:paraId="4994ADDC" wp14:textId="77777777">
      <w:pPr>
        <w:pStyle w:val="Heading2"/>
      </w:pPr>
      <w:r>
        <w:t xml:space="preserve">A2. Challenges and Contrasts</w:t>
      </w:r>
    </w:p>
    <w:p xmlns:wp14="http://schemas.microsoft.com/office/word/2010/wordml" w14:paraId="1A376AE3" wp14:textId="77777777">
      <w:pPr>
        <w:pStyle w:val="FirstParagraph"/>
      </w:pPr>
      <w:r>
        <w:t xml:space="preserve">The WGU lessons organize e-learning challenges across social, emotional, learning, and external dimensions.</w:t>
      </w:r>
      <w:r>
        <w:t xml:space="preserve"> </w:t>
      </w:r>
      <w:r>
        <w:t xml:space="preserve">In my own practice, I have encountered these same themes, often through real examples in coding and project-based instruction.</w:t>
      </w:r>
      <w:r>
        <w:t xml:space="preserve"> </w:t>
      </w:r>
      <w:r>
        <w:t xml:space="preserve">Below, I highlight how WGU’s theory aligns or contrasts with my classroom experiences.</w:t>
      </w:r>
    </w:p>
    <w:bookmarkStart w:name="a2a.-social-challenges" w:id="12"/>
    <w:p xmlns:wp14="http://schemas.microsoft.com/office/word/2010/wordml" w14:paraId="0ED5E2C3" wp14:textId="77777777">
      <w:pPr>
        <w:pStyle w:val="Heading3"/>
      </w:pPr>
      <w:r>
        <w:t xml:space="preserve">A2a. Social Challenges</w:t>
      </w:r>
    </w:p>
    <w:p xmlns:wp14="http://schemas.microsoft.com/office/word/2010/wordml" w14:paraId="7C464327" wp14:textId="77777777">
      <w:pPr>
        <w:pStyle w:val="FirstParagraph"/>
      </w:pPr>
      <w:r>
        <w:t xml:space="preserve">WGU Emphasis: Providing time for communication and routine feedback.</w:t>
      </w:r>
    </w:p>
    <w:p xmlns:wp14="http://schemas.microsoft.com/office/word/2010/wordml" w14:paraId="1F2534D2" wp14:textId="77777777">
      <w:pPr>
        <w:pStyle w:val="BodyText"/>
      </w:pPr>
      <w:r>
        <w:t xml:space="preserve">My Experience:</w:t>
      </w:r>
      <w:r>
        <w:t xml:space="preserve"> </w:t>
      </w:r>
      <w:r>
        <w:t xml:space="preserve">In my coding classes, collaboration is central. Students learn GitHub workflows, peer review, and agile communication.</w:t>
      </w:r>
      <w:r>
        <w:t xml:space="preserve"> </w:t>
      </w:r>
      <w:r>
        <w:t xml:space="preserve">In contrast, online learners often miss spontaneous collaboration—chat threads and delayed feedback lack the social immediacy that fosters peer learning.</w:t>
      </w:r>
    </w:p>
    <w:p xmlns:wp14="http://schemas.microsoft.com/office/word/2010/wordml" w14:paraId="004B8A04" wp14:textId="77777777">
      <w:pPr>
        <w:pStyle w:val="BodyText"/>
      </w:pPr>
      <w:r>
        <w:t xml:space="preserve">Contrast:</w:t>
      </w:r>
      <w:r>
        <w:t xml:space="preserve"> </w:t>
      </w:r>
      <w:r>
        <w:t xml:space="preserve">Where WGU suggests scheduling structured interaction, I have learned to integrate asynchronous community touchpoints such as comments on Issue threads, GitHub PRs, or breakout room updates. These allow students to “see” each other’s progress in authentic, project-based contexts.</w:t>
      </w:r>
    </w:p>
    <w:bookmarkEnd w:id="12"/>
    <w:bookmarkStart w:name="a2b.-emotional-challenges" w:id="13"/>
    <w:p xmlns:wp14="http://schemas.microsoft.com/office/word/2010/wordml" w14:paraId="252DD993" wp14:textId="77777777">
      <w:pPr>
        <w:pStyle w:val="Heading3"/>
      </w:pPr>
      <w:r>
        <w:t xml:space="preserve">A2b. Emotional Challenges</w:t>
      </w:r>
    </w:p>
    <w:p xmlns:wp14="http://schemas.microsoft.com/office/word/2010/wordml" w14:paraId="2AD70D24" wp14:textId="77777777">
      <w:pPr>
        <w:pStyle w:val="FirstParagraph"/>
      </w:pPr>
      <w:r>
        <w:t xml:space="preserve">WGU Emphasis: Integrating opportunities to cultivate emotional intelligence.</w:t>
      </w:r>
    </w:p>
    <w:p xmlns:wp14="http://schemas.microsoft.com/office/word/2010/wordml" w14:paraId="1F1D5896" wp14:textId="41F689EA">
      <w:pPr>
        <w:pStyle w:val="BodyText"/>
      </w:pPr>
      <w:r w:rsidR="43D3AA20">
        <w:rPr/>
        <w:t>My Experience:</w:t>
      </w:r>
      <w:r w:rsidR="43D3AA20">
        <w:rPr/>
        <w:t xml:space="preserve"> </w:t>
      </w:r>
      <w:r w:rsidR="43D3AA20">
        <w:rPr/>
        <w:t xml:space="preserve">Emotional regulation is critical in programming. Students </w:t>
      </w:r>
      <w:r w:rsidR="43D3AA20">
        <w:rPr/>
        <w:t>frequently</w:t>
      </w:r>
      <w:r w:rsidR="43D3AA20">
        <w:rPr/>
        <w:t xml:space="preserve"> </w:t>
      </w:r>
      <w:r w:rsidR="43D3AA20">
        <w:rPr/>
        <w:t>encounter</w:t>
      </w:r>
      <w:r w:rsidR="43D3AA20">
        <w:rPr/>
        <w:t xml:space="preserve"> frustration during debugging.</w:t>
      </w:r>
      <w:r w:rsidR="43D3AA20">
        <w:rPr/>
        <w:t xml:space="preserve"> </w:t>
      </w:r>
      <w:r w:rsidR="60EEE49B">
        <w:rPr/>
        <w:t>In person</w:t>
      </w:r>
      <w:r w:rsidR="43D3AA20">
        <w:rPr/>
        <w:t>, I can read body language and intervene early. Online, those cues disappear, so I use reflection forms and “checkpoint” meetings and journaling to surface emotions.</w:t>
      </w:r>
    </w:p>
    <w:p xmlns:wp14="http://schemas.microsoft.com/office/word/2010/wordml" w14:paraId="4EBBB5FC" wp14:textId="77777777">
      <w:pPr>
        <w:pStyle w:val="BodyText"/>
      </w:pPr>
      <w:r>
        <w:t xml:space="preserve">Contrast:</w:t>
      </w:r>
      <w:r>
        <w:t xml:space="preserve"> </w:t>
      </w:r>
      <w:r>
        <w:t xml:space="preserve">WGU’s guidance aligns with my practice, but I find success in tying emotional awareness to technical problem-solving — teaching students that frustration is a normal data point, not a failure. Sharing a work product in an authentic problem surfaces emotional intelligence.</w:t>
      </w:r>
    </w:p>
    <w:bookmarkEnd w:id="13"/>
    <w:bookmarkStart w:name="a2c.-learning-challenges" w:id="14"/>
    <w:p xmlns:wp14="http://schemas.microsoft.com/office/word/2010/wordml" w14:paraId="10A74786" wp14:textId="77777777">
      <w:pPr>
        <w:pStyle w:val="Heading3"/>
      </w:pPr>
      <w:r>
        <w:t xml:space="preserve">A2c. Learning Challenges</w:t>
      </w:r>
    </w:p>
    <w:p xmlns:wp14="http://schemas.microsoft.com/office/word/2010/wordml" w14:paraId="171657EB" wp14:textId="77777777">
      <w:pPr>
        <w:pStyle w:val="FirstParagraph"/>
      </w:pPr>
      <w:r>
        <w:t xml:space="preserve">WGU Emphasis: Using UDL (Universal Design for Learning) as a foundation for course development.</w:t>
      </w:r>
    </w:p>
    <w:p xmlns:wp14="http://schemas.microsoft.com/office/word/2010/wordml" w14:paraId="300AD5DF" wp14:textId="6F952002">
      <w:pPr>
        <w:pStyle w:val="BodyText"/>
      </w:pPr>
      <w:r w:rsidR="43D3AA20">
        <w:rPr/>
        <w:t>My Experience:</w:t>
      </w:r>
      <w:r w:rsidR="43D3AA20">
        <w:rPr/>
        <w:t xml:space="preserve"> </w:t>
      </w:r>
      <w:r w:rsidR="43D3AA20">
        <w:rPr/>
        <w:t>UDL principles — multiple modalities of representation, engagement, and expression — naturally align with project-based computer science outcomes.</w:t>
      </w:r>
      <w:r w:rsidR="43D3AA20">
        <w:rPr/>
        <w:t xml:space="preserve"> </w:t>
      </w:r>
      <w:r w:rsidR="43D3AA20">
        <w:rPr/>
        <w:t xml:space="preserve">Students learn differently: some prefer visual diagrams of </w:t>
      </w:r>
      <w:r w:rsidR="7285A1B4">
        <w:rPr/>
        <w:t>systems;</w:t>
      </w:r>
      <w:r w:rsidR="43D3AA20">
        <w:rPr/>
        <w:t xml:space="preserve"> others need code examples or tutorials.</w:t>
      </w:r>
      <w:r w:rsidR="43D3AA20">
        <w:rPr/>
        <w:t xml:space="preserve"> </w:t>
      </w:r>
      <w:r w:rsidR="43D3AA20">
        <w:rPr/>
        <w:t xml:space="preserve">I often use live coding sessions side-by-side so learners can </w:t>
      </w:r>
      <w:r w:rsidR="43D3AA20">
        <w:rPr/>
        <w:t>observe</w:t>
      </w:r>
      <w:r w:rsidR="43D3AA20">
        <w:rPr/>
        <w:t xml:space="preserve"> their expected path.</w:t>
      </w:r>
    </w:p>
    <w:p xmlns:wp14="http://schemas.microsoft.com/office/word/2010/wordml" w14:paraId="73B71F2F" wp14:textId="2476123C">
      <w:pPr>
        <w:pStyle w:val="BodyText"/>
      </w:pPr>
      <w:r w:rsidR="0D2ABADA">
        <w:rPr/>
        <w:t>By contrast</w:t>
      </w:r>
      <w:r w:rsidR="43D3AA20">
        <w:rPr/>
        <w:t>:</w:t>
      </w:r>
      <w:r w:rsidR="43D3AA20">
        <w:rPr/>
        <w:t xml:space="preserve"> </w:t>
      </w:r>
      <w:r w:rsidR="43D3AA20">
        <w:rPr/>
        <w:t>While WGU emphasizes structural design, I focus on fluid scaffolding: dynamic adaptation based on student progress, rather than fixed course architecture.</w:t>
      </w:r>
    </w:p>
    <w:bookmarkEnd w:id="14"/>
    <w:bookmarkStart w:name="Xffd3081cd2f20b1777066df1c230ab7f7bea229" w:id="15"/>
    <w:p xmlns:wp14="http://schemas.microsoft.com/office/word/2010/wordml" w14:paraId="5816D313" wp14:textId="77777777">
      <w:pPr>
        <w:pStyle w:val="Heading3"/>
      </w:pPr>
      <w:r>
        <w:t xml:space="preserve">A2d. Learning Distractions (External Challenges)</w:t>
      </w:r>
    </w:p>
    <w:p xmlns:wp14="http://schemas.microsoft.com/office/word/2010/wordml" w14:paraId="361EF495" wp14:textId="77777777">
      <w:pPr>
        <w:pStyle w:val="FirstParagraph"/>
      </w:pPr>
      <w:r>
        <w:t xml:space="preserve">WGU Emphasis: Explicitly teaching life skills such as time management and organization.</w:t>
      </w:r>
    </w:p>
    <w:p xmlns:wp14="http://schemas.microsoft.com/office/word/2010/wordml" w14:paraId="652637B0" wp14:textId="1BAF5502">
      <w:pPr>
        <w:pStyle w:val="BodyText"/>
      </w:pPr>
      <w:r w:rsidR="43D3AA20">
        <w:rPr/>
        <w:t>My Experience:</w:t>
      </w:r>
      <w:r w:rsidR="43D3AA20">
        <w:rPr/>
        <w:t xml:space="preserve"> </w:t>
      </w:r>
      <w:r w:rsidR="43D3AA20">
        <w:rPr/>
        <w:t>Self-management is the make-or-break factor in online learning.</w:t>
      </w:r>
      <w:r w:rsidR="43D3AA20">
        <w:rPr/>
        <w:t xml:space="preserve"> </w:t>
      </w:r>
      <w:r w:rsidR="43D3AA20">
        <w:rPr/>
        <w:t>In computer science, deadlines for commits or sprint tasks can teach real-world time discipline.</w:t>
      </w:r>
      <w:r w:rsidR="43D3AA20">
        <w:rPr/>
        <w:t xml:space="preserve"> </w:t>
      </w:r>
      <w:r w:rsidR="43D3AA20">
        <w:rPr/>
        <w:t xml:space="preserve">I </w:t>
      </w:r>
      <w:r w:rsidR="506A7C9D">
        <w:rPr/>
        <w:t>embedded</w:t>
      </w:r>
      <w:r w:rsidR="43D3AA20">
        <w:rPr/>
        <w:t xml:space="preserve"> agile tools like Kanban boards and burndown lists to make progress visible and self-directed.</w:t>
      </w:r>
    </w:p>
    <w:p xmlns:wp14="http://schemas.microsoft.com/office/word/2010/wordml" w14:paraId="5F503F63" wp14:textId="7BC732A3">
      <w:pPr>
        <w:pStyle w:val="BodyText"/>
      </w:pPr>
      <w:r w:rsidR="7F88C955">
        <w:rPr/>
        <w:t>By contrast</w:t>
      </w:r>
      <w:r w:rsidR="331582B6">
        <w:rPr/>
        <w:t>,</w:t>
      </w:r>
      <w:r w:rsidR="43D3AA20">
        <w:rPr/>
        <w:t xml:space="preserve"> </w:t>
      </w:r>
      <w:r w:rsidR="43D3AA20">
        <w:rPr/>
        <w:t xml:space="preserve">WGU’s recommendation feels broad, while my experience shows that project management tools themselves can teach life skills more effectively than separate lessons. Tasks, deadlines, and individual accountability help students engage </w:t>
      </w:r>
      <w:r w:rsidR="43D3AA20">
        <w:rPr/>
        <w:t>in a timely manner</w:t>
      </w:r>
      <w:r w:rsidR="43D3AA20">
        <w:rPr/>
        <w:t>.</w:t>
      </w:r>
    </w:p>
    <w:bookmarkEnd w:id="15"/>
    <w:bookmarkStart w:name="a2e.-experiential-challenges" w:id="16"/>
    <w:p xmlns:wp14="http://schemas.microsoft.com/office/word/2010/wordml" w14:paraId="76ED0493" wp14:textId="77777777">
      <w:pPr>
        <w:pStyle w:val="Heading3"/>
      </w:pPr>
      <w:r>
        <w:t xml:space="preserve">A2e. Experiential Challenges</w:t>
      </w:r>
    </w:p>
    <w:p xmlns:wp14="http://schemas.microsoft.com/office/word/2010/wordml" w14:paraId="709ED11E" wp14:textId="77777777">
      <w:pPr>
        <w:pStyle w:val="FirstParagraph"/>
      </w:pPr>
      <w:r>
        <w:t xml:space="preserve">WGU Extension: Having authentic learning and outcomes.</w:t>
      </w:r>
    </w:p>
    <w:p xmlns:wp14="http://schemas.microsoft.com/office/word/2010/wordml" w14:paraId="0A5314E1" wp14:textId="77777777">
      <w:pPr>
        <w:pStyle w:val="BodyText"/>
      </w:pPr>
      <w:r>
        <w:t xml:space="preserve">My Experience:</w:t>
      </w:r>
      <w:r>
        <w:t xml:space="preserve"> </w:t>
      </w:r>
      <w:r>
        <w:t xml:space="preserve">Authentic projects — student-built websites, Flask apps, or GitHub Pages portfolios — drive intrinsic motivation far better than quizzes.</w:t>
      </w:r>
      <w:r>
        <w:t xml:space="preserve"> </w:t>
      </w:r>
      <w:r>
        <w:t xml:space="preserve">Students see their work hosted publicly, connected to professional skills. Having an end-of-trimester showcase, online or in person with parents, helps drive professional and authentic feedback.</w:t>
      </w:r>
    </w:p>
    <w:p xmlns:wp14="http://schemas.microsoft.com/office/word/2010/wordml" w14:paraId="7DB74709" wp14:textId="7A975C50">
      <w:pPr>
        <w:pStyle w:val="BodyText"/>
      </w:pPr>
      <w:r w:rsidR="54E89409">
        <w:rPr/>
        <w:t>By contrast</w:t>
      </w:r>
      <w:r w:rsidR="43D3AA20">
        <w:rPr/>
        <w:t>:</w:t>
      </w:r>
      <w:r w:rsidR="43D3AA20">
        <w:rPr/>
        <w:t xml:space="preserve"> </w:t>
      </w:r>
      <w:r w:rsidR="43D3AA20">
        <w:rPr/>
        <w:t>WGU emphasizes structure and routine; I emphasize ownership and relevance. Authentic learning transforms routine tasks into personal narratives of capability.</w:t>
      </w:r>
    </w:p>
    <w:bookmarkEnd w:id="16"/>
    <w:bookmarkStart w:name="a3.-teacher-response-table" w:id="17"/>
    <w:p xmlns:wp14="http://schemas.microsoft.com/office/word/2010/wordml" w14:paraId="3B47DBB4" wp14:textId="77777777">
      <w:pPr>
        <w:pStyle w:val="Heading3"/>
      </w:pPr>
      <w:r>
        <w:t xml:space="preserve">A3. Teacher Response Table</w:t>
      </w:r>
    </w:p>
    <w:tbl>
      <w:tblPr>
        <w:tblStyle w:val="Table"/>
        <w:tblW w:w="5000" w:type="pct"/>
        <w:tblLayout w:type="fixed"/>
        <w:tblLook w:val="0020" w:firstRow="1" w:lastRow="0" w:firstColumn="0" w:lastColumn="0" w:noHBand="0" w:noVBand="0"/>
      </w:tblPr>
      <w:tblGrid>
        <w:gridCol w:w="2282"/>
        <w:gridCol w:w="2684"/>
        <w:gridCol w:w="2953"/>
      </w:tblGrid>
      <w:tr xmlns:wp14="http://schemas.microsoft.com/office/word/2010/wordml" w:rsidTr="43D3AA20" w14:paraId="5836AA30"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14:paraId="2D88416D" wp14:textId="77777777">
            <w:pPr>
              <w:pStyle w:val="Compact"/>
            </w:pPr>
            <w:r>
              <w:t xml:space="preserve">WGU Focus Area</w:t>
            </w:r>
          </w:p>
        </w:tc>
        <w:tc>
          <w:tcPr>
            <w:cnfStyle w:val="000001000000" w:firstRow="0" w:lastRow="0" w:firstColumn="0" w:lastColumn="0" w:oddVBand="0" w:evenVBand="1" w:oddHBand="0" w:evenHBand="0" w:firstRowFirstColumn="0" w:firstRowLastColumn="0" w:lastRowFirstColumn="0" w:lastRowLastColumn="0"/>
            <w:tcMar/>
          </w:tcPr>
          <w:p w14:paraId="0D33C515" wp14:textId="77777777">
            <w:pPr>
              <w:pStyle w:val="Compact"/>
            </w:pPr>
            <w:r>
              <w:t xml:space="preserve">Summary of Concept</w:t>
            </w:r>
          </w:p>
        </w:tc>
        <w:tc>
          <w:tcPr>
            <w:cnfStyle w:val="000010000000" w:firstRow="0" w:lastRow="0" w:firstColumn="0" w:lastColumn="0" w:oddVBand="1" w:evenVBand="0" w:oddHBand="0" w:evenHBand="0" w:firstRowFirstColumn="0" w:firstRowLastColumn="0" w:lastRowFirstColumn="0" w:lastRowLastColumn="0"/>
            <w:tcMar/>
          </w:tcPr>
          <w:p w14:paraId="6C8FB5FF" wp14:textId="77777777">
            <w:pPr>
              <w:pStyle w:val="Compact"/>
            </w:pPr>
            <w:r>
              <w:t xml:space="preserve">My Teaching Response</w:t>
            </w:r>
          </w:p>
        </w:tc>
      </w:tr>
      <w:tr xmlns:wp14="http://schemas.microsoft.com/office/word/2010/wordml" w:rsidTr="43D3AA20" w14:paraId="3FD1CE8E" wp14:textId="77777777">
        <w:tc>
          <w:tcPr>
            <w:cnfStyle w:val="000010000000" w:firstRow="0" w:lastRow="0" w:firstColumn="0" w:lastColumn="0" w:oddVBand="1" w:evenVBand="0" w:oddHBand="0" w:evenHBand="0" w:firstRowFirstColumn="0" w:firstRowLastColumn="0" w:lastRowFirstColumn="0" w:lastRowLastColumn="0"/>
            <w:tcMar/>
          </w:tcPr>
          <w:p w14:paraId="34D58750" wp14:textId="77777777">
            <w:pPr>
              <w:pStyle w:val="Compact"/>
            </w:pPr>
            <w:r>
              <w:rPr>
                <w:b/>
                <w:bCs/>
              </w:rPr>
              <w:t xml:space="preserve">A2a. Social</w:t>
            </w:r>
          </w:p>
        </w:tc>
        <w:tc>
          <w:tcPr>
            <w:cnfStyle w:val="000001000000" w:firstRow="0" w:lastRow="0" w:firstColumn="0" w:lastColumn="0" w:oddVBand="0" w:evenVBand="1" w:oddHBand="0" w:evenHBand="0" w:firstRowFirstColumn="0" w:firstRowLastColumn="0" w:lastRowFirstColumn="0" w:lastRowLastColumn="0"/>
            <w:tcMar/>
          </w:tcPr>
          <w:p w14:paraId="2DEC3CE6" wp14:textId="77777777">
            <w:pPr>
              <w:pStyle w:val="Compact"/>
            </w:pPr>
            <w:r>
              <w:t xml:space="preserve">Provide time for communication and routine feedback.</w:t>
            </w:r>
          </w:p>
        </w:tc>
        <w:tc>
          <w:tcPr>
            <w:cnfStyle w:val="000010000000" w:firstRow="0" w:lastRow="0" w:firstColumn="0" w:lastColumn="0" w:oddVBand="1" w:evenVBand="0" w:oddHBand="0" w:evenHBand="0" w:firstRowFirstColumn="0" w:firstRowLastColumn="0" w:lastRowFirstColumn="0" w:lastRowLastColumn="0"/>
            <w:tcMar/>
          </w:tcPr>
          <w:p w14:paraId="29917A63" wp14:textId="326CDEF0">
            <w:pPr>
              <w:pStyle w:val="Compact"/>
            </w:pPr>
            <w:r w:rsidR="43D3AA20">
              <w:rPr/>
              <w:t xml:space="preserve">I prioritize community through structured peer code reviews, GitHub collaboration, and open feedback sessions. Students post daily updates </w:t>
            </w:r>
            <w:r w:rsidR="228C86D8">
              <w:rPr/>
              <w:t>on</w:t>
            </w:r>
            <w:r w:rsidR="43D3AA20">
              <w:rPr/>
              <w:t xml:space="preserve"> our Kanban boards and share progress through standups. This mirrors real-world development communication.</w:t>
            </w:r>
          </w:p>
        </w:tc>
      </w:tr>
      <w:tr xmlns:wp14="http://schemas.microsoft.com/office/word/2010/wordml" w:rsidTr="43D3AA20" w14:paraId="188763A3" wp14:textId="77777777">
        <w:tc>
          <w:tcPr>
            <w:cnfStyle w:val="000010000000" w:firstRow="0" w:lastRow="0" w:firstColumn="0" w:lastColumn="0" w:oddVBand="1" w:evenVBand="0" w:oddHBand="0" w:evenHBand="0" w:firstRowFirstColumn="0" w:firstRowLastColumn="0" w:lastRowFirstColumn="0" w:lastRowLastColumn="0"/>
            <w:tcMar/>
          </w:tcPr>
          <w:p w14:paraId="7B563B3B" wp14:textId="77777777">
            <w:pPr>
              <w:pStyle w:val="Compact"/>
            </w:pPr>
            <w:r>
              <w:rPr>
                <w:b/>
                <w:bCs/>
              </w:rPr>
              <w:t xml:space="preserve">A2b. Emotional</w:t>
            </w:r>
          </w:p>
        </w:tc>
        <w:tc>
          <w:tcPr>
            <w:cnfStyle w:val="000001000000" w:firstRow="0" w:lastRow="0" w:firstColumn="0" w:lastColumn="0" w:oddVBand="0" w:evenVBand="1" w:oddHBand="0" w:evenHBand="0" w:firstRowFirstColumn="0" w:firstRowLastColumn="0" w:lastRowFirstColumn="0" w:lastRowLastColumn="0"/>
            <w:tcMar/>
          </w:tcPr>
          <w:p w14:paraId="67C72F89" wp14:textId="77777777">
            <w:pPr>
              <w:pStyle w:val="Compact"/>
            </w:pPr>
            <w:r>
              <w:t xml:space="preserve">Integrate opportunities to cultivate emotional intelligence.</w:t>
            </w:r>
          </w:p>
        </w:tc>
        <w:tc>
          <w:tcPr>
            <w:cnfStyle w:val="000010000000" w:firstRow="0" w:lastRow="0" w:firstColumn="0" w:lastColumn="0" w:oddVBand="1" w:evenVBand="0" w:oddHBand="0" w:evenHBand="0" w:firstRowFirstColumn="0" w:firstRowLastColumn="0" w:lastRowFirstColumn="0" w:lastRowLastColumn="0"/>
            <w:tcMar/>
          </w:tcPr>
          <w:p w14:paraId="2DEF9DD9" wp14:textId="77777777">
            <w:pPr>
              <w:pStyle w:val="Compact"/>
            </w:pPr>
            <w:r>
              <w:t xml:space="preserve">Students participate in reflective prompts after sprints to discuss frustrations, breakthroughs, and teamwork dynamics. This builds emotional awareness and self-regulation as part of agile iteration.</w:t>
            </w:r>
          </w:p>
        </w:tc>
      </w:tr>
      <w:tr xmlns:wp14="http://schemas.microsoft.com/office/word/2010/wordml" w:rsidTr="43D3AA20" w14:paraId="52708697" wp14:textId="77777777">
        <w:tc>
          <w:tcPr>
            <w:cnfStyle w:val="000010000000" w:firstRow="0" w:lastRow="0" w:firstColumn="0" w:lastColumn="0" w:oddVBand="1" w:evenVBand="0" w:oddHBand="0" w:evenHBand="0" w:firstRowFirstColumn="0" w:firstRowLastColumn="0" w:lastRowFirstColumn="0" w:lastRowLastColumn="0"/>
            <w:tcMar/>
          </w:tcPr>
          <w:p w14:paraId="70347D04" wp14:textId="77777777">
            <w:pPr>
              <w:pStyle w:val="Compact"/>
            </w:pPr>
            <w:r>
              <w:rPr>
                <w:b/>
                <w:bCs/>
              </w:rPr>
              <w:t xml:space="preserve">A2c. Learning Challenges</w:t>
            </w:r>
          </w:p>
        </w:tc>
        <w:tc>
          <w:tcPr>
            <w:cnfStyle w:val="000001000000" w:firstRow="0" w:lastRow="0" w:firstColumn="0" w:lastColumn="0" w:oddVBand="0" w:evenVBand="1" w:oddHBand="0" w:evenHBand="0" w:firstRowFirstColumn="0" w:firstRowLastColumn="0" w:lastRowFirstColumn="0" w:lastRowLastColumn="0"/>
            <w:tcMar/>
          </w:tcPr>
          <w:p w14:paraId="6BBB59E7" wp14:textId="77777777">
            <w:pPr>
              <w:pStyle w:val="Compact"/>
            </w:pPr>
            <w:r>
              <w:t xml:space="preserve">Apply UDL (Universal Design for Learning) as the foundation for course development.</w:t>
            </w:r>
          </w:p>
        </w:tc>
        <w:tc>
          <w:tcPr>
            <w:cnfStyle w:val="000010000000" w:firstRow="0" w:lastRow="0" w:firstColumn="0" w:lastColumn="0" w:oddVBand="1" w:evenVBand="0" w:oddHBand="0" w:evenHBand="0" w:firstRowFirstColumn="0" w:firstRowLastColumn="0" w:lastRowFirstColumn="0" w:lastRowLastColumn="0"/>
            <w:tcMar/>
          </w:tcPr>
          <w:p w14:paraId="6884C3BC" wp14:textId="77777777">
            <w:pPr>
              <w:pStyle w:val="Compact"/>
            </w:pPr>
            <w:r>
              <w:t xml:space="preserve">Each sprint includes multimodal resources—text tutorials, demos, and interactive examples—to meet diverse learner needs. Students can choose to submit evidence of learning through video walkthroughs, GitHub commits, or written reflections.</w:t>
            </w:r>
          </w:p>
        </w:tc>
      </w:tr>
      <w:tr xmlns:wp14="http://schemas.microsoft.com/office/word/2010/wordml" w:rsidTr="43D3AA20" w14:paraId="403FB97F" wp14:textId="77777777">
        <w:tc>
          <w:tcPr>
            <w:cnfStyle w:val="000010000000" w:firstRow="0" w:lastRow="0" w:firstColumn="0" w:lastColumn="0" w:oddVBand="1" w:evenVBand="0" w:oddHBand="0" w:evenHBand="0" w:firstRowFirstColumn="0" w:firstRowLastColumn="0" w:lastRowFirstColumn="0" w:lastRowLastColumn="0"/>
            <w:tcMar/>
          </w:tcPr>
          <w:p w14:paraId="54F39B57" wp14:textId="77777777">
            <w:pPr>
              <w:pStyle w:val="Compact"/>
            </w:pPr>
            <w:r>
              <w:rPr>
                <w:b/>
                <w:bCs/>
              </w:rPr>
              <w:t xml:space="preserve">A2d. Learning Distractions</w:t>
            </w:r>
          </w:p>
        </w:tc>
        <w:tc>
          <w:tcPr>
            <w:cnfStyle w:val="000001000000" w:firstRow="0" w:lastRow="0" w:firstColumn="0" w:lastColumn="0" w:oddVBand="0" w:evenVBand="1" w:oddHBand="0" w:evenHBand="0" w:firstRowFirstColumn="0" w:firstRowLastColumn="0" w:lastRowFirstColumn="0" w:lastRowLastColumn="0"/>
            <w:tcMar/>
          </w:tcPr>
          <w:p w14:paraId="2ED1B39C" wp14:textId="77777777">
            <w:pPr>
              <w:pStyle w:val="Compact"/>
            </w:pPr>
            <w:r>
              <w:t xml:space="preserve">Explicitly teach life skills such as time management and organization.</w:t>
            </w:r>
          </w:p>
        </w:tc>
        <w:tc>
          <w:tcPr>
            <w:cnfStyle w:val="000010000000" w:firstRow="0" w:lastRow="0" w:firstColumn="0" w:lastColumn="0" w:oddVBand="1" w:evenVBand="0" w:oddHBand="0" w:evenHBand="0" w:firstRowFirstColumn="0" w:firstRowLastColumn="0" w:lastRowFirstColumn="0" w:lastRowLastColumn="0"/>
            <w:tcMar/>
          </w:tcPr>
          <w:p w14:paraId="35D21DCC" wp14:textId="77777777">
            <w:pPr>
              <w:pStyle w:val="Compact"/>
            </w:pPr>
            <w:r>
              <w:t xml:space="preserve">I use GitHub Projects and milestone planning to teach prioritization. Students learn to break down complex tasks into manageable issues and to maintain focus across competing classes and responsibilities. Students are encouraged to work in the moment and use classroom time as the largest part of their 5-hour commitment to build projects and code.</w:t>
            </w:r>
          </w:p>
        </w:tc>
      </w:tr>
      <w:tr xmlns:wp14="http://schemas.microsoft.com/office/word/2010/wordml" w:rsidTr="43D3AA20" w14:paraId="7B523F00" wp14:textId="77777777">
        <w:tc>
          <w:tcPr>
            <w:cnfStyle w:val="000010000000" w:firstRow="0" w:lastRow="0" w:firstColumn="0" w:lastColumn="0" w:oddVBand="1" w:evenVBand="0" w:oddHBand="0" w:evenHBand="0" w:firstRowFirstColumn="0" w:firstRowLastColumn="0" w:lastRowFirstColumn="0" w:lastRowLastColumn="0"/>
            <w:tcMar/>
          </w:tcPr>
          <w:p w14:paraId="516F1397" wp14:textId="77777777">
            <w:pPr>
              <w:pStyle w:val="Compact"/>
            </w:pPr>
            <w:r>
              <w:rPr>
                <w:b/>
                <w:bCs/>
              </w:rPr>
              <w:t xml:space="preserve">A2e. Experiential</w:t>
            </w:r>
          </w:p>
        </w:tc>
        <w:tc>
          <w:tcPr>
            <w:cnfStyle w:val="000001000000" w:firstRow="0" w:lastRow="0" w:firstColumn="0" w:lastColumn="0" w:oddVBand="0" w:evenVBand="1" w:oddHBand="0" w:evenHBand="0" w:firstRowFirstColumn="0" w:firstRowLastColumn="0" w:lastRowFirstColumn="0" w:lastRowLastColumn="0"/>
            <w:tcMar/>
          </w:tcPr>
          <w:p w14:paraId="5A904176" wp14:textId="77777777">
            <w:pPr>
              <w:pStyle w:val="Compact"/>
            </w:pPr>
            <w:r>
              <w:t xml:space="preserve">Design authentic learning and outcomes.</w:t>
            </w:r>
          </w:p>
        </w:tc>
        <w:tc>
          <w:tcPr>
            <w:cnfStyle w:val="000010000000" w:firstRow="0" w:lastRow="0" w:firstColumn="0" w:lastColumn="0" w:oddVBand="1" w:evenVBand="0" w:oddHBand="0" w:evenHBand="0" w:firstRowFirstColumn="0" w:firstRowLastColumn="0" w:lastRowFirstColumn="0" w:lastRowLastColumn="0"/>
            <w:tcMar/>
          </w:tcPr>
          <w:p w14:paraId="183A817C" wp14:textId="77777777">
            <w:pPr>
              <w:pStyle w:val="Compact"/>
            </w:pPr>
            <w:r>
              <w:t xml:space="preserve">Students develop real-world full-stack projects connected to their interests (e.g., “Night at the Museum,” “Gamify-FinTech, Facial Recognition, Quest based adventure games”). They deploy applications using Flask, GitHub Pages, and Docker—mirroring professional software workflows.</w:t>
            </w:r>
          </w:p>
        </w:tc>
      </w:tr>
    </w:tbl>
    <w:bookmarkEnd w:id="17"/>
    <w:bookmarkStart w:name="a5.-conclusion" w:id="18"/>
    <w:p xmlns:wp14="http://schemas.microsoft.com/office/word/2010/wordml" w14:paraId="32B896E0" wp14:textId="3F8C1EEA">
      <w:pPr>
        <w:pStyle w:val="Heading3"/>
      </w:pPr>
    </w:p>
    <w:p xmlns:wp14="http://schemas.microsoft.com/office/word/2010/wordml" w:rsidP="43D3AA20" w14:paraId="2809F24B" wp14:textId="78316CD7">
      <w:pPr/>
      <w:r>
        <w:br w:type="page"/>
      </w:r>
    </w:p>
    <w:p xmlns:wp14="http://schemas.microsoft.com/office/word/2010/wordml" w14:paraId="05345D21" wp14:textId="78281E6F">
      <w:pPr>
        <w:pStyle w:val="Heading3"/>
      </w:pPr>
      <w:r w:rsidR="43D3AA20">
        <w:rPr/>
        <w:t>A</w:t>
      </w:r>
      <w:r w:rsidR="1096E6BF">
        <w:rPr/>
        <w:t>4</w:t>
      </w:r>
      <w:r w:rsidR="43D3AA20">
        <w:rPr/>
        <w:t>. Conclusion</w:t>
      </w:r>
    </w:p>
    <w:p xmlns:wp14="http://schemas.microsoft.com/office/word/2010/wordml" w14:paraId="0CB70B4C" wp14:textId="77777777">
      <w:pPr>
        <w:pStyle w:val="FirstParagraph"/>
      </w:pPr>
      <w:r w:rsidR="43D3AA20">
        <w:rPr/>
        <w:t>Addressing the five core challenges in K–12 e-learning—social, emotional, learning, distraction, and experiential—through intentional, evidence-based strategies leads to more engaged, resilient, and successful students. By fostering community, supporting emotional growth, differentiating instruction, teaching self-management, and promoting authentic learning, we create digital environments where every learner can thrive.</w:t>
      </w:r>
    </w:p>
    <w:bookmarkEnd w:id="18"/>
    <w:bookmarkEnd w:id="19"/>
    <w:bookmarkEnd w:id="20"/>
    <w:p w:rsidR="2238F81E" w:rsidP="43D3AA20" w:rsidRDefault="2238F81E" w14:paraId="31229213" w14:textId="6C1F2E5B">
      <w:pPr>
        <w:pStyle w:val="SourceCode"/>
      </w:pPr>
      <w:r w:rsidR="2238F81E">
        <w:drawing>
          <wp:inline wp14:editId="5A635C2D" wp14:anchorId="17C3036C">
            <wp:extent cx="5943600" cy="2609850"/>
            <wp:effectExtent l="0" t="0" r="0" b="0"/>
            <wp:docPr id="1328331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331452" name=""/>
                    <pic:cNvPicPr/>
                  </pic:nvPicPr>
                  <pic:blipFill>
                    <a:blip xmlns:r="http://schemas.openxmlformats.org/officeDocument/2006/relationships" r:embed="rId800296709">
                      <a:extLst>
                        <a:ext xmlns:a="http://schemas.openxmlformats.org/drawingml/2006/main"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rsidR="49F5A9B9" w:rsidP="43D3AA20" w:rsidRDefault="49F5A9B9" w14:paraId="42268D23" w14:textId="5155A3F5">
      <w:pPr>
        <w:pStyle w:val="Heading3"/>
        <w:suppressLineNumbers w:val="0"/>
        <w:bidi w:val="0"/>
        <w:spacing w:before="160" w:beforeAutospacing="off" w:after="80" w:afterAutospacing="off" w:line="259" w:lineRule="auto"/>
        <w:ind w:left="0" w:right="0"/>
        <w:jc w:val="left"/>
        <w:rPr>
          <w:noProof w:val="0"/>
          <w:lang w:val="en-US"/>
        </w:rPr>
      </w:pPr>
      <w:r w:rsidRPr="43D3AA20" w:rsidR="49F5A9B9">
        <w:rPr>
          <w:noProof w:val="0"/>
          <w:lang w:val="en-US"/>
        </w:rPr>
        <w:t>B</w:t>
      </w:r>
      <w:r w:rsidRPr="43D3AA20" w:rsidR="0E54084D">
        <w:rPr>
          <w:noProof w:val="0"/>
          <w:lang w:val="en-US"/>
        </w:rPr>
        <w:t>. Acknowledgment of Sources</w:t>
      </w:r>
    </w:p>
    <w:p w:rsidR="0E54084D" w:rsidP="43D3AA20" w:rsidRDefault="0E54084D" w14:paraId="71646FEF" w14:textId="09DFCA5F">
      <w:pPr>
        <w:pStyle w:val="FirstParagraph"/>
        <w:suppressLineNumbers w:val="0"/>
        <w:bidi w:val="0"/>
        <w:spacing w:before="180" w:beforeAutospacing="off" w:after="180" w:afterAutospacing="off" w:line="259" w:lineRule="auto"/>
        <w:ind w:left="0" w:right="0"/>
        <w:jc w:val="left"/>
        <w:rPr>
          <w:noProof w:val="0"/>
          <w:lang w:val="en-US"/>
        </w:rPr>
      </w:pPr>
      <w:r w:rsidRPr="43D3AA20" w:rsidR="0E54084D">
        <w:rPr>
          <w:noProof w:val="0"/>
          <w:lang w:val="en-US"/>
        </w:rPr>
        <w:t>No sources used outside of WGU-provided materials.</w:t>
      </w:r>
    </w:p>
    <w:p w:rsidR="43D3AA20" w:rsidP="43D3AA20" w:rsidRDefault="43D3AA20" w14:paraId="2C34269F" w14:textId="2CB35BAA">
      <w:pPr>
        <w:pStyle w:val="FirstParagraph"/>
        <w:suppressLineNumbers w:val="0"/>
        <w:bidi w:val="0"/>
        <w:spacing w:before="180" w:beforeAutospacing="off" w:after="180" w:afterAutospacing="off" w:line="259" w:lineRule="auto"/>
        <w:ind w:left="0" w:right="0"/>
        <w:jc w:val="lef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D2ABADA"/>
    <w:rsid w:val="0D2ABADA"/>
    <w:rsid w:val="0E54084D"/>
    <w:rsid w:val="1096E6BF"/>
    <w:rsid w:val="12C4E62E"/>
    <w:rsid w:val="20341CEA"/>
    <w:rsid w:val="20C97D9A"/>
    <w:rsid w:val="2238F81E"/>
    <w:rsid w:val="228C86D8"/>
    <w:rsid w:val="2DB23C3A"/>
    <w:rsid w:val="331582B6"/>
    <w:rsid w:val="41641050"/>
    <w:rsid w:val="43D3AA20"/>
    <w:rsid w:val="49F5A9B9"/>
    <w:rsid w:val="506A7C9D"/>
    <w:rsid w:val="54E89409"/>
    <w:rsid w:val="60EEE49B"/>
    <w:rsid w:val="6853A444"/>
    <w:rsid w:val="68D785BD"/>
    <w:rsid w:val="69F28352"/>
    <w:rsid w:val="69F28352"/>
    <w:rsid w:val="7285A1B4"/>
    <w:rsid w:val="75148EB7"/>
    <w:rsid w:val="7647771F"/>
    <w:rsid w:val="7A6F24B5"/>
    <w:rsid w:val="7C8607A1"/>
    <w:rsid w:val="7F5FCF76"/>
    <w:rsid w:val="7F88C955"/>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8E77D6"/>
  <w15:docId w15:val="{0A4F7A9B-BD7B-460F-81E6-58E1C597A1FF}"/>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image" Target="/media/image.png" Id="rId1925516492" /><Relationship Type="http://schemas.openxmlformats.org/officeDocument/2006/relationships/image" Target="/media/image2.png" Id="rId80029670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Designing for the Whole Child in K–12 E-Learning</dc:title>
  <dc:creator/>
  <dc:description>A profession development perspective in learning</dc:description>
  <keywords/>
  <dcterms:created xsi:type="dcterms:W3CDTF">2025-11-12T01:00:53.0000000Z</dcterms:created>
  <dcterms:modified xsi:type="dcterms:W3CDTF">2025-11-12T01:16:56.1351245Z</dcterms:modified>
  <lastModifiedBy>John Mortensen</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ies">
    <vt:lpwstr/>
  </property>
  <property fmtid="{D5CDD505-2E9C-101B-9397-08002B2CF9AE}" pid="3" name="layout">
    <vt:lpwstr>post</vt:lpwstr>
  </property>
  <property fmtid="{D5CDD505-2E9C-101B-9397-08002B2CF9AE}" pid="4" name="permalink">
    <vt:lpwstr>/wgu/designing-for-whole-child</vt:lpwstr>
  </property>
  <property fmtid="{D5CDD505-2E9C-101B-9397-08002B2CF9AE}" pid="5" name="toc">
    <vt:lpwstr>True</vt:lpwstr>
  </property>
</Properties>
</file>