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Playground 新课程上线步骤</w:t>
      </w:r>
    </w:p>
    <w:p>
      <w:pPr>
        <w:spacing w:before="380" w:after="140" w:line="288" w:lineRule="auto"/>
        <w:ind w:left="0"/>
        <w:jc w:val="center"/>
        <w:outlineLvl w:val="0"/>
      </w:pPr>
      <w:r>
        <w:rPr>
          <w:rFonts w:ascii="Arial" w:hAnsi="Arial" w:eastAsia="等线" w:cs="Arial"/>
          <w:b/>
          <w:color w:val="1F2329"/>
          <w:sz w:val="36"/>
        </w:rPr>
        <w:t>Playground 新课程上线步骤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color w:val="1F2329"/>
          <w:sz w:val="32"/>
        </w:rPr>
        <w:t>课程内容和环境准备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openEuler课程资源:</w:t>
      </w:r>
      <w:r>
        <w:fldChar w:fldCharType="begin"/>
      </w:r>
      <w:r>
        <w:instrText xml:space="preserve"> HYPERLINK "https://github.com/opensourceways/playground-courses"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https://github.com/opensourceways/playground-courses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openGauss课程资源:https://gitee.com/opengauss/playground-course.git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>以下内容使用 repo指代上面的某个url地址。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新课程上线：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打开  </w:t>
      </w:r>
      <w:r>
        <w:fldChar w:fldCharType="begin"/>
      </w:r>
      <w:r>
        <w:instrText xml:space="preserve"> HYPERLINK "https://github.com/opensourceways/playground-courses/blob/main/courses/course-list.json"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repo/blob/main/courses/course-list.json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color w:val="1F2329"/>
          <w:sz w:val="22"/>
        </w:rPr>
        <w:t xml:space="preserve">    检查新增的课程是否已经存在。其中课程的id值请见下面第二步（数据库准备）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打开 repo/blob/main/courses/课程名/章节名/index.json </w:t>
      </w:r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5400675" cy="5124450"/>
            <wp:effectExtent l="0" t="0" r="9525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这个值就是下面第二步中 数据表pg_resource_config_path 中的euler_branch字段。请和数据库保持一致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ilvl w:val="0"/>
          <w:numId w:val="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1F2329"/>
          <w:sz w:val="22"/>
        </w:rPr>
        <w:t xml:space="preserve">打开 </w:t>
      </w:r>
      <w:r>
        <w:fldChar w:fldCharType="begin"/>
      </w:r>
      <w:r>
        <w:instrText xml:space="preserve"> HYPERLINK "https://github.com/opensourceways/playground-courses/tree/main/environments"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repo/tree/main/environments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color w:val="1F2329"/>
          <w:sz w:val="22"/>
        </w:rPr>
        <w:t xml:space="preserve">  检查是否已经准备好了课程的资源环境。 如果课程或者资源没有 请提pr找钟君合入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color w:val="1F2329"/>
          <w:sz w:val="32"/>
        </w:rPr>
        <w:t>数据库准备</w:t>
      </w:r>
    </w:p>
    <w:p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1F2329"/>
          <w:sz w:val="22"/>
        </w:rPr>
        <w:t>在数据表 pg_resource_config_path 中增加，crd的配置信息。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0"/>
        <w:gridCol w:w="661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resource_id</w:t>
            </w:r>
          </w:p>
        </w:tc>
        <w:tc>
          <w:tcPr>
            <w:tcW w:w="6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数字类型。不能重复，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resource_path</w:t>
            </w:r>
          </w:p>
        </w:tc>
        <w:tc>
          <w:tcPr>
            <w:tcW w:w="6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需要和以下地址的文件地址保持一一对应。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fldChar w:fldCharType="begin"/>
            </w:r>
            <w:r>
              <w:instrText xml:space="preserve"> HYPERLINK "https://github.com/opensourceways/playground-courses/tree/main/environments" \h </w:instrText>
            </w:r>
            <w:r>
              <w:fldChar w:fldCharType="separate"/>
            </w:r>
            <w:r>
              <w:rPr>
                <w:rFonts w:ascii="Arial" w:hAnsi="Arial" w:eastAsia="等线" w:cs="Arial"/>
                <w:color w:val="3370FF"/>
                <w:sz w:val="22"/>
              </w:rPr>
              <w:t>repo/tree/main/environments</w:t>
            </w:r>
            <w:r>
              <w:rPr>
                <w:rFonts w:ascii="Arial" w:hAnsi="Arial" w:eastAsia="等线" w:cs="Arial"/>
                <w:color w:val="3370FF"/>
                <w:sz w:val="22"/>
              </w:rPr>
              <w:fldChar w:fldCharType="end"/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resource_content</w:t>
            </w:r>
          </w:p>
        </w:tc>
        <w:tc>
          <w:tcPr>
            <w:tcW w:w="6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这里是使用的集群kubeconfig的加密后的编码文件。内容可以通过以下 接口获得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http://playground域名/playground/crd/makeKubeconfig   [post 方式]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入参：kubeconfig的明文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输出: 加密编码后的文本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例如：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4048125" cy="2276475"/>
                  <wp:effectExtent l="0" t="0" r="9525" b="9525"/>
                  <wp:docPr id="2" name="Draw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encrypt_type</w:t>
            </w:r>
          </w:p>
        </w:tc>
        <w:tc>
          <w:tcPr>
            <w:tcW w:w="6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加密方式 ，目前统一都是  AES-CBC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euler_branch</w:t>
            </w:r>
          </w:p>
        </w:tc>
        <w:tc>
          <w:tcPr>
            <w:tcW w:w="6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使用的分支名，按实际填写</w:t>
            </w:r>
          </w:p>
        </w:tc>
      </w:tr>
    </w:tbl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>在pg_resource_tempath_rel 表中 修改对应的res_pool_size 的值， 这个值是manager启动后为每个课程预先创建的资源数。太大则浪费资源，太小可能难以应对突然的用户增长。 如果一开始没有对应的resource的数据，可以运行一遍让系统自己创建， 也可以自己仿照其他数据格式手动增加一条数据。</w:t>
      </w:r>
    </w:p>
    <w:p>
      <w:pPr>
        <w:spacing w:before="120" w:after="120" w:line="288" w:lineRule="auto"/>
        <w:ind w:left="453"/>
        <w:jc w:val="left"/>
      </w:pPr>
      <w:r>
        <w:drawing>
          <wp:inline distT="0" distB="0" distL="0" distR="0">
            <wp:extent cx="5400675" cy="581025"/>
            <wp:effectExtent l="0" t="0" r="9525" b="952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</w:t>
      </w:r>
      <w:r>
        <w:rPr>
          <w:rFonts w:ascii="Arial" w:hAnsi="Arial" w:eastAsia="等线" w:cs="Arial"/>
          <w:color w:val="1F2329"/>
          <w:sz w:val="22"/>
        </w:rPr>
        <w:t>pg_resource_tempath_rel 表钟，单</w:t>
      </w:r>
      <w:r>
        <w:rPr>
          <w:rFonts w:ascii="Arial" w:hAnsi="Arial" w:eastAsia="等线" w:cs="Arial"/>
          <w:sz w:val="22"/>
        </w:rPr>
        <w:t>个course_id 的res_pool_size 必须相同。  比如course_id 为2 的课程有2条记录，那么 res_pool_size 对应的值中，这2条记录数据的都需要为10或者30， 不能一个为10 另一个为20.</w:t>
      </w:r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>在pg_courses 表中，增加要新添加的课程的相关信息，特别是euler_branch 的值要和pg_resource_config_path里保持一致。 相关信息需要和以下网址</w:t>
      </w:r>
    </w:p>
    <w:p>
      <w:pPr>
        <w:spacing w:before="120" w:after="120" w:line="288" w:lineRule="auto"/>
        <w:ind w:left="0" w:firstLine="0"/>
        <w:jc w:val="left"/>
      </w:pPr>
      <w:r>
        <w:fldChar w:fldCharType="begin"/>
      </w:r>
      <w:r>
        <w:instrText xml:space="preserve"> HYPERLINK "https://github.com/opensourceways/playground-courses/blob/main/courses/course-list.json"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repo/blob/main/courses/course-list.json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color w:val="1F2329"/>
          <w:sz w:val="22"/>
        </w:rPr>
        <w:t xml:space="preserve"> 中的课程的信息一一对应。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如果没有该课程，请创建pr 并找钟君或其他负责人合入。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已有课程集群环境切换：</w:t>
      </w:r>
    </w:p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停止playground-manager backend服务</w:t>
      </w:r>
    </w:p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>打开 repo/blob/main/courses/课程名/章节名/index.json，按照如下匹配规则选择可匹配的</w:t>
      </w:r>
      <w:r>
        <w:rPr>
          <w:rFonts w:ascii="Arial" w:hAnsi="Arial" w:eastAsia="等线" w:cs="Arial"/>
          <w:b/>
          <w:sz w:val="22"/>
        </w:rPr>
        <w:t>image_id</w:t>
      </w:r>
      <w:r>
        <w:rPr>
          <w:rFonts w:ascii="Arial" w:hAnsi="Arial" w:eastAsia="等线" w:cs="Arial"/>
          <w:sz w:val="22"/>
        </w:rPr>
        <w:t>并提交PR修改，然后修改数据库中的所有</w:t>
      </w:r>
      <w:r>
        <w:rPr>
          <w:rFonts w:ascii="Arial" w:hAnsi="Arial" w:eastAsia="等线" w:cs="Arial"/>
          <w:b/>
          <w:sz w:val="22"/>
        </w:rPr>
        <w:t>euler_branch</w:t>
      </w:r>
      <w:r>
        <w:rPr>
          <w:rFonts w:ascii="Arial" w:hAnsi="Arial" w:eastAsia="等线" w:cs="Arial"/>
          <w:color w:val="1F2329"/>
          <w:sz w:val="22"/>
        </w:rPr>
        <w:t>字段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400675" cy="1514475"/>
            <wp:effectExtent l="0" t="0" r="9525" b="952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参照</w:t>
      </w:r>
      <w:r>
        <w:rPr>
          <w:rFonts w:ascii="Arial" w:hAnsi="Arial" w:eastAsia="等线" w:cs="Arial"/>
          <w:b/>
          <w:sz w:val="22"/>
          <w:shd w:val="clear" w:fill="4E83FD"/>
        </w:rPr>
        <w:t>数据库准备</w:t>
      </w:r>
      <w:r>
        <w:rPr>
          <w:rFonts w:ascii="Arial" w:hAnsi="Arial" w:eastAsia="等线" w:cs="Arial"/>
          <w:b/>
          <w:sz w:val="22"/>
        </w:rPr>
        <w:t>，</w:t>
      </w:r>
      <w:r>
        <w:rPr>
          <w:rFonts w:ascii="Arial" w:hAnsi="Arial" w:eastAsia="等线" w:cs="Arial"/>
          <w:color w:val="1F2329"/>
          <w:sz w:val="22"/>
        </w:rPr>
        <w:t xml:space="preserve">在数据表 </w:t>
      </w:r>
      <w:r>
        <w:rPr>
          <w:rFonts w:ascii="Arial" w:hAnsi="Arial" w:eastAsia="等线" w:cs="Arial"/>
          <w:b/>
          <w:color w:val="1F2329"/>
          <w:sz w:val="22"/>
        </w:rPr>
        <w:t xml:space="preserve">pg_resource_config_path </w:t>
      </w:r>
      <w:r>
        <w:rPr>
          <w:rFonts w:ascii="Arial" w:hAnsi="Arial" w:eastAsia="等线" w:cs="Arial"/>
          <w:color w:val="1F2329"/>
          <w:sz w:val="22"/>
        </w:rPr>
        <w:t>中增加，crd的配置信息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kubeconfig加密：post ---&gt; https://opengaussplayground.test.osinfra.cn/api/playground/crd/makeKubeconfig</w:t>
      </w:r>
    </w:p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打开pg_courses表，确定需要切换课程部署集群环境的</w:t>
      </w:r>
      <w:r>
        <w:rPr>
          <w:rFonts w:ascii="Arial" w:hAnsi="Arial" w:eastAsia="等线" w:cs="Arial"/>
          <w:b/>
          <w:sz w:val="22"/>
        </w:rPr>
        <w:t>course_id</w:t>
      </w:r>
    </w:p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打开</w:t>
      </w:r>
      <w:r>
        <w:rPr>
          <w:rFonts w:ascii="Arial" w:hAnsi="Arial" w:eastAsia="等线" w:cs="Arial"/>
          <w:b/>
          <w:color w:val="1F2329"/>
          <w:sz w:val="22"/>
        </w:rPr>
        <w:t xml:space="preserve">pg_resource_tempath_rel </w:t>
      </w:r>
      <w:r>
        <w:rPr>
          <w:rFonts w:ascii="Arial" w:hAnsi="Arial" w:eastAsia="等线" w:cs="Arial"/>
          <w:color w:val="1F2329"/>
          <w:sz w:val="22"/>
        </w:rPr>
        <w:t>表，根据3中的</w:t>
      </w:r>
      <w:r>
        <w:rPr>
          <w:rFonts w:ascii="Arial" w:hAnsi="Arial" w:eastAsia="等线" w:cs="Arial"/>
          <w:b/>
          <w:color w:val="1F2329"/>
          <w:sz w:val="22"/>
        </w:rPr>
        <w:t>course_id</w:t>
      </w:r>
      <w:r>
        <w:rPr>
          <w:rFonts w:ascii="Arial" w:hAnsi="Arial" w:eastAsia="等线" w:cs="Arial"/>
          <w:color w:val="1F2329"/>
          <w:sz w:val="22"/>
        </w:rPr>
        <w:t>，匹配对应的</w:t>
      </w:r>
      <w:r>
        <w:rPr>
          <w:rFonts w:ascii="Arial" w:hAnsi="Arial" w:eastAsia="等线" w:cs="Arial"/>
          <w:b/>
          <w:color w:val="1F2329"/>
          <w:sz w:val="22"/>
        </w:rPr>
        <w:t>resource_path</w:t>
      </w:r>
      <w:r>
        <w:rPr>
          <w:rFonts w:ascii="Arial" w:hAnsi="Arial" w:eastAsia="等线" w:cs="Arial"/>
          <w:color w:val="1F2329"/>
          <w:sz w:val="22"/>
        </w:rPr>
        <w:t>，根据第2步中的environments路径修改对应的</w:t>
      </w:r>
      <w:r>
        <w:rPr>
          <w:rFonts w:ascii="Arial" w:hAnsi="Arial" w:eastAsia="等线" w:cs="Arial"/>
          <w:b/>
          <w:color w:val="1F2329"/>
          <w:sz w:val="22"/>
        </w:rPr>
        <w:t>resource_path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注意</w:t>
      </w:r>
      <w:r>
        <w:rPr>
          <w:rFonts w:ascii="Arial" w:hAnsi="Arial" w:eastAsia="等线" w:cs="Arial"/>
          <w:sz w:val="22"/>
        </w:rPr>
        <w:t>：第4步修改的行数据中，</w:t>
      </w:r>
      <w:r>
        <w:rPr>
          <w:rFonts w:ascii="Arial" w:hAnsi="Arial" w:eastAsia="等线" w:cs="Arial"/>
          <w:b/>
          <w:sz w:val="22"/>
        </w:rPr>
        <w:t>res_pool_size</w:t>
      </w:r>
      <w:r>
        <w:rPr>
          <w:rFonts w:ascii="Arial" w:hAnsi="Arial" w:eastAsia="等线" w:cs="Arial"/>
          <w:sz w:val="22"/>
        </w:rPr>
        <w:t>必须为</w:t>
      </w:r>
      <w:r>
        <w:rPr>
          <w:rFonts w:ascii="Arial" w:hAnsi="Arial" w:eastAsia="等线" w:cs="Arial"/>
          <w:b/>
          <w:sz w:val="22"/>
        </w:rPr>
        <w:t>10</w:t>
      </w:r>
      <w:r>
        <w:rPr>
          <w:rFonts w:ascii="Arial" w:hAnsi="Arial" w:eastAsia="等线" w:cs="Arial"/>
          <w:sz w:val="22"/>
        </w:rPr>
        <w:t>，否则需要再次修改数据库参数，将</w:t>
      </w:r>
      <w:r>
        <w:rPr>
          <w:rFonts w:ascii="Arial" w:hAnsi="Arial" w:eastAsia="等线" w:cs="Arial"/>
          <w:b/>
          <w:sz w:val="22"/>
        </w:rPr>
        <w:t>course_id</w:t>
      </w:r>
      <w:r>
        <w:rPr>
          <w:rFonts w:ascii="Arial" w:hAnsi="Arial" w:eastAsia="等线" w:cs="Arial"/>
          <w:sz w:val="22"/>
        </w:rPr>
        <w:t>相同的两条数据</w:t>
      </w:r>
      <w:r>
        <w:rPr>
          <w:rFonts w:ascii="Arial" w:hAnsi="Arial" w:eastAsia="等线" w:cs="Arial"/>
          <w:b/>
          <w:sz w:val="22"/>
        </w:rPr>
        <w:t>res_pool_size</w:t>
      </w:r>
      <w:r>
        <w:rPr>
          <w:rFonts w:ascii="Arial" w:hAnsi="Arial" w:eastAsia="等线" w:cs="Arial"/>
          <w:sz w:val="22"/>
        </w:rPr>
        <w:t>保持一致</w:t>
      </w:r>
      <w:r>
        <w:rPr>
          <w:rFonts w:ascii="Arial" w:hAnsi="Arial" w:eastAsia="等线" w:cs="Arial"/>
          <w:b/>
          <w:sz w:val="22"/>
        </w:rPr>
        <w:t>。</w:t>
      </w:r>
    </w:p>
    <w:p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保存数据库修改，重新启动backend服务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color w:val="1F2329"/>
          <w:sz w:val="32"/>
        </w:rPr>
        <w:t>代码逻辑检查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为了确保对应的资源名称和地址能匹配各种分支名，需要检查以下代码是否符合运行逻辑：</w:t>
      </w:r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5400675" cy="1514475"/>
            <wp:effectExtent l="0" t="0" r="9525" b="9525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上面的各种path的值  就是  pg_resource_config 表中的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  <w:shd w:val="clear" w:fill="BBBFC4"/>
        </w:rPr>
        <w:t>EulerBranch  和 ResourcePath 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如果新增课程的资源地址在数据库中没有对应的数据，则资源创建不会成功。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如果新增的资源无法和上面的任何一个条件匹配，可以仿照上面的格式再多写对应的path 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color w:val="1F2329"/>
          <w:sz w:val="32"/>
        </w:rPr>
        <w:t>运行状态确认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Crd资源的yaml中有个status - &gt;conditions 。里面按时间顺序有该crd的历史状态，确保type:ServerReady 状态存在。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color w:val="1F2329"/>
          <w:sz w:val="32"/>
        </w:rPr>
        <w:t>注意事项</w:t>
      </w:r>
    </w:p>
    <w:p>
      <w:pPr>
        <w:numPr>
          <w:ilvl w:val="0"/>
          <w:numId w:val="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1F2329"/>
          <w:sz w:val="22"/>
        </w:rPr>
        <w:t>因为manager架构原因，每次启动mananger的时候会预先创建pg_resource_tempath_rel 表中规定的 pool_size 个资源， 所以如果重启次数太多 会导致重复创建很多crd资源。需要随时关注crd数量。</w:t>
      </w:r>
    </w:p>
    <w:p>
      <w:pPr>
        <w:numPr>
          <w:ilvl w:val="0"/>
          <w:numId w:val="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1F2329"/>
          <w:sz w:val="22"/>
        </w:rPr>
        <w:t>如果crd的image有更新，那么需要删掉更新前创建出来的CRd资源才能使用到最新的image来创建crd</w:t>
      </w:r>
    </w:p>
    <w:p>
      <w:pPr>
        <w:numPr>
          <w:numId w:val="0"/>
        </w:numPr>
        <w:spacing w:before="120" w:after="120" w:line="288" w:lineRule="auto"/>
        <w:jc w:val="left"/>
      </w:pPr>
      <w:bookmarkStart w:id="0" w:name="_GoBack"/>
      <w:bookmarkEnd w:id="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3">
    <w:nsid w:val="C8879AEF"/>
    <w:multiLevelType w:val="singleLevel"/>
    <w:tmpl w:val="C8879AEF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">
    <w:nsid w:val="F4B5D9F5"/>
    <w:multiLevelType w:val="singleLevel"/>
    <w:tmpl w:val="F4B5D9F5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6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">
    <w:nsid w:val="0248C179"/>
    <w:multiLevelType w:val="singleLevel"/>
    <w:tmpl w:val="0248C17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8">
    <w:nsid w:val="03D62ECE"/>
    <w:multiLevelType w:val="singleLevel"/>
    <w:tmpl w:val="03D62ECE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9">
    <w:nsid w:val="25B654F3"/>
    <w:multiLevelType w:val="singleLevel"/>
    <w:tmpl w:val="25B654F3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0">
    <w:nsid w:val="2A8F537B"/>
    <w:multiLevelType w:val="singleLevel"/>
    <w:tmpl w:val="2A8F537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1">
    <w:nsid w:val="4D4DC07F"/>
    <w:multiLevelType w:val="singleLevel"/>
    <w:tmpl w:val="4D4DC07F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12">
    <w:nsid w:val="59ADCABA"/>
    <w:multiLevelType w:val="singleLevel"/>
    <w:tmpl w:val="59ADCABA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13">
    <w:nsid w:val="5A241D34"/>
    <w:multiLevelType w:val="singleLevel"/>
    <w:tmpl w:val="5A241D3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4">
    <w:nsid w:val="72183CF9"/>
    <w:multiLevelType w:val="singleLevel"/>
    <w:tmpl w:val="72183CF9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D023D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2022-07-15T08:10:00Z</dcterms:created>
  <dc:creator>Apache POI</dc:creator>
  <cp:lastModifiedBy>Administrator</cp:lastModifiedBy>
  <dcterms:modified xsi:type="dcterms:W3CDTF">2022-07-15T08:12:20Z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00669F8646B34662BDEA8BAC1C9AB3CA</vt:lpwstr>
  </property>
</Properties>
</file>