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6285" w14:textId="77777777">
      <w:pPr>
        <w:jc w:val="center"/>
      </w:pPr>
      <w:r>
        <w:rPr>
          <w:b/>
          <w:sz w:val="28"/>
        </w:rPr>
        <w:t>[COMPANY NAME]</w:t>
      </w:r>
    </w:p>
    <w:p w14:paraId="29E63DAB" w14:textId="77777777">
      <w:pPr>
        <w:spacing w:after="240"/>
        <w:jc w:val="center"/>
      </w:pPr>
      <w:r>
        <w:rPr>
          <w:b/>
          <w:sz w:val="28"/>
        </w:rPr>
        <w:t>DATA PROCESSING ADDENDUM</w:t>
      </w:r>
    </w:p>
    <w:p w14:paraId="00D88930" w14:textId="77777777">
      <w:pPr>
        <w:spacing w:after="120"/>
        <w:jc w:val="both"/>
      </w:pPr>
      <w:r>
        <w:t>This Data Processing Addendum (this "DPA") supplements the Master Services Agreement (the "Agreement"), by and between [Company Name], a [State] corporation ("Provider"), and ___________________ ("Customer") (each a "Party" and, collectively, the "Parties").  This DPA is subject to all the terms and conditions of the Agreement.  By signing this DPA, each Party agrees to be bound by the terms hereof.  Capitalized terms used but not defined in this DPA have the meanings given to them in the Agreement.</w:t>
      </w:r>
    </w:p>
    <w:p w14:paraId="0E13B588" w14:textId="77777777">
      <w:pPr>
        <w:spacing w:after="80"/>
        <w:rPr>
          <w:i/>
          <w:color w:val="FF0000"/>
          <w:rFonts w:ascii="Calibri" w:hAnsi="Calibri" w:eastAsia="Calibri" w:cs="Calibri"/>
          <w:sz w:val="18"/>
        </w:rPr>
      </w:pPr>
      <w:r>
        <w:rPr>
          <w:i/>
          <w:color w:val="FF0000"/>
          <w:rFonts w:ascii="Calibri" w:hAnsi="Calibri" w:eastAsia="Calibri" w:cs="Calibri"/>
          <w:sz w:val="18"/>
        </w:rPr>
        <w:t xml:space="preserve">[Drafting Note: This DPA is designed to attach to the </w:t>
      </w:r>
      <w:r>
        <w:rPr>
          <w:i/>
          <w:color w:val="FF0000"/>
          <w:rFonts w:ascii="Calibri" w:hAnsi="Calibri" w:eastAsia="Calibri" w:cs="Calibri"/>
          <w:sz w:val="18"/>
        </w:rPr>
        <w:t>bundled</w:t>
      </w:r>
      <w:r>
        <w:rPr>
          <w:i/>
          <w:color w:val="FF0000"/>
          <w:rFonts w:ascii="Calibri" w:hAnsi="Calibri" w:eastAsia="Calibri" w:cs="Calibri"/>
          <w:sz w:val="18"/>
        </w:rPr>
        <w:t xml:space="preserve"> MSA </w:t>
      </w:r>
      <w:r>
        <w:rPr>
          <w:i/>
          <w:color w:val="FF0000"/>
          <w:rFonts w:ascii="Calibri" w:hAnsi="Calibri" w:eastAsia="Calibri" w:cs="Calibri"/>
          <w:sz w:val="18"/>
        </w:rPr>
        <w:t>template</w:t>
      </w:r>
      <w:r>
        <w:rPr>
          <w:i/>
          <w:color w:val="FF0000"/>
          <w:rFonts w:ascii="Calibri" w:hAnsi="Calibri" w:eastAsia="Calibri" w:cs="Calibri"/>
          <w:sz w:val="18"/>
        </w:rPr>
        <w:t xml:space="preserve"> or </w:t>
      </w:r>
      <w:r>
        <w:rPr>
          <w:i/>
          <w:color w:val="FF0000"/>
          <w:rFonts w:ascii="Calibri" w:hAnsi="Calibri" w:eastAsia="Calibri" w:cs="Calibri"/>
          <w:sz w:val="18"/>
        </w:rPr>
        <w:t xml:space="preserve">another compatible SaaS or services agreement. </w:t>
      </w:r>
      <w:r>
        <w:rPr>
          <w:i/>
          <w:color w:val="FF0000"/>
          <w:rFonts w:ascii="Calibri" w:hAnsi="Calibri" w:eastAsia="Calibri" w:cs="Calibri"/>
          <w:sz w:val="18"/>
        </w:rPr>
        <w:t>Cross-references to Agreement sections (e.g., §2.3 Data Security, §4.4 Usage Data) refer to the underlying Agreement.</w:t>
      </w:r>
      <w:r>
        <w:rPr>
          <w:i/>
          <w:color w:val="FF0000"/>
          <w:rFonts w:ascii="Calibri" w:hAnsi="Calibri" w:eastAsia="Calibri" w:cs="Calibri"/>
          <w:sz w:val="18"/>
        </w:rPr>
        <w:t xml:space="preserve"> </w:t>
      </w:r>
      <w:r>
        <w:rPr>
          <w:i/>
          <w:color w:val="FF0000"/>
          <w:rFonts w:ascii="Calibri" w:hAnsi="Calibri" w:eastAsia="Calibri" w:cs="Calibri"/>
          <w:sz w:val="18"/>
        </w:rPr>
        <w:t xml:space="preserve">If using a different underlying agreement, update all cross-references </w:t>
      </w:r>
      <w:r>
        <w:rPr>
          <w:i/>
          <w:color w:val="FF0000"/>
          <w:sz w:val="18"/>
        </w:rPr>
        <w:t>throughout.]</w:t>
      </w:r>
    </w:p>
    <w:p w14:paraId="2527D3A3" w14:textId="77777777">
      <w:pPr>
        <w:pStyle w:val="Heading2"/>
      </w:pPr>
      <w:r>
        <w:rPr>
          <w:color w:val="000000"/>
        </w:rPr>
        <w:t>Key Terms</w:t>
      </w:r>
    </w:p>
    <w:p w14:paraId="03EEE029" w14:textId="77777777">
      <w:pPr>
        <w:spacing w:after="80"/>
      </w:pPr>
      <w:r>
        <w:rPr>
          <w:i/>
          <w:color w:val="FF0000"/>
          <w:sz w:val="18"/>
        </w:rPr>
        <w:t>[Drafting Note: AGENT INSTRUCTIONS — COVER PAGE: Work through each row of the Key Terms table below. For rows with Option A/B/C, ask the user which option applies and delete the others. Replace all [bracketed] placeholders with deal-specific information. The goal is a clean, finalized Cover Page — no checkboxes, no options left unresolved.]</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406"/>
        <w:gridCol w:w="5450"/>
      </w:tblGrid>
      <w:tr w14:paraId="4D90B44C" w14:textId="77777777">
        <w:trPr>
          <w:hidden w:val="0"/>
          <w:jc w:val="center"/>
        </w:trPr>
        <w:tc>
          <w:tcPr>
            <w:tcW w:w="288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7E1A28BF" w14:textId="77777777">
            <w:r>
              <w:rPr>
                <w:b/>
                <w:sz w:val="18"/>
              </w:rPr>
              <w:t>Key Term</w:t>
            </w:r>
          </w:p>
        </w:tc>
        <w:tc>
          <w:tcPr>
            <w:tcW w:w="6480" w:type="dxa"/>
            <w:shd w:color="auto" w:fill="D9D9D9" w:val="clear"/>
            <w:tcMar>
              <w:left w:w="108" w:type="dxa"/>
              <w:right w:w="108" w:type="dxa"/>
              <w:top w:w="0" w:type="dxa"/>
              <w:bottom w:w="0" w:type="dxa"/>
            </w:tcMar>
            <w:tcBorders>
              <w:top w:val="single" w:sz="4" w:space="0"/>
              <w:bottom w:val="single" w:sz="4" w:space="0"/>
              <w:right w:val="single" w:sz="4" w:space="0"/>
            </w:tcBorders>
          </w:tcPr>
          <w:p w14:paraId="4C9A1126" w14:textId="77777777">
            <w:r>
              <w:rPr>
                <w:b/>
                <w:sz w:val="18"/>
              </w:rPr>
              <w:t>Detail</w:t>
            </w:r>
          </w:p>
        </w:tc>
      </w:tr>
      <w:tr w14:paraId="16F69311"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4361AB1D" w14:textId="77777777">
            <w:r>
              <w:t>Agreement</w:t>
            </w:r>
          </w:p>
        </w:tc>
        <w:tc>
          <w:tcPr>
            <w:tcW w:w="6480" w:type="dxa"/>
            <w:tcMar>
              <w:left w:w="108" w:type="dxa"/>
              <w:right w:w="108" w:type="dxa"/>
              <w:top w:w="0" w:type="dxa"/>
              <w:bottom w:w="0" w:type="dxa"/>
            </w:tcMar>
            <w:tcBorders>
              <w:bottom w:val="single" w:sz="4" w:space="0"/>
              <w:right w:val="single" w:sz="4" w:space="0"/>
            </w:tcBorders>
          </w:tcPr>
          <w:p w14:paraId="14EE59C5" w14:textId="77777777">
            <w:r>
              <w:t>[Name and date of underlying Master Services Agreement, e.g., Master Services Agreement dated [Date] between [Company Name] and [Customer Name]]</w:t>
            </w:r>
          </w:p>
        </w:tc>
      </w:tr>
      <w:tr w14:paraId="5C009766"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C74A502" w14:textId="77777777">
            <w:r>
              <w:t>DPA Effective Date</w:t>
            </w:r>
          </w:p>
        </w:tc>
        <w:tc>
          <w:tcPr>
            <w:tcW w:w="6480" w:type="dxa"/>
            <w:tcMar>
              <w:left w:w="108" w:type="dxa"/>
              <w:right w:w="108" w:type="dxa"/>
              <w:top w:w="0" w:type="dxa"/>
              <w:bottom w:w="0" w:type="dxa"/>
            </w:tcMar>
            <w:tcBorders>
              <w:bottom w:val="single" w:sz="4" w:space="0"/>
              <w:right w:val="single" w:sz="4" w:space="0"/>
            </w:tcBorders>
          </w:tcPr>
          <w:p w14:paraId="71EAE92F" w14:textId="77777777">
            <w:r>
              <w:t>[Date — typically same as Agreement or Order Form effective date]</w:t>
            </w:r>
          </w:p>
        </w:tc>
      </w:tr>
      <w:tr w14:paraId="71BB8B8E"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1DBD107A" w14:textId="77777777">
            <w:r>
              <w:t>Provider</w:t>
            </w:r>
          </w:p>
        </w:tc>
        <w:tc>
          <w:tcPr>
            <w:tcW w:w="6480" w:type="dxa"/>
            <w:tcMar>
              <w:left w:w="108" w:type="dxa"/>
              <w:right w:w="108" w:type="dxa"/>
              <w:top w:w="0" w:type="dxa"/>
              <w:bottom w:w="0" w:type="dxa"/>
            </w:tcMar>
            <w:tcBorders>
              <w:bottom w:val="single" w:sz="4" w:space="0"/>
              <w:right w:val="single" w:sz="4" w:space="0"/>
            </w:tcBorders>
          </w:tcPr>
          <w:p w14:paraId="792DEBCA" w14:textId="77777777">
            <w:r>
              <w:t>Name: [Company Name]</w:t>
            </w:r>
            <w:r>
              <w:br/>
            </w:r>
            <w:r>
              <w:t>Address: [Address]</w:t>
            </w:r>
            <w:r>
              <w:br/>
            </w:r>
            <w:r>
              <w:t>Contact: [Name, Title, Email]</w:t>
            </w:r>
          </w:p>
        </w:tc>
      </w:tr>
      <w:tr w14:paraId="77C74890"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42E5CB6F" w14:textId="77777777">
            <w:r>
              <w:t>Customer</w:t>
            </w:r>
          </w:p>
        </w:tc>
        <w:tc>
          <w:tcPr>
            <w:tcW w:w="6480" w:type="dxa"/>
            <w:tcMar>
              <w:left w:w="108" w:type="dxa"/>
              <w:right w:w="108" w:type="dxa"/>
              <w:top w:w="0" w:type="dxa"/>
              <w:bottom w:w="0" w:type="dxa"/>
            </w:tcMar>
            <w:tcBorders>
              <w:bottom w:val="single" w:sz="4" w:space="0"/>
              <w:right w:val="single" w:sz="4" w:space="0"/>
            </w:tcBorders>
          </w:tcPr>
          <w:p w14:paraId="04BA3D1E" w14:textId="77777777">
            <w:r>
              <w:t>Name: [Customer Name]</w:t>
            </w:r>
            <w:r>
              <w:br/>
            </w:r>
            <w:r>
              <w:t>Address: [Address]</w:t>
            </w:r>
            <w:r>
              <w:br/>
            </w:r>
            <w:r>
              <w:t>Contact: [Name, Title, Email]</w:t>
            </w:r>
          </w:p>
        </w:tc>
      </w:tr>
      <w:tr w14:paraId="00C54175"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337C402" w14:textId="77777777">
            <w:r>
              <w:t>Subprocessor List</w:t>
            </w:r>
          </w:p>
        </w:tc>
        <w:tc>
          <w:tcPr>
            <w:tcW w:w="6480" w:type="dxa"/>
            <w:tcMar>
              <w:left w:w="108" w:type="dxa"/>
              <w:right w:w="108" w:type="dxa"/>
              <w:top w:w="0" w:type="dxa"/>
              <w:bottom w:w="0" w:type="dxa"/>
            </w:tcMar>
            <w:tcBorders>
              <w:bottom w:val="single" w:sz="4" w:space="0"/>
              <w:right w:val="single" w:sz="4" w:space="0"/>
            </w:tcBorders>
          </w:tcPr>
          <w:p w14:paraId="7D6758C4" w14:textId="77777777">
            <w:r>
              <w:rPr>
                <w:color w:val="000000"/>
                <w:sz w:val="18"/>
              </w:rPr>
              <w:t>Option A — Online List: [URL, e.g., https://[company].com/subprocessors]</w:t>
            </w:r>
            <w:r>
              <w:rPr>
                <w:i/>
                <w:color w:val="FF0000"/>
                <w:sz w:val="18"/>
              </w:rPr>
              <w:br/>
            </w:r>
            <w:r>
              <w:rPr>
                <w:i/>
                <w:color w:val="FF0000"/>
                <w:sz w:val="18"/>
              </w:rPr>
              <w:t>[Select when: Provider maintains a public or customer-accessible subprocessor page — preferred for scalability]</w:t>
            </w:r>
            <w:r>
              <w:rPr>
                <w:i/>
                <w:color w:val="FF0000"/>
                <w:sz w:val="18"/>
              </w:rPr>
              <w:br/>
            </w:r>
            <w:r>
              <w:rPr>
                <w:color w:val="000000"/>
                <w:sz w:val="18"/>
              </w:rPr>
              <w:br/>
            </w:r>
            <w:r>
              <w:rPr>
                <w:color w:val="000000"/>
                <w:sz w:val="18"/>
              </w:rPr>
              <w:t>Option B — Attached List: See Annex III attached to this DPA.</w:t>
            </w:r>
            <w:r>
              <w:rPr>
                <w:i/>
                <w:color w:val="FF0000"/>
                <w:sz w:val="18"/>
              </w:rPr>
              <w:br/>
            </w:r>
            <w:r>
              <w:rPr>
                <w:i/>
                <w:color w:val="FF0000"/>
                <w:sz w:val="18"/>
              </w:rPr>
              <w:t>[Select when: Customer requires a signed/attached list rather than a URL — more operationally burdensome; use only if customer insists]</w:t>
            </w:r>
          </w:p>
        </w:tc>
      </w:tr>
      <w:tr w14:paraId="073E4482"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2A6CC87F" w14:textId="77777777">
            <w:r>
              <w:t>Provider Security Contact</w:t>
            </w:r>
          </w:p>
        </w:tc>
        <w:tc>
          <w:tcPr>
            <w:tcW w:w="6480" w:type="dxa"/>
            <w:tcMar>
              <w:left w:w="108" w:type="dxa"/>
              <w:right w:w="108" w:type="dxa"/>
              <w:top w:w="0" w:type="dxa"/>
              <w:bottom w:w="0" w:type="dxa"/>
            </w:tcMar>
            <w:tcBorders>
              <w:bottom w:val="single" w:sz="4" w:space="0"/>
              <w:right w:val="single" w:sz="4" w:space="0"/>
            </w:tcBorders>
          </w:tcPr>
          <w:p w14:paraId="2A54834F" w14:textId="77777777">
            <w:r>
              <w:t xml:space="preserve">[Email address for security notices, e.g., </w:t>
            </w:r>
            <w:r>
              <w:t>security@[</w:t>
            </w:r>
            <w:r>
              <w:t>company].com] / [Physical address if required]</w:t>
            </w:r>
          </w:p>
        </w:tc>
      </w:tr>
      <w:tr w14:paraId="4B73C132"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AD6E00A" w14:textId="77777777">
            <w:r>
              <w:t>Security Policy</w:t>
            </w:r>
          </w:p>
        </w:tc>
        <w:tc>
          <w:tcPr>
            <w:tcW w:w="6480" w:type="dxa"/>
            <w:tcMar>
              <w:left w:w="108" w:type="dxa"/>
              <w:right w:w="108" w:type="dxa"/>
              <w:top w:w="0" w:type="dxa"/>
              <w:bottom w:w="0" w:type="dxa"/>
            </w:tcMar>
            <w:tcBorders>
              <w:bottom w:val="single" w:sz="4" w:space="0"/>
              <w:right w:val="single" w:sz="4" w:space="0"/>
            </w:tcBorders>
          </w:tcPr>
          <w:p w14:paraId="205DD9A8" w14:textId="77777777">
            <w:r>
              <w:rPr>
                <w:color w:val="000000"/>
                <w:sz w:val="18"/>
              </w:rPr>
              <w:t>Option A — Agreement Security Section: As described in the data security provisions of the Agreement (e.g., §2.3).</w:t>
            </w:r>
            <w:r>
              <w:rPr>
                <w:i/>
                <w:color w:val="FF0000"/>
                <w:sz w:val="18"/>
              </w:rPr>
              <w:br/>
            </w:r>
            <w:r>
              <w:rPr>
                <w:i/>
                <w:color w:val="FF0000"/>
                <w:rFonts w:ascii="Calibri" w:hAnsi="Calibri" w:eastAsia="Calibri" w:cs="Calibri"/>
                <w:sz w:val="18"/>
              </w:rPr>
              <w:t xml:space="preserve">[Select when: DPA accompanies the </w:t>
            </w:r>
            <w:r>
              <w:rPr>
                <w:i/>
                <w:color w:val="FF0000"/>
                <w:rFonts w:ascii="Calibri" w:hAnsi="Calibri" w:eastAsia="Calibri" w:cs="Calibri"/>
                <w:sz w:val="18"/>
              </w:rPr>
              <w:t>bundled</w:t>
            </w:r>
            <w:r>
              <w:rPr>
                <w:i/>
                <w:color w:val="FF0000"/>
                <w:rFonts w:ascii="Calibri" w:hAnsi="Calibri" w:eastAsia="Calibri" w:cs="Calibri"/>
                <w:sz w:val="18"/>
              </w:rPr>
              <w:t xml:space="preserve"> MSA </w:t>
            </w:r>
            <w:r>
              <w:rPr>
                <w:i/>
                <w:color w:val="FF0000"/>
                <w:rFonts w:ascii="Calibri" w:hAnsi="Calibri" w:eastAsia="Calibri" w:cs="Calibri"/>
                <w:sz w:val="18"/>
              </w:rPr>
              <w:t>template or another agreement containing compatible</w:t>
            </w:r>
            <w:r>
              <w:rPr>
                <w:i/>
                <w:color w:val="FF0000"/>
                <w:rFonts w:ascii="Calibri" w:hAnsi="Calibri" w:eastAsia="Calibri" w:cs="Calibri"/>
                <w:sz w:val="18"/>
              </w:rPr>
              <w:t xml:space="preserve"> data</w:t>
            </w:r>
            <w:r>
              <w:rPr>
                <w:i/>
                <w:color w:val="FF0000"/>
                <w:rFonts w:ascii="Calibri" w:hAnsi="Calibri" w:eastAsia="Calibri" w:cs="Calibri"/>
                <w:sz w:val="18"/>
              </w:rPr>
              <w:t>-</w:t>
            </w:r>
            <w:r>
              <w:rPr>
                <w:i/>
                <w:color w:val="FF0000"/>
                <w:rFonts w:ascii="Calibri" w:hAnsi="Calibri" w:eastAsia="Calibri" w:cs="Calibri"/>
                <w:sz w:val="18"/>
              </w:rPr>
              <w:t>security obligations; Provider does not have a public URL or separate certifications to reference]</w:t>
            </w:r>
            <w:r>
              <w:rPr>
                <w:i/>
                <w:color w:val="FF0000"/>
                <w:sz w:val="18"/>
              </w:rPr>
              <w:br/>
            </w:r>
            <w:r>
              <w:rPr>
                <w:color w:val="000000"/>
                <w:sz w:val="18"/>
              </w:rPr>
              <w:br/>
            </w:r>
            <w:r>
              <w:rPr>
                <w:color w:val="000000"/>
                <w:sz w:val="18"/>
              </w:rPr>
              <w:t>Option B — URL: Available at [URL, e.g., https://[company].com/security-policy].</w:t>
            </w:r>
            <w:r>
              <w:rPr>
                <w:i/>
                <w:color w:val="FF0000"/>
                <w:sz w:val="18"/>
              </w:rPr>
              <w:br/>
            </w:r>
            <w:r>
              <w:rPr>
                <w:i/>
                <w:color w:val="FF0000"/>
                <w:sz w:val="18"/>
              </w:rPr>
              <w:t>[Select when: Provider maintains a public security page; link should be stable and versioned]</w:t>
            </w:r>
            <w:r>
              <w:rPr>
                <w:i/>
                <w:color w:val="FF0000"/>
                <w:sz w:val="18"/>
              </w:rPr>
              <w:br/>
            </w:r>
            <w:r>
              <w:rPr>
                <w:i/>
                <w:color w:val="FF0000"/>
                <w:sz w:val="18"/>
              </w:rPr>
              <w:br/>
            </w:r>
            <w:r>
              <w:rPr>
                <w:color w:val="000000"/>
                <w:sz w:val="18"/>
              </w:rPr>
              <w:t>Option C — Certifications Only: Provider holds the following certifications: [e.g., SOC 2 Type II, ISO 27001, HITRUST]. Summary reports available upon written request.</w:t>
            </w:r>
            <w:r>
              <w:rPr>
                <w:i/>
                <w:color w:val="FF0000"/>
                <w:sz w:val="18"/>
              </w:rPr>
              <w:br/>
            </w:r>
            <w:r>
              <w:rPr>
                <w:i/>
                <w:color w:val="FF0000"/>
                <w:sz w:val="18"/>
              </w:rPr>
              <w:t>[Select when: Provider's security program is defined by its certifications rather than a written policy]</w:t>
            </w:r>
          </w:p>
        </w:tc>
      </w:tr>
      <w:tr w14:paraId="69E436C5"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2C779BA" w14:textId="77777777">
            <w:r>
              <w:t>DPA Covered Claim (Indemnity)</w:t>
            </w:r>
          </w:p>
        </w:tc>
        <w:tc>
          <w:tcPr>
            <w:tcW w:w="6480" w:type="dxa"/>
            <w:tcMar>
              <w:left w:w="108" w:type="dxa"/>
              <w:right w:w="108" w:type="dxa"/>
              <w:top w:w="0" w:type="dxa"/>
              <w:bottom w:w="0" w:type="dxa"/>
            </w:tcMar>
            <w:tcBorders>
              <w:bottom w:val="single" w:sz="4" w:space="0"/>
              <w:right w:val="single" w:sz="4" w:space="0"/>
            </w:tcBorders>
          </w:tcPr>
          <w:p w14:paraId="299590E4" w14:textId="77777777">
            <w:pPr>
              <w:rPr>
                <w:color w:val="000000"/>
                <w:rFonts w:ascii="Calibri" w:hAnsi="Calibri" w:eastAsia="Calibri" w:cs="Calibri"/>
                <w:sz w:val="18"/>
              </w:rPr>
            </w:pPr>
            <w:r>
              <w:rPr>
                <w:color w:val="000000"/>
                <w:rFonts w:ascii="Calibri" w:hAnsi="Calibri" w:eastAsia="Calibri" w:cs="Calibri"/>
                <w:sz w:val="18"/>
              </w:rPr>
              <w:t>Option A — Cross-Reference to Agreement Indemnity (</w:t>
            </w:r>
            <w:r>
              <w:rPr>
                <w:color w:val="000000"/>
                <w:rFonts w:ascii="Calibri" w:hAnsi="Calibri" w:eastAsia="Calibri" w:cs="Calibri"/>
                <w:sz w:val="18"/>
              </w:rPr>
              <w:t>Compatible</w:t>
            </w:r>
            <w:r>
              <w:rPr>
                <w:color w:val="000000"/>
                <w:rFonts w:ascii="Calibri" w:hAnsi="Calibri" w:eastAsia="Calibri" w:cs="Calibri"/>
                <w:sz w:val="18"/>
              </w:rPr>
              <w:t xml:space="preserve"> Agreement</w:t>
            </w:r>
            <w:r>
              <w:rPr>
                <w:color w:val="000000"/>
                <w:rFonts w:ascii="Calibri" w:hAnsi="Calibri" w:eastAsia="Calibri" w:cs="Calibri"/>
                <w:sz w:val="18"/>
              </w:rPr>
              <w:t xml:space="preserve">): “</w:t>
            </w:r>
            <w:r>
              <w:rPr>
                <w:color w:val="000000"/>
                <w:rFonts w:ascii="Calibri" w:hAnsi="Calibri" w:eastAsia="Calibri" w:cs="Calibri"/>
                <w:sz w:val="18"/>
              </w:rPr>
              <w:t>DPA Covered Claim</w:t>
            </w:r>
            <w:r>
              <w:rPr>
                <w:color w:val="000000"/>
                <w:rFonts w:ascii="Calibri" w:hAnsi="Calibri" w:eastAsia="Calibri" w:cs="Calibri"/>
                <w:sz w:val="18"/>
              </w:rPr>
              <w:t>”</w:t>
            </w:r>
            <w:r>
              <w:rPr>
                <w:color w:val="000000"/>
                <w:rFonts w:ascii="Calibri" w:hAnsi="Calibri" w:eastAsia="Calibri" w:cs="Calibri"/>
                <w:sz w:val="18"/>
              </w:rPr>
              <w:t xml:space="preserve"> means a claim by a third party against Customer arising from Provider's breach of this DPA or applicable Data Protection Laws.</w:t>
            </w:r>
            <w:r>
              <w:rPr>
                <w:i/>
                <w:color w:val="FF0000"/>
                <w:sz w:val="18"/>
              </w:rPr>
              <w:br/>
            </w:r>
            <w:r>
              <w:rPr>
                <w:i/>
                <w:color w:val="FF0000"/>
                <w:rFonts w:ascii="Calibri" w:hAnsi="Calibri" w:eastAsia="Calibri" w:cs="Calibri"/>
                <w:sz w:val="18"/>
              </w:rPr>
              <w:t xml:space="preserve">[Select when: DPA accompanies </w:t>
            </w:r>
            <w:r>
              <w:rPr>
                <w:i/>
                <w:color w:val="FF0000"/>
                <w:rFonts w:ascii="Calibri" w:hAnsi="Calibri" w:eastAsia="Calibri" w:cs="Calibri"/>
                <w:sz w:val="18"/>
              </w:rPr>
              <w:t>the bundled MSA template or another agreement with a compatible indemnity structure</w:t>
            </w:r>
            <w:r>
              <w:rPr>
                <w:i/>
                <w:color w:val="FF0000"/>
                <w:rFonts w:ascii="Calibri" w:hAnsi="Calibri" w:eastAsia="Calibri" w:cs="Calibri"/>
                <w:sz w:val="18"/>
              </w:rPr>
              <w:t xml:space="preserve"> — Section 11 of this DPA cross-references </w:t>
            </w:r>
            <w:r>
              <w:rPr>
                <w:i/>
                <w:color w:val="FF0000"/>
                <w:rFonts w:ascii="Calibri" w:hAnsi="Calibri" w:eastAsia="Calibri" w:cs="Calibri"/>
                <w:sz w:val="18"/>
              </w:rPr>
              <w:t>the Agreement</w:t>
            </w:r>
            <w:r>
              <w:rPr>
                <w:i/>
                <w:color w:val="FF0000"/>
                <w:rFonts w:ascii="Calibri" w:hAnsi="Calibri" w:eastAsia="Calibri" w:cs="Calibri"/>
                <w:sz w:val="18"/>
              </w:rPr>
              <w:t>]</w:t>
            </w:r>
            <w:r>
              <w:rPr>
                <w:i/>
                <w:color w:val="FF0000"/>
                <w:sz w:val="18"/>
              </w:rPr>
              <w:br/>
            </w:r>
            <w:r>
              <w:rPr>
                <w:color w:val="000000"/>
                <w:sz w:val="18"/>
              </w:rPr>
              <w:br/>
            </w:r>
            <w:r>
              <w:rPr>
                <w:color w:val="000000"/>
                <w:sz w:val="18"/>
              </w:rPr>
              <w:t>Option B — Standalone DPA Indemnity:</w:t>
            </w:r>
            <w:r>
              <w:rPr>
                <w:color w:val="000000"/>
                <w:sz w:val="18"/>
              </w:rPr>
              <w:br/>
            </w:r>
            <w:r>
              <w:rPr>
                <w:color w:val="000000"/>
                <w:sz w:val="18"/>
              </w:rPr>
              <w:t>Provider will indemnify, defend and hold harmless Customer from third-party claims arising directly from Provider's gross negligence or willful misconduct in connection with a Security Incident. See Section 11.4.</w:t>
            </w:r>
            <w:r>
              <w:rPr>
                <w:i/>
                <w:color w:val="FF0000"/>
                <w:sz w:val="18"/>
              </w:rPr>
              <w:br/>
            </w:r>
            <w:r>
              <w:rPr>
                <w:i/>
                <w:color w:val="FF0000"/>
                <w:rFonts w:ascii="Calibri" w:hAnsi="Calibri" w:eastAsia="Calibri" w:cs="Calibri"/>
                <w:sz w:val="18"/>
              </w:rPr>
              <w:t xml:space="preserve">[Select when: </w:t>
            </w:r>
            <w:r>
              <w:rPr>
                <w:i/>
                <w:color w:val="FF0000"/>
                <w:rFonts w:ascii="Calibri" w:hAnsi="Calibri" w:eastAsia="Calibri" w:cs="Calibri"/>
                <w:sz w:val="18"/>
              </w:rPr>
              <w:t>the</w:t>
            </w:r>
            <w:r>
              <w:rPr>
                <w:i/>
                <w:color w:val="FF0000"/>
                <w:rFonts w:ascii="Calibri" w:hAnsi="Calibri" w:eastAsia="Calibri" w:cs="Calibri"/>
                <w:sz w:val="18"/>
              </w:rPr>
              <w:t xml:space="preserve"> underlying agreement </w:t>
            </w:r>
            <w:r>
              <w:rPr>
                <w:i/>
                <w:color w:val="FF0000"/>
                <w:rFonts w:ascii="Calibri" w:hAnsi="Calibri" w:eastAsia="Calibri" w:cs="Calibri"/>
                <w:sz w:val="18"/>
              </w:rPr>
              <w:t>lacks compatible indemnity language]</w:t>
            </w:r>
            <w:r>
              <w:rPr>
                <w:i/>
                <w:color w:val="FF0000"/>
                <w:sz w:val="18"/>
              </w:rPr>
              <w:br/>
            </w:r>
            <w:r>
              <w:rPr>
                <w:color w:val="000000"/>
                <w:sz w:val="18"/>
              </w:rPr>
              <w:br/>
            </w:r>
            <w:r>
              <w:rPr>
                <w:color w:val="000000"/>
                <w:sz w:val="18"/>
              </w:rPr>
              <w:t>Option C — No DPA-Specific Indemnity:</w:t>
            </w:r>
            <w:r>
              <w:rPr>
                <w:color w:val="000000"/>
                <w:sz w:val="18"/>
              </w:rPr>
              <w:br/>
            </w:r>
            <w:r>
              <w:rPr>
                <w:color w:val="000000"/>
                <w:sz w:val="18"/>
              </w:rPr>
              <w:t xml:space="preserve">N/A — DPA claims governed by </w:t>
            </w:r>
            <w:r>
              <w:rPr>
                <w:color w:val="000000"/>
                <w:sz w:val="18"/>
              </w:rPr>
              <w:t xml:space="preserve">the </w:t>
            </w:r>
            <w:r>
              <w:rPr>
                <w:color w:val="000000"/>
                <w:sz w:val="18"/>
              </w:rPr>
              <w:t>underlying Agreement's indemnity provisions.</w:t>
            </w:r>
            <w:r>
              <w:rPr>
                <w:i/>
                <w:color w:val="FF0000"/>
                <w:sz w:val="18"/>
              </w:rPr>
              <w:br/>
            </w:r>
            <w:r>
              <w:rPr>
                <w:i/>
                <w:color w:val="FF0000"/>
                <w:rFonts w:ascii="Calibri" w:hAnsi="Calibri" w:eastAsia="Calibri" w:cs="Calibri"/>
                <w:sz w:val="18"/>
              </w:rPr>
              <w:t xml:space="preserve">[Select when: Customer does not require a separate DPA indemnity or </w:t>
            </w:r>
            <w:r>
              <w:rPr>
                <w:i/>
                <w:color w:val="FF0000"/>
                <w:rFonts w:ascii="Calibri" w:hAnsi="Calibri" w:eastAsia="Calibri" w:cs="Calibri"/>
                <w:sz w:val="18"/>
              </w:rPr>
              <w:t>the Agreement's</w:t>
            </w:r>
            <w:r>
              <w:rPr>
                <w:i/>
                <w:color w:val="FF0000"/>
                <w:rFonts w:ascii="Calibri" w:hAnsi="Calibri" w:eastAsia="Calibri" w:cs="Calibri"/>
                <w:sz w:val="18"/>
              </w:rPr>
              <w:t xml:space="preserve"> indemnity is sufficient]</w:t>
            </w:r>
          </w:p>
        </w:tc>
      </w:tr>
      <w:tr w14:paraId="72C87A2F"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3160964" w14:textId="77777777">
            <w:r>
              <w:t>DPA Liability Cap</w:t>
            </w:r>
          </w:p>
        </w:tc>
        <w:tc>
          <w:tcPr>
            <w:tcW w:w="6480" w:type="dxa"/>
            <w:tcMar>
              <w:left w:w="108" w:type="dxa"/>
              <w:right w:w="108" w:type="dxa"/>
              <w:top w:w="0" w:type="dxa"/>
              <w:bottom w:w="0" w:type="dxa"/>
            </w:tcMar>
            <w:tcBorders>
              <w:bottom w:val="single" w:sz="4" w:space="0"/>
              <w:right w:val="single" w:sz="4" w:space="0"/>
            </w:tcBorders>
          </w:tcPr>
          <w:p w14:paraId="2F733BC3" w14:textId="77777777">
            <w:r>
              <w:rPr>
                <w:color w:val="000000"/>
                <w:sz w:val="18"/>
              </w:rPr>
              <w:t>Option A — Agreement Cap Applies (Standard):</w:t>
            </w:r>
            <w:r>
              <w:rPr>
                <w:color w:val="000000"/>
                <w:sz w:val="18"/>
              </w:rPr>
              <w:br/>
            </w:r>
            <w:r>
              <w:rPr>
                <w:color w:val="000000"/>
                <w:sz w:val="18"/>
              </w:rPr>
              <w:t>Each Party's liability under this DPA is subject to the waivers, exclusions, and limitations set forth in the Agreement. See Section 11.1.</w:t>
            </w:r>
            <w:r>
              <w:rPr>
                <w:i/>
                <w:color w:val="FF0000"/>
                <w:sz w:val="18"/>
              </w:rPr>
              <w:br/>
            </w:r>
            <w:r>
              <w:rPr>
                <w:i/>
                <w:color w:val="FF0000"/>
                <w:sz w:val="18"/>
              </w:rPr>
              <w:t>[Select when: standard deal with no heightened data risk; most common]</w:t>
            </w:r>
            <w:r>
              <w:rPr>
                <w:i/>
                <w:color w:val="FF0000"/>
                <w:sz w:val="18"/>
              </w:rPr>
              <w:br/>
            </w:r>
            <w:r>
              <w:rPr>
                <w:color w:val="000000"/>
                <w:sz w:val="18"/>
              </w:rPr>
              <w:br/>
            </w:r>
            <w:r>
              <w:rPr>
                <w:color w:val="000000"/>
                <w:sz w:val="18"/>
              </w:rPr>
              <w:t>Option B — Separate DPA Super Cap:</w:t>
            </w:r>
            <w:r>
              <w:rPr>
                <w:color w:val="000000"/>
                <w:sz w:val="18"/>
              </w:rPr>
              <w:br/>
            </w:r>
            <w:r>
              <w:rPr>
                <w:color w:val="000000"/>
                <w:sz w:val="18"/>
              </w:rPr>
              <w:t>Notwithstanding the Agreement's liability cap, each Party's total cumulative liability under this DPA will not exceed $[amount] / [X]x the fees paid or payable by Customer in the 12 months preceding the claim.</w:t>
            </w:r>
            <w:r>
              <w:rPr>
                <w:i/>
                <w:color w:val="FF0000"/>
                <w:sz w:val="18"/>
              </w:rPr>
              <w:br/>
            </w:r>
            <w:r>
              <w:rPr>
                <w:i/>
                <w:color w:val="FF0000"/>
                <w:sz w:val="18"/>
              </w:rPr>
              <w:t>[Select when: Customer requires higher liability exposure for data claims; negotiate multiplier carefully — 2x fees is market; 3x is aggressive]</w:t>
            </w:r>
          </w:p>
        </w:tc>
      </w:tr>
      <w:tr w14:paraId="7A081F76"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10044ED2" w14:textId="77777777">
            <w:r>
              <w:t>Governing Law</w:t>
            </w:r>
          </w:p>
        </w:tc>
        <w:tc>
          <w:tcPr>
            <w:tcW w:w="6480" w:type="dxa"/>
            <w:tcMar>
              <w:left w:w="108" w:type="dxa"/>
              <w:right w:w="108" w:type="dxa"/>
              <w:top w:w="0" w:type="dxa"/>
              <w:bottom w:w="0" w:type="dxa"/>
            </w:tcMar>
            <w:tcBorders>
              <w:bottom w:val="single" w:sz="4" w:space="0"/>
              <w:right w:val="single" w:sz="4" w:space="0"/>
            </w:tcBorders>
          </w:tcPr>
          <w:p w14:paraId="10507794" w14:textId="77777777">
            <w:r>
              <w:rPr>
                <w:color w:val="000000"/>
                <w:sz w:val="18"/>
              </w:rPr>
              <w:t>Option A — Same as Agreement (Standard):</w:t>
            </w:r>
            <w:r>
              <w:rPr>
                <w:color w:val="000000"/>
                <w:sz w:val="18"/>
              </w:rPr>
              <w:br/>
            </w:r>
            <w:r>
              <w:rPr>
                <w:color w:val="000000"/>
                <w:sz w:val="18"/>
              </w:rPr>
              <w:t>This DPA is governed by the governing law of the Agreement.</w:t>
            </w:r>
            <w:r>
              <w:rPr>
                <w:i/>
                <w:color w:val="FF0000"/>
                <w:sz w:val="18"/>
              </w:rPr>
              <w:br/>
            </w:r>
            <w:r>
              <w:rPr>
                <w:i/>
                <w:color w:val="FF0000"/>
                <w:sz w:val="18"/>
              </w:rPr>
              <w:t>[Select when: no data-protection-specific governing law is required — standard position]</w:t>
            </w:r>
            <w:r>
              <w:rPr>
                <w:i/>
                <w:color w:val="FF0000"/>
                <w:sz w:val="18"/>
              </w:rPr>
              <w:br/>
            </w:r>
            <w:r>
              <w:rPr>
                <w:color w:val="000000"/>
                <w:sz w:val="18"/>
              </w:rPr>
              <w:br/>
            </w:r>
            <w:r>
              <w:rPr>
                <w:color w:val="000000"/>
                <w:sz w:val="18"/>
              </w:rPr>
              <w:t>Option B — DPA-Specific Override:</w:t>
            </w:r>
            <w:r>
              <w:rPr>
                <w:color w:val="000000"/>
                <w:sz w:val="18"/>
              </w:rPr>
              <w:br/>
            </w:r>
            <w:r>
              <w:rPr>
                <w:color w:val="000000"/>
                <w:sz w:val="18"/>
              </w:rPr>
              <w:t>Notwithstanding the governing law of the Agreement, this DPA (other than the SCCs) is governed by the laws of [State/Country], without regard to conflict of law principles. For SCC purposes, see Schedule 3.</w:t>
            </w:r>
            <w:r>
              <w:rPr>
                <w:i/>
                <w:color w:val="FF0000"/>
                <w:sz w:val="18"/>
              </w:rPr>
              <w:br/>
            </w:r>
            <w:r>
              <w:rPr>
                <w:i/>
                <w:color w:val="FF0000"/>
                <w:sz w:val="18"/>
              </w:rPr>
              <w:t>[Select when: EU/UK customer requires DPA governed by EU/UK law; or required by Data Protection Laws]</w:t>
            </w:r>
          </w:p>
        </w:tc>
      </w:tr>
      <w:tr w14:paraId="4B549166"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24ABE2A3" w14:textId="77777777">
            <w:r>
              <w:t>Applicable Data Protection Laws</w:t>
            </w:r>
          </w:p>
        </w:tc>
        <w:tc>
          <w:tcPr>
            <w:tcW w:w="6480" w:type="dxa"/>
            <w:tcMar>
              <w:left w:w="108" w:type="dxa"/>
              <w:right w:w="108" w:type="dxa"/>
              <w:top w:w="0" w:type="dxa"/>
              <w:bottom w:w="0" w:type="dxa"/>
            </w:tcMar>
            <w:tcBorders>
              <w:bottom w:val="single" w:sz="4" w:space="0"/>
              <w:right w:val="single" w:sz="4" w:space="0"/>
            </w:tcBorders>
          </w:tcPr>
          <w:p w14:paraId="712248ED" w14:textId="77777777">
            <w:r>
              <w:rPr>
                <w:i/>
                <w:color w:val="FF0000"/>
                <w:sz w:val="18"/>
              </w:rPr>
              <w:t>[Drafting Note — Agent: Select all laws that apply to this deal and list them below. Delete laws that do not apply. Guide:</w:t>
            </w:r>
            <w:r>
              <w:rPr>
                <w:color w:val="000000"/>
                <w:sz w:val="18"/>
              </w:rPr>
              <w:br/>
            </w:r>
            <w:r>
              <w:rPr>
                <w:color w:val="000000"/>
                <w:sz w:val="18"/>
              </w:rPr>
              <w:t>• GDPR (EU): Select if Customer has EU-based employees, customers, or data subjects — or if Provider processes data of EU residents.</w:t>
            </w:r>
            <w:r>
              <w:rPr>
                <w:color w:val="000000"/>
                <w:sz w:val="18"/>
              </w:rPr>
              <w:br/>
            </w:r>
            <w:r>
              <w:rPr>
                <w:color w:val="000000"/>
                <w:sz w:val="18"/>
              </w:rPr>
              <w:t xml:space="preserve">• UK GDPR: Select if Customer has UK-based data subjects (post-Brexit </w:t>
            </w:r>
            <w:r>
              <w:rPr>
                <w:color w:val="000000"/>
                <w:sz w:val="18"/>
              </w:rPr>
              <w:t>separate regime).</w:t>
            </w:r>
            <w:r>
              <w:rPr>
                <w:color w:val="000000"/>
                <w:sz w:val="18"/>
              </w:rPr>
              <w:br/>
            </w:r>
            <w:r>
              <w:rPr>
                <w:color w:val="000000"/>
                <w:sz w:val="18"/>
              </w:rPr>
              <w:t>• CCPA/CPRA: Select if Customer does business in California and meets a CCPA threshold: over $25 million in prior-year gross revenue (as adjusted); annually buys, sells, or shares personal information of 100,000 or more consumers or households; or derives 50% or more of annual revenue from selling or sharing personal information.</w:t>
            </w:r>
            <w:r>
              <w:rPr>
                <w:color w:val="000000"/>
                <w:sz w:val="18"/>
              </w:rPr>
              <w:br/>
            </w:r>
            <w:r>
              <w:rPr>
                <w:color w:val="000000"/>
                <w:sz w:val="18"/>
              </w:rPr>
              <w:t>• Swiss FADP: Select if Customer processes Swiss resident data.</w:t>
            </w:r>
            <w:r>
              <w:rPr>
                <w:i/>
                <w:color w:val="FF0000"/>
                <w:sz w:val="18"/>
              </w:rPr>
              <w:br/>
            </w:r>
            <w:r>
              <w:rPr>
                <w:i/>
                <w:color w:val="FF0000"/>
                <w:sz w:val="18"/>
              </w:rPr>
              <w:t>Delete Schedule 4 Parts that correspond to unselected laws.]</w:t>
            </w:r>
            <w:r>
              <w:rPr>
                <w:i/>
                <w:color w:val="FF0000"/>
                <w:sz w:val="18"/>
              </w:rPr>
              <w:br/>
            </w:r>
            <w:r>
              <w:rPr>
                <w:color w:val="000000"/>
                <w:sz w:val="18"/>
              </w:rPr>
              <w:br/>
            </w:r>
            <w:r>
              <w:rPr>
                <w:color w:val="000000"/>
                <w:sz w:val="18"/>
              </w:rPr>
              <w:t>The following Data Protection Laws apply to this DPA:</w:t>
            </w:r>
            <w:r>
              <w:rPr>
                <w:color w:val="000000"/>
                <w:sz w:val="18"/>
              </w:rPr>
              <w:br/>
            </w:r>
            <w:r>
              <w:rPr>
                <w:color w:val="000000"/>
                <w:sz w:val="18"/>
              </w:rPr>
              <w:t>[List selected laws, e.g.:]</w:t>
            </w:r>
            <w:r>
              <w:rPr>
                <w:color w:val="000000"/>
                <w:sz w:val="18"/>
              </w:rPr>
              <w:br/>
            </w:r>
            <w:r>
              <w:rPr>
                <w:color w:val="000000"/>
                <w:sz w:val="18"/>
              </w:rPr>
              <w:t>•  GDPR (EU General Data Protection Regulation 2016/679)</w:t>
            </w:r>
            <w:r>
              <w:rPr>
                <w:color w:val="000000"/>
                <w:sz w:val="18"/>
              </w:rPr>
              <w:br/>
            </w:r>
            <w:r>
              <w:rPr>
                <w:color w:val="000000"/>
                <w:sz w:val="18"/>
              </w:rPr>
              <w:t>•  UK GDPR (as incorporated by the European Union (Withdrawal) Act 2018)</w:t>
            </w:r>
            <w:r>
              <w:rPr>
                <w:color w:val="000000"/>
                <w:sz w:val="18"/>
              </w:rPr>
              <w:br/>
            </w:r>
            <w:r>
              <w:rPr>
                <w:color w:val="000000"/>
                <w:sz w:val="18"/>
              </w:rPr>
              <w:t>•  CCPA/CPRA (California Consumer Privacy Act, as amended)</w:t>
            </w:r>
            <w:r>
              <w:rPr>
                <w:color w:val="000000"/>
                <w:sz w:val="18"/>
              </w:rPr>
              <w:br/>
            </w:r>
            <w:r>
              <w:rPr>
                <w:color w:val="000000"/>
                <w:sz w:val="18"/>
              </w:rPr>
              <w:t>•  Swiss FADP (Federal Act on Data Protection)</w:t>
            </w:r>
          </w:p>
        </w:tc>
      </w:tr>
      <w:tr w14:paraId="74E3484F"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65AE614" w14:textId="77777777">
            <w:r>
              <w:t>Breach Notification Period</w:t>
            </w:r>
          </w:p>
        </w:tc>
        <w:tc>
          <w:tcPr>
            <w:tcW w:w="6480" w:type="dxa"/>
            <w:tcMar>
              <w:left w:w="108" w:type="dxa"/>
              <w:right w:w="108" w:type="dxa"/>
              <w:top w:w="0" w:type="dxa"/>
              <w:bottom w:w="0" w:type="dxa"/>
            </w:tcMar>
            <w:tcBorders>
              <w:bottom w:val="single" w:sz="4" w:space="0"/>
              <w:right w:val="single" w:sz="4" w:space="0"/>
            </w:tcBorders>
          </w:tcPr>
          <w:p w14:paraId="68392F95" w14:textId="77777777">
            <w:r>
              <w:rPr>
                <w:color w:val="000000"/>
                <w:sz w:val="18"/>
              </w:rPr>
              <w:t>Option A — 72 Hours (GDPR Standard):</w:t>
            </w:r>
            <w:r>
              <w:rPr>
                <w:color w:val="000000"/>
                <w:sz w:val="18"/>
              </w:rPr>
              <w:br/>
            </w:r>
            <w:r>
              <w:rPr>
                <w:color w:val="000000"/>
                <w:sz w:val="18"/>
              </w:rPr>
              <w:t>72 hours after Provider becomes aware of a Security Incident.</w:t>
            </w:r>
            <w:r>
              <w:rPr>
                <w:i/>
                <w:color w:val="FF0000"/>
                <w:sz w:val="18"/>
              </w:rPr>
              <w:br/>
            </w:r>
            <w:r>
              <w:rPr>
                <w:i/>
                <w:color w:val="FF0000"/>
                <w:sz w:val="18"/>
              </w:rPr>
              <w:t>[Select when: GDPR or UK GDPR applies — 72 hours is the regulatory notification deadline to supervisory authorities; aligns Provider's contractual obligation with regulatory clock]</w:t>
            </w:r>
            <w:r>
              <w:rPr>
                <w:i/>
                <w:color w:val="FF0000"/>
                <w:sz w:val="18"/>
              </w:rPr>
              <w:br/>
            </w:r>
            <w:r>
              <w:rPr>
                <w:color w:val="000000"/>
                <w:sz w:val="18"/>
              </w:rPr>
              <w:br/>
            </w:r>
            <w:r>
              <w:rPr>
                <w:color w:val="000000"/>
                <w:sz w:val="18"/>
              </w:rPr>
              <w:t>Option B — 48 Hours:</w:t>
            </w:r>
            <w:r>
              <w:rPr>
                <w:color w:val="000000"/>
                <w:sz w:val="18"/>
              </w:rPr>
              <w:br/>
            </w:r>
            <w:r>
              <w:rPr>
                <w:color w:val="000000"/>
                <w:sz w:val="18"/>
              </w:rPr>
              <w:t>48 hours after Provider becomes aware of a Security Incident.</w:t>
            </w:r>
            <w:r>
              <w:rPr>
                <w:i/>
                <w:color w:val="FF0000"/>
                <w:sz w:val="18"/>
              </w:rPr>
              <w:br/>
            </w:r>
            <w:r>
              <w:rPr>
                <w:i/>
                <w:color w:val="FF0000"/>
                <w:sz w:val="18"/>
              </w:rPr>
              <w:t>[Select when: Customer requires faster notification, e.g., regulated industries (financial, healthcare); more operationally demanding — ensure Provider's IR process can support]</w:t>
            </w:r>
            <w:r>
              <w:rPr>
                <w:i/>
                <w:color w:val="FF0000"/>
                <w:sz w:val="18"/>
              </w:rPr>
              <w:br/>
            </w:r>
            <w:r>
              <w:rPr>
                <w:color w:val="000000"/>
                <w:sz w:val="18"/>
              </w:rPr>
              <w:br/>
            </w:r>
            <w:r>
              <w:rPr>
                <w:color w:val="000000"/>
                <w:sz w:val="18"/>
              </w:rPr>
              <w:t>Option C — 24 Hours:</w:t>
            </w:r>
            <w:r>
              <w:rPr>
                <w:color w:val="000000"/>
                <w:sz w:val="18"/>
              </w:rPr>
              <w:br/>
            </w:r>
            <w:r>
              <w:rPr>
                <w:color w:val="000000"/>
                <w:sz w:val="18"/>
              </w:rPr>
              <w:t>24 hours after Provider becomes aware of a Security Incident.</w:t>
            </w:r>
            <w:r>
              <w:rPr>
                <w:i/>
                <w:color w:val="FF0000"/>
                <w:sz w:val="18"/>
              </w:rPr>
              <w:br/>
            </w:r>
            <w:r>
              <w:rPr>
                <w:i/>
                <w:color w:val="FF0000"/>
                <w:sz w:val="18"/>
              </w:rPr>
              <w:t>[Select when: Customer has specific contractual or regulatory requirements mandating 24-hour notification; rare; push back unless genuinely required]</w:t>
            </w:r>
          </w:p>
        </w:tc>
      </w:tr>
      <w:tr w14:paraId="18FDF451"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4E59EF17" w14:textId="77777777">
            <w:r>
              <w:t>Subprocessor Notice Period</w:t>
            </w:r>
          </w:p>
        </w:tc>
        <w:tc>
          <w:tcPr>
            <w:tcW w:w="6480" w:type="dxa"/>
            <w:tcMar>
              <w:left w:w="108" w:type="dxa"/>
              <w:right w:w="108" w:type="dxa"/>
              <w:top w:w="0" w:type="dxa"/>
              <w:bottom w:w="0" w:type="dxa"/>
            </w:tcMar>
            <w:tcBorders>
              <w:bottom w:val="single" w:sz="4" w:space="0"/>
              <w:right w:val="single" w:sz="4" w:space="0"/>
            </w:tcBorders>
          </w:tcPr>
          <w:p w14:paraId="6B3630E0" w14:textId="77777777">
            <w:r>
              <w:t>[30 days] (standard) / [14 days] (customer-favorable) / [45 days] (provider-favorable)</w:t>
            </w:r>
            <w:r>
              <w:br/>
            </w:r>
            <w:r>
              <w:t>[Drafting Note: 30 days is market standard and aligns with GDPR SCC requirements. Do not agree to less than 14 days — insufficient time for Customer to assess risk. This period must match the notice period selected in Schedule 3 (EEA SCCs Clause 9).]</w:t>
            </w:r>
          </w:p>
        </w:tc>
      </w:tr>
    </w:tbl>
    <w:p w14:paraId="6192937A" w14:textId="77777777"/>
    <w:p w14:paraId="4F30972C" w14:textId="77777777">
      <w:pPr>
        <w:spacing w:after="160"/>
      </w:pPr>
      <w:r>
        <w:t>The Parties have executed this DPA as of the last date of signature below.</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4320"/>
        <w:gridCol w:w="4320"/>
      </w:tblGrid>
      <w:tr w14:paraId="2ED18752" w14:textId="77777777">
        <w:trPr>
          <w:hidden w:val="0"/>
          <w:jc w:val="center"/>
        </w:trPr>
        <w:tc>
          <w:tcPr>
            <w:tcW w:w="4320" w:type="dxa"/>
            <w:tcMar>
              <w:left w:w="108" w:type="dxa"/>
              <w:right w:w="108" w:type="dxa"/>
              <w:top w:w="0" w:type="dxa"/>
              <w:bottom w:w="0" w:type="dxa"/>
            </w:tcMar>
            <w:tcBorders>
              <w:top w:val="single" w:sz="4" w:space="0"/>
              <w:bottom w:val="single" w:sz="4" w:space="0"/>
              <w:left w:val="single" w:sz="4" w:space="0"/>
              <w:right w:val="single" w:sz="4" w:space="0"/>
            </w:tcBorders>
          </w:tcPr>
          <w:p w14:paraId="16244363" w14:textId="77777777">
            <w:r>
              <w:rPr>
                <w:b/>
              </w:rPr>
              <w:t>PROVIDER: [Company Name]</w:t>
            </w:r>
          </w:p>
        </w:tc>
        <w:tc>
          <w:tcPr>
            <w:tcW w:w="4320" w:type="dxa"/>
            <w:tcMar>
              <w:left w:w="108" w:type="dxa"/>
              <w:right w:w="108" w:type="dxa"/>
              <w:top w:w="0" w:type="dxa"/>
              <w:bottom w:w="0" w:type="dxa"/>
            </w:tcMar>
            <w:tcBorders>
              <w:top w:val="single" w:sz="4" w:space="0"/>
              <w:bottom w:val="single" w:sz="4" w:space="0"/>
              <w:right w:val="single" w:sz="4" w:space="0"/>
            </w:tcBorders>
          </w:tcPr>
          <w:p w14:paraId="0839DC9F" w14:textId="77777777">
            <w:r>
              <w:rPr>
                <w:b/>
              </w:rPr>
              <w:t>CUSTOMER: [Customer Name]</w:t>
            </w:r>
          </w:p>
        </w:tc>
      </w:tr>
      <w:tr w14:paraId="2D771A22"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37411A2C" w14:textId="77777777">
            <w:r>
              <w:t>Signature: ___________________</w:t>
            </w:r>
          </w:p>
        </w:tc>
        <w:tc>
          <w:tcPr>
            <w:tcW w:w="4320" w:type="dxa"/>
            <w:tcMar>
              <w:left w:w="108" w:type="dxa"/>
              <w:right w:w="108" w:type="dxa"/>
              <w:top w:w="0" w:type="dxa"/>
              <w:bottom w:w="0" w:type="dxa"/>
            </w:tcMar>
            <w:tcBorders>
              <w:bottom w:val="single" w:sz="4" w:space="0"/>
              <w:right w:val="single" w:sz="4" w:space="0"/>
            </w:tcBorders>
          </w:tcPr>
          <w:p w14:paraId="5795EB77" w14:textId="77777777">
            <w:r>
              <w:t>Signature: ___________________</w:t>
            </w:r>
          </w:p>
        </w:tc>
      </w:tr>
      <w:tr w14:paraId="40530299"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4D326564" w14:textId="77777777">
            <w:r>
              <w:t>Print Name: ___________________</w:t>
            </w:r>
          </w:p>
        </w:tc>
        <w:tc>
          <w:tcPr>
            <w:tcW w:w="4320" w:type="dxa"/>
            <w:tcMar>
              <w:left w:w="108" w:type="dxa"/>
              <w:right w:w="108" w:type="dxa"/>
              <w:top w:w="0" w:type="dxa"/>
              <w:bottom w:w="0" w:type="dxa"/>
            </w:tcMar>
            <w:tcBorders>
              <w:bottom w:val="single" w:sz="4" w:space="0"/>
              <w:right w:val="single" w:sz="4" w:space="0"/>
            </w:tcBorders>
          </w:tcPr>
          <w:p w14:paraId="21687B68" w14:textId="77777777">
            <w:r>
              <w:t>Print Name: ___________________</w:t>
            </w:r>
          </w:p>
        </w:tc>
      </w:tr>
      <w:tr w14:paraId="6748E0DE"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4B977BCD" w14:textId="77777777">
            <w:r>
              <w:t>Title: ___________________</w:t>
            </w:r>
          </w:p>
        </w:tc>
        <w:tc>
          <w:tcPr>
            <w:tcW w:w="4320" w:type="dxa"/>
            <w:tcMar>
              <w:left w:w="108" w:type="dxa"/>
              <w:right w:w="108" w:type="dxa"/>
              <w:top w:w="0" w:type="dxa"/>
              <w:bottom w:w="0" w:type="dxa"/>
            </w:tcMar>
            <w:tcBorders>
              <w:bottom w:val="single" w:sz="4" w:space="0"/>
              <w:right w:val="single" w:sz="4" w:space="0"/>
            </w:tcBorders>
          </w:tcPr>
          <w:p w14:paraId="0D75479C" w14:textId="77777777">
            <w:r>
              <w:t>Title: ___________________</w:t>
            </w:r>
          </w:p>
        </w:tc>
      </w:tr>
      <w:tr w14:paraId="491C7C01"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71E7A380" w14:textId="77777777">
            <w:r>
              <w:t>Date: ___________________</w:t>
            </w:r>
          </w:p>
        </w:tc>
        <w:tc>
          <w:tcPr>
            <w:tcW w:w="4320" w:type="dxa"/>
            <w:tcMar>
              <w:left w:w="108" w:type="dxa"/>
              <w:right w:w="108" w:type="dxa"/>
              <w:top w:w="0" w:type="dxa"/>
              <w:bottom w:w="0" w:type="dxa"/>
            </w:tcMar>
            <w:tcBorders>
              <w:bottom w:val="single" w:sz="4" w:space="0"/>
              <w:right w:val="single" w:sz="4" w:space="0"/>
            </w:tcBorders>
          </w:tcPr>
          <w:p w14:paraId="5E785332" w14:textId="77777777">
            <w:r>
              <w:t>Date: ___________________</w:t>
            </w:r>
          </w:p>
        </w:tc>
      </w:tr>
    </w:tbl>
    <w:p w14:paraId="64CE2035" w14:textId="77777777">
      <w:r>
        <w:br w:type="page"/>
      </w:r>
    </w:p>
    <w:p w14:paraId="52B67608" w14:textId="77777777">
      <w:pPr>
        <w:spacing w:after="240"/>
        <w:jc w:val="center"/>
      </w:pPr>
      <w:r>
        <w:rPr>
          <w:b/>
          <w:sz w:val="24"/>
        </w:rPr>
        <w:t>STANDARD TERMS</w:t>
      </w:r>
    </w:p>
    <w:p w14:paraId="3CDAF682" w14:textId="77777777">
      <w:pPr>
        <w:pStyle w:val="Heading1"/>
      </w:pPr>
      <w:r>
        <w:rPr>
          <w:color w:val="000000"/>
        </w:rPr>
        <w:t>1</w:t>
      </w:r>
      <w:r>
        <w:rPr>
          <w:color w:val="000000"/>
        </w:rPr>
        <w:t>.  Definitions</w:t>
      </w:r>
    </w:p>
    <w:p w14:paraId="372FBEC1" w14:textId="77777777">
      <w:pPr>
        <w:spacing w:after="120"/>
      </w:pPr>
      <w:r>
        <w:t>The following terms, when used in this DPA, will have the following meanings:</w:t>
      </w:r>
    </w:p>
    <w:p w14:paraId="3DB5D0AC" w14:textId="77777777">
      <w:pPr>
        <w:spacing w:after="120"/>
      </w:pPr>
      <w:r>
        <w:t>"Controller" means the natural or legal person, public authority, agency or other body which, alone or jointly with others, determines the purposes and means of Processing of Personal Data.</w:t>
      </w:r>
    </w:p>
    <w:p w14:paraId="0313392B" w14:textId="77777777">
      <w:pPr>
        <w:spacing w:after="120"/>
      </w:pPr>
      <w:r>
        <w:t>"Customer Instructions" is defined in Section 3.1 below.</w:t>
      </w:r>
    </w:p>
    <w:p w14:paraId="1384E291" w14:textId="77777777">
      <w:pPr>
        <w:spacing w:after="120"/>
      </w:pPr>
      <w:r>
        <w:t>"Customer Personal Data" means Personal Data in Customer Data (as defined in the Agreement).</w:t>
      </w:r>
    </w:p>
    <w:p w14:paraId="6BF49424" w14:textId="77777777">
      <w:pPr>
        <w:spacing w:after="120"/>
      </w:pPr>
      <w:r>
        <w:t>"Data Protection Laws" means all laws and regulations applicable to the Processing of Customer Personal Data under the Agreement, including, as applicable: (i) the California Consumer Privacy Act, as amended by the California Privacy Rights Act, and any binding regulations promulgated thereunder ("CCPA"), (ii) the General Data Protection Regulation (Regulation (EU) 2016/679) ("EU GDPR" or "GDPR"), (iii) the Swiss Federal Act on Data Protection ("FADP"), (iv) the EU GDPR as it forms part of the law of England and Wales by virtue of section 3 of the European Union (Withdrawal) Act 2018 (the "UK GDPR") and (v) the UK Data Protection Act 2018; in each case, as updated, amended or replaced from time to time.</w:t>
      </w:r>
    </w:p>
    <w:p w14:paraId="20E41427" w14:textId="77777777">
      <w:pPr>
        <w:spacing w:after="120"/>
      </w:pPr>
      <w:r>
        <w:t>"Data Subject" means the identified or identifiable natural person to whom Customer Personal Data relates.</w:t>
      </w:r>
    </w:p>
    <w:p w14:paraId="68E5E55F" w14:textId="77777777">
      <w:pPr>
        <w:spacing w:after="120"/>
      </w:pPr>
      <w:r>
        <w:t>"EEA" means European Economic Area.</w:t>
      </w:r>
    </w:p>
    <w:p w14:paraId="569D591C" w14:textId="77777777">
      <w:pPr>
        <w:spacing w:after="120"/>
      </w:pPr>
      <w:r>
        <w:t xml:space="preserve">"Personal Data" means information about an identified or identifiable natural </w:t>
      </w:r>
      <w:r>
        <w:t>person</w:t>
      </w:r>
      <w:r>
        <w:t xml:space="preserve"> or which otherwise constitutes "personal data," "personal information," "personally identifiable information" or similar terms as defined in Data Protection Laws.</w:t>
      </w:r>
    </w:p>
    <w:p w14:paraId="6D705AB7" w14:textId="77777777">
      <w:pPr>
        <w:spacing w:after="120"/>
      </w:pPr>
      <w:r>
        <w:t>"Processing" and inflections thereof refer to any operation or set of operations that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0A550CA1" w14:textId="77777777">
      <w:pPr>
        <w:spacing w:after="120"/>
      </w:pPr>
      <w:r>
        <w:t>"Processor" means a natural or legal person, public authority, agency or other body which Processes Personal Data on behalf of the Controller.</w:t>
      </w:r>
    </w:p>
    <w:p w14:paraId="7BD2308F" w14:textId="77777777">
      <w:pPr>
        <w:spacing w:after="120"/>
      </w:pPr>
      <w:r>
        <w:t>"Restricted Transfer" means: (i) where EU GDPR applies, a transfer of Customer Personal Data from the EEA to a country outside the EEA that is not subject to an adequacy determination, (ii) where UK GDPR applies, a transfer of Customer Personal Data from the United Kingdom to any other country that is not subject to an adequacy determination or (iii) where FADP applies, a transfer of Customer Personal Data from Switzerland to any other country that is not subject to an adequacy determination.</w:t>
      </w:r>
    </w:p>
    <w:p w14:paraId="499DE75E" w14:textId="77777777">
      <w:pPr>
        <w:spacing w:after="120"/>
      </w:pPr>
      <w:r>
        <w:t xml:space="preserve">"Security Incident" means any breach of security that leads to </w:t>
      </w:r>
      <w:r>
        <w:t>the accidental</w:t>
      </w:r>
      <w:r>
        <w:t xml:space="preserve"> or unlawful destruction, loss, alteration, unauthorized disclosure of, or access to, Customer Personal Data being Processed by Provider.</w:t>
      </w:r>
    </w:p>
    <w:p w14:paraId="49C1E015" w14:textId="77777777">
      <w:pPr>
        <w:spacing w:after="120"/>
      </w:pPr>
      <w:r>
        <w:t>"Subprocessor" means any third party authorized by Provider to Process any Customer Personal Data.</w:t>
      </w:r>
    </w:p>
    <w:p w14:paraId="2DBE64CA" w14:textId="77777777">
      <w:pPr>
        <w:pStyle w:val="Heading1"/>
      </w:pPr>
      <w:r>
        <w:rPr>
          <w:color w:val="000000"/>
        </w:rPr>
        <w:t>2</w:t>
      </w:r>
      <w:r>
        <w:rPr>
          <w:color w:val="000000"/>
        </w:rPr>
        <w:t>.  Scope</w:t>
      </w:r>
      <w:r>
        <w:rPr>
          <w:color w:val="000000"/>
        </w:rPr>
        <w:t xml:space="preserve"> and Duration</w:t>
      </w:r>
    </w:p>
    <w:p w14:paraId="7C2D6715" w14:textId="77777777">
      <w:pPr>
        <w:spacing w:after="120"/>
      </w:pPr>
      <w:r>
        <w:rPr>
          <w:b/>
        </w:rPr>
        <w:t>2.1  Roles</w:t>
      </w:r>
      <w:r>
        <w:rPr>
          <w:b/>
        </w:rPr>
        <w:t xml:space="preserve"> of the Parties.</w:t>
      </w:r>
    </w:p>
    <w:p w14:paraId="74D87854" w14:textId="77777777">
      <w:pPr>
        <w:spacing w:after="80"/>
      </w:pPr>
      <w:r>
        <w:rPr>
          <w:i/>
          <w:color w:val="FF0000"/>
          <w:sz w:val="18"/>
        </w:rPr>
        <w:t>[Drafting Note: AGENT DECISION POINT — Provider Role: Determine whether Provider acts as Processor or Subprocessor, then select one option below and delete the other.</w:t>
      </w:r>
      <w:r>
        <w:rPr>
          <w:i/>
          <w:color w:val="FF0000"/>
          <w:sz w:val="18"/>
        </w:rPr>
        <w:br/>
      </w:r>
      <w:r>
        <w:rPr>
          <w:i/>
          <w:color w:val="FF0000"/>
          <w:sz w:val="18"/>
        </w:rPr>
        <w:t>Option A — Provider as Processor: Customer is the Controller (end business using the service for its own data). This is the standard position for direct SaaS sales.</w:t>
      </w:r>
      <w:r>
        <w:rPr>
          <w:i/>
          <w:color w:val="FF0000"/>
          <w:sz w:val="18"/>
        </w:rPr>
        <w:br/>
      </w:r>
      <w:r>
        <w:rPr>
          <w:i/>
          <w:color w:val="FF0000"/>
          <w:sz w:val="18"/>
        </w:rPr>
        <w:t>Option B — Provider as Subprocessor: Customer is itself a Processor (i.e., processing data on behalf of its own customers). Provider is then a Subprocessor. If Option B, ensure Schedule 3 uses Module 3 (Processor to Sub-Processor) SCCs.]</w:t>
      </w:r>
    </w:p>
    <w:p w14:paraId="2F8D1757" w14:textId="77777777">
      <w:pPr>
        <w:spacing w:after="40"/>
      </w:pPr>
      <w:r>
        <w:rPr>
          <w:b/>
          <w:color w:val="00467F"/>
        </w:rPr>
        <w:t>Option A — Provider as Processor (Standard):</w:t>
      </w:r>
    </w:p>
    <w:p w14:paraId="52C542F0" w14:textId="77777777">
      <w:pPr>
        <w:spacing w:after="40"/>
        <w:ind w:left="360"/>
      </w:pPr>
      <w:r>
        <w:t xml:space="preserve">This DPA applies to Provider as a Processor of Customer Personal Data and to Customer as a Controller of Customer Personal Data.  Customer, as Controller, determines the purposes and means of </w:t>
      </w:r>
      <w:r>
        <w:t>Processing;</w:t>
      </w:r>
      <w:r>
        <w:t xml:space="preserve"> Provider Processes Customer Personal Data only on Customer's documented instructions.</w:t>
      </w:r>
    </w:p>
    <w:p w14:paraId="74A5E553" w14:textId="77777777">
      <w:pPr>
        <w:spacing w:after="120"/>
        <w:ind w:left="360"/>
      </w:pPr>
      <w:r>
        <w:rPr>
          <w:i/>
          <w:color w:val="FF0000"/>
          <w:sz w:val="18"/>
        </w:rPr>
        <w:t>[Select when: Customer is the end-business using the service for its own operational data; most common SaaS arrangement]</w:t>
      </w:r>
    </w:p>
    <w:p w14:paraId="1B5B8FD3" w14:textId="77777777">
      <w:pPr>
        <w:spacing w:after="40"/>
      </w:pPr>
      <w:r>
        <w:rPr>
          <w:b/>
          <w:color w:val="00467F"/>
        </w:rPr>
        <w:t>Option B — Provider as Subprocessor:</w:t>
      </w:r>
    </w:p>
    <w:p w14:paraId="22A95012" w14:textId="77777777">
      <w:pPr>
        <w:spacing w:after="40"/>
        <w:ind w:left="360"/>
      </w:pPr>
      <w:r>
        <w:t>This DPA applies to Provider as a Subprocessor of Customer Personal Data and to Customer as a Processor of Customer Personal Data.  Customer Processes Customer Personal Data on behalf of Customer's own customers (Controllers), and Provider Processes Customer Personal Data only on Customer's documented instructions as a Subprocessor.</w:t>
      </w:r>
    </w:p>
    <w:p w14:paraId="547181C7" w14:textId="77777777">
      <w:pPr>
        <w:spacing w:after="120"/>
        <w:ind w:left="360"/>
      </w:pPr>
      <w:r>
        <w:rPr>
          <w:i/>
          <w:color w:val="FF0000"/>
          <w:sz w:val="18"/>
        </w:rPr>
        <w:t>[Select when: Customer is itself a Processor (e.g., a software company or service provider processing its own customers' data through Provider's service); update Schedule 3 to use Module 3 SCCs]</w:t>
      </w:r>
    </w:p>
    <w:p w14:paraId="218C94D3" w14:textId="77777777">
      <w:pPr>
        <w:spacing w:after="120"/>
      </w:pPr>
      <w:r>
        <w:rPr>
          <w:b/>
        </w:rPr>
        <w:t>2.2  Scope</w:t>
      </w:r>
      <w:r>
        <w:rPr>
          <w:b/>
        </w:rPr>
        <w:t xml:space="preserve"> of DPA.</w:t>
      </w:r>
    </w:p>
    <w:p w14:paraId="29361ADA" w14:textId="77777777">
      <w:pPr>
        <w:spacing w:after="120"/>
      </w:pPr>
      <w:r>
        <w:t>This DPA applies to Provider's Processing of Customer Personal Data under the Agreement to the extent such Processing is subject to Data Protection Laws.  This DPA is governed by the governing law of the Agreement unless otherwise required by Data Protection Laws or as specified on the Cover Page.</w:t>
      </w:r>
    </w:p>
    <w:p w14:paraId="1BB0D984" w14:textId="77777777">
      <w:pPr>
        <w:spacing w:after="120"/>
      </w:pPr>
      <w:r>
        <w:rPr>
          <w:b/>
        </w:rPr>
        <w:t>2.3  Duration</w:t>
      </w:r>
      <w:r>
        <w:rPr>
          <w:b/>
        </w:rPr>
        <w:t xml:space="preserve"> of DPA.</w:t>
      </w:r>
    </w:p>
    <w:p w14:paraId="6A9558E5" w14:textId="77777777">
      <w:pPr>
        <w:spacing w:after="120"/>
      </w:pPr>
      <w:r>
        <w:t>This DPA commences on the DPA Effective Date and terminates upon expiration or termination of the Agreement (or, if later, the date on which Provider has ceased all Processing of Customer Personal Data).</w:t>
      </w:r>
    </w:p>
    <w:p w14:paraId="7E802F04" w14:textId="77777777">
      <w:pPr>
        <w:spacing w:after="120"/>
      </w:pPr>
      <w:r>
        <w:rPr>
          <w:b/>
        </w:rPr>
        <w:t>2.4  Order</w:t>
      </w:r>
      <w:r>
        <w:rPr>
          <w:b/>
        </w:rPr>
        <w:t xml:space="preserve"> of Precedence.</w:t>
      </w:r>
    </w:p>
    <w:p w14:paraId="1698A6E4" w14:textId="77777777">
      <w:pPr>
        <w:spacing w:after="120"/>
      </w:pPr>
      <w:r>
        <w:t>In the event of any conflict or inconsistency among the following documents, the order of precedence will be: (1) any Standard Contractual Clauses or other measures to which the Parties have agreed in Schedule 3 (Cross-Border Transfer Mechanisms) or Schedule 4 (Region-Specific Terms), (2) this DPA and (3) the Agreement.  To the fullest extent permitted by Data Protection Laws, any claims brought in connection with this DPA (including its Schedules) will be subject to the terms and conditions, including, but not limited to, the exclusions and limitations, set forth in the Agreement.</w:t>
      </w:r>
    </w:p>
    <w:p w14:paraId="794724CF" w14:textId="77777777">
      <w:pPr>
        <w:pStyle w:val="Heading1"/>
      </w:pPr>
      <w:r>
        <w:rPr>
          <w:color w:val="000000"/>
        </w:rPr>
        <w:t>3</w:t>
      </w:r>
      <w:r>
        <w:rPr>
          <w:color w:val="000000"/>
        </w:rPr>
        <w:t>.  Processing</w:t>
      </w:r>
      <w:r>
        <w:rPr>
          <w:color w:val="000000"/>
        </w:rPr>
        <w:t xml:space="preserve"> of Personal Data</w:t>
      </w:r>
    </w:p>
    <w:p w14:paraId="395C0AF1" w14:textId="77777777">
      <w:pPr>
        <w:spacing w:after="120"/>
      </w:pPr>
      <w:r>
        <w:rPr>
          <w:b/>
        </w:rPr>
        <w:t>3.1  Customer</w:t>
      </w:r>
      <w:r>
        <w:rPr>
          <w:b/>
        </w:rPr>
        <w:t xml:space="preserve"> Instructions.</w:t>
      </w:r>
    </w:p>
    <w:p w14:paraId="1B1C8F34" w14:textId="77777777">
      <w:pPr>
        <w:spacing w:after="120"/>
      </w:pPr>
      <w:r>
        <w:t>(a</w:t>
      </w:r>
      <w:r>
        <w:t>)  Provider</w:t>
      </w:r>
      <w:r>
        <w:t xml:space="preserve"> will Process Customer Personal Data as a Processor only: (i) in accordance with Customer Instructions or (ii) to comply with Provider's obligations under applicable laws, subject to any notice requirements under Data Protection Laws.</w:t>
      </w:r>
    </w:p>
    <w:p w14:paraId="31AE7497" w14:textId="77777777">
      <w:pPr>
        <w:spacing w:after="120"/>
      </w:pPr>
      <w:r>
        <w:t>(b</w:t>
      </w:r>
      <w:r>
        <w:t>)  "</w:t>
      </w:r>
      <w:r>
        <w:t>Customer Instructions" means: (i) Processing to provide the Cloud Service and perform Provider's obligations in the Agreement (including this DPA) and (ii) other reasonable documented instructions of Customer consistent with the terms of the Agreement.</w:t>
      </w:r>
    </w:p>
    <w:p w14:paraId="0CBB8F43" w14:textId="77777777">
      <w:pPr>
        <w:spacing w:after="120"/>
      </w:pPr>
      <w:r>
        <w:t>(c</w:t>
      </w:r>
      <w:r>
        <w:t>)  Details</w:t>
      </w:r>
      <w:r>
        <w:t xml:space="preserve"> regarding the Processing of Customer Personal Data by Provider are set forth in Schedule 1 (Subject Matter and Details of Processing).</w:t>
      </w:r>
    </w:p>
    <w:p w14:paraId="1273BEFB" w14:textId="77777777">
      <w:pPr>
        <w:spacing w:after="120"/>
      </w:pPr>
      <w:r>
        <w:t>(d</w:t>
      </w:r>
      <w:r>
        <w:t>)  Provider</w:t>
      </w:r>
      <w:r>
        <w:t xml:space="preserve"> will notify Customer if it receives an instruction that Provider reasonably determines </w:t>
      </w:r>
      <w:r>
        <w:t>infringes</w:t>
      </w:r>
      <w:r>
        <w:t xml:space="preserve"> Data Protection Laws (but Provider has no obligation to actively monitor Customer's compliance with Data Protection Laws).</w:t>
      </w:r>
    </w:p>
    <w:p w14:paraId="7D725B27" w14:textId="77777777">
      <w:pPr>
        <w:spacing w:after="120"/>
      </w:pPr>
      <w:r>
        <w:rPr>
          <w:b/>
        </w:rPr>
        <w:t>3.2  Confidentiality</w:t>
      </w:r>
      <w:r>
        <w:rPr>
          <w:b/>
        </w:rPr>
        <w:t>.</w:t>
      </w:r>
    </w:p>
    <w:p w14:paraId="271FDB4F" w14:textId="77777777">
      <w:pPr>
        <w:spacing w:after="120"/>
      </w:pPr>
      <w:r>
        <w:t>(a)  Provider will protect Customer Personal Data in accordance with its confidentiality obligations as set forth in the Agreement.</w:t>
      </w:r>
    </w:p>
    <w:p w14:paraId="0C2D2E29" w14:textId="77777777">
      <w:pPr>
        <w:spacing w:after="120"/>
      </w:pPr>
      <w:r>
        <w:t>(b</w:t>
      </w:r>
      <w:r>
        <w:t>)  Provider</w:t>
      </w:r>
      <w:r>
        <w:t xml:space="preserve"> will ensure personnel who Process Customer Personal Data either enter into written confidentiality agreements or are subject to statutory obligations of confidentiality.</w:t>
      </w:r>
    </w:p>
    <w:p w14:paraId="3C5080CF" w14:textId="77777777">
      <w:pPr>
        <w:spacing w:after="120"/>
      </w:pPr>
      <w:r>
        <w:rPr>
          <w:b/>
        </w:rPr>
        <w:t>3.3  Compliance</w:t>
      </w:r>
      <w:r>
        <w:rPr>
          <w:b/>
        </w:rPr>
        <w:t xml:space="preserve"> with Laws.</w:t>
      </w:r>
    </w:p>
    <w:p w14:paraId="776A5B97" w14:textId="77777777">
      <w:pPr>
        <w:spacing w:after="120"/>
      </w:pPr>
      <w:r>
        <w:t>(a</w:t>
      </w:r>
      <w:r>
        <w:t>)  Provider</w:t>
      </w:r>
      <w:r>
        <w:t xml:space="preserve"> and Customer will each comply with Data Protection Laws in their respective Processing of Customer Personal Data.</w:t>
      </w:r>
    </w:p>
    <w:p w14:paraId="46489A41" w14:textId="77777777">
      <w:pPr>
        <w:spacing w:after="120"/>
      </w:pPr>
      <w:r>
        <w:t>(b</w:t>
      </w:r>
      <w:r>
        <w:t>)  Customer</w:t>
      </w:r>
      <w:r>
        <w:t xml:space="preserve"> will comply with Data Protection Laws in its issuing of Customer Instructions to Provider.  Customer will ensure that it has established all necessary lawful bases under Data Protection Laws to enable Provider to lawfully Process Customer Personal Data for the purposes contemplated by the Agreement (including this DPA), including, as applicable, by obtaining all necessary consents from, and giving all necessary notices to, Data Subjects.</w:t>
      </w:r>
    </w:p>
    <w:p w14:paraId="6A5286C1" w14:textId="77777777">
      <w:pPr>
        <w:spacing w:after="120"/>
      </w:pPr>
      <w:r>
        <w:rPr>
          <w:b/>
        </w:rPr>
        <w:t>3.4  AI</w:t>
      </w:r>
      <w:r>
        <w:rPr>
          <w:b/>
        </w:rPr>
        <w:t xml:space="preserve"> and Machine Learning Processing.</w:t>
      </w:r>
    </w:p>
    <w:p w14:paraId="7B087D77" w14:textId="77777777">
      <w:pPr>
        <w:spacing w:after="120"/>
      </w:pPr>
      <w:r>
        <w:t>To the extent that Provider's performance of the Agreement involves the use of artificial intelligence or machine learning in connection with Customer Personal Data, such Processing will be governed by the applicable machine learning provisions of the Agreement (including Section 4.4 of the Agreement) and is subject to the following:</w:t>
      </w:r>
    </w:p>
    <w:p w14:paraId="0FC238E4" w14:textId="77777777">
      <w:pPr>
        <w:spacing w:after="120"/>
      </w:pPr>
      <w:r>
        <w:t>(a)  Provider will not use Customer Personal Data to train, develop, or improve any machine learning models or algorithms except as expressly permitted under the Agreement.</w:t>
      </w:r>
    </w:p>
    <w:p w14:paraId="290D43A5" w14:textId="77777777">
      <w:pPr>
        <w:spacing w:after="120"/>
      </w:pPr>
      <w:r>
        <w:t>(b)  Where the Agreement permits Provider to use Customer Data for machine learning training purposes, Provider will anonymize and de-identify all Customer Personal Data prior to such use such that it cannot reasonably be used to identify any Data Subject, and such anonymized data will not constitute Customer Personal Data for purposes of this DPA.</w:t>
      </w:r>
    </w:p>
    <w:p w14:paraId="7CE8C8FC" w14:textId="77777777">
      <w:pPr>
        <w:spacing w:after="120"/>
      </w:pPr>
      <w:r>
        <w:t xml:space="preserve">(c)  Provider's use of machine learning to provide the Cloud Service (i.e., running inference on Customer Personal Data to deliver the service functionality) is Processing under this DPA and subject to </w:t>
      </w:r>
      <w:r>
        <w:t>all of</w:t>
      </w:r>
      <w:r>
        <w:t xml:space="preserve"> its terms.</w:t>
      </w:r>
    </w:p>
    <w:p w14:paraId="097366A8" w14:textId="77777777">
      <w:pPr>
        <w:spacing w:after="80"/>
      </w:pPr>
      <w:r>
        <w:rPr>
          <w:i/>
          <w:color w:val="FF0000"/>
          <w:sz w:val="18"/>
        </w:rPr>
        <w:t xml:space="preserve">[Drafting Note: This section is designed to work in tandem with Agreement §4.4 (Usage Data).  The commercial rights grant (whether Provider may train on customer data, and under what conditions) lives in the MSA.  This section </w:t>
      </w:r>
      <w:r>
        <w:rPr>
          <w:i/>
          <w:color w:val="FF0000"/>
          <w:sz w:val="18"/>
        </w:rPr>
        <w:t>addresses the data protection requirements that apply to whichever option was selected.  If the Agreement does not permit Customer Data training, subsection (b) above may be unnecessary but is harmless to retain.]</w:t>
      </w:r>
    </w:p>
    <w:p w14:paraId="2B35FF4B" w14:textId="77777777">
      <w:pPr>
        <w:spacing w:after="120"/>
      </w:pPr>
      <w:r>
        <w:rPr>
          <w:b/>
        </w:rPr>
        <w:t>3.5  Changes</w:t>
      </w:r>
      <w:r>
        <w:rPr>
          <w:b/>
        </w:rPr>
        <w:t xml:space="preserve"> to Laws.</w:t>
      </w:r>
    </w:p>
    <w:p w14:paraId="518FA5EE" w14:textId="77777777">
      <w:pPr>
        <w:spacing w:after="120"/>
      </w:pPr>
      <w:r>
        <w:t>The Parties will work together in good faith to negotiate an amendment to this DPA as either Party reasonably considers necessary to address the requirements of Data Protection Laws from time to time.</w:t>
      </w:r>
    </w:p>
    <w:p w14:paraId="0EDD7275" w14:textId="77777777">
      <w:pPr>
        <w:pStyle w:val="Heading1"/>
      </w:pPr>
      <w:r>
        <w:rPr>
          <w:color w:val="000000"/>
        </w:rPr>
        <w:t>4</w:t>
      </w:r>
      <w:r>
        <w:rPr>
          <w:color w:val="000000"/>
        </w:rPr>
        <w:t>.  Subprocessors</w:t>
      </w:r>
    </w:p>
    <w:p w14:paraId="607CA18F" w14:textId="77777777">
      <w:pPr>
        <w:spacing w:after="120"/>
      </w:pPr>
      <w:r>
        <w:rPr>
          <w:b/>
        </w:rPr>
        <w:t>4.1  Use</w:t>
      </w:r>
      <w:r>
        <w:rPr>
          <w:b/>
        </w:rPr>
        <w:t xml:space="preserve"> of Subprocessors.</w:t>
      </w:r>
    </w:p>
    <w:p w14:paraId="284EC77D" w14:textId="77777777">
      <w:pPr>
        <w:spacing w:after="80"/>
      </w:pPr>
      <w:r>
        <w:rPr>
          <w:i/>
          <w:color w:val="FF0000"/>
          <w:sz w:val="18"/>
        </w:rPr>
        <w:t>[Drafting Note: AGENT DECISION POINT — Subprocessor Authorization: Select Option A (standard/general authorization) or Option B (specific prior authorization). Option A is the standard position for growth-stage SaaS vendors.  Option B significantly constrains operational flexibility and should be resisted unless the customer is in a regulated industry with genuine operational need.  Delete the unselected option.]</w:t>
      </w:r>
    </w:p>
    <w:p w14:paraId="7147C665" w14:textId="77777777">
      <w:pPr>
        <w:spacing w:after="40"/>
      </w:pPr>
      <w:r>
        <w:rPr>
          <w:b/>
          <w:color w:val="00467F"/>
        </w:rPr>
        <w:t>Option A — General Authorization (Standard):</w:t>
      </w:r>
    </w:p>
    <w:p w14:paraId="69931589" w14:textId="77777777">
      <w:pPr>
        <w:spacing w:after="40"/>
        <w:ind w:left="360"/>
      </w:pPr>
      <w:r>
        <w:t xml:space="preserve">(a)  Customer generally authorizes Provider to engage Subprocessors to Process Customer Personal Data.  Customer further agrees that Provider may engage its Affiliates as Subprocessors.  Provider will: (i) enter into a written agreement with each Subprocessor imposing data Processing and </w:t>
      </w:r>
      <w:r>
        <w:t>protection</w:t>
      </w:r>
      <w:r>
        <w:t xml:space="preserve"> obligations substantially the same as those set out in this DPA and (ii) remain liable for compliance with the obligations of this DPA and for any acts or omissions of a Subprocessor that cause Provider to breach any of its obligations under this DPA.</w:t>
      </w:r>
    </w:p>
    <w:p w14:paraId="4AAE2AEB" w14:textId="77777777">
      <w:pPr>
        <w:spacing w:after="120"/>
        <w:ind w:left="360"/>
      </w:pPr>
      <w:r>
        <w:rPr>
          <w:i/>
          <w:color w:val="FF0000"/>
          <w:sz w:val="18"/>
        </w:rPr>
        <w:t>[Select when: Standard SaaS vendor position; supports operational flexibility; Customer retains objection rights under Section 4.4]</w:t>
      </w:r>
    </w:p>
    <w:p w14:paraId="16B166C5" w14:textId="77777777">
      <w:pPr>
        <w:spacing w:after="40"/>
      </w:pPr>
      <w:r>
        <w:rPr>
          <w:b/>
          <w:color w:val="00467F"/>
        </w:rPr>
        <w:t>Option B — Specific Prior Written Authorization:</w:t>
      </w:r>
    </w:p>
    <w:p w14:paraId="2EC04E89" w14:textId="77777777">
      <w:pPr>
        <w:spacing w:after="40"/>
        <w:ind w:left="360"/>
      </w:pPr>
      <w:r>
        <w:t xml:space="preserve">(a)  Provider will not engage any Subprocessor to Process Customer Personal Data without Customer's prior specific written authorization.  The Subprocessors listed in the Subprocessor List as of the DPA Effective Date are hereby authorized.  Provider will: (i) enter into a written agreement with each Subprocessor imposing data Processing and </w:t>
      </w:r>
      <w:r>
        <w:t>protection</w:t>
      </w:r>
      <w:r>
        <w:t xml:space="preserve"> obligations substantially the same as those set out in this DPA and (ii) remain liable for compliance with the obligations of this DPA and for any acts or omissions of a Subprocessor that cause Provider to breach any of its obligations under this DPA.</w:t>
      </w:r>
    </w:p>
    <w:p w14:paraId="2291B5BD" w14:textId="77777777">
      <w:pPr>
        <w:spacing w:after="120"/>
        <w:ind w:left="360"/>
      </w:pPr>
      <w:r>
        <w:rPr>
          <w:i/>
          <w:color w:val="FF0000"/>
          <w:sz w:val="18"/>
        </w:rPr>
        <w:t>[Select when: Enterprise customer with strict subprocessor controls, highly regulated industry (financial services, healthcare), or explicit contractual requirement; operationally burdensome — negotiate to limit to 'material' Subprocessors or those processing sensitive data categories]</w:t>
      </w:r>
    </w:p>
    <w:p w14:paraId="4AF5D094" w14:textId="77777777">
      <w:pPr>
        <w:spacing w:after="120"/>
      </w:pPr>
      <w:r>
        <w:rPr>
          <w:b/>
        </w:rPr>
        <w:t>4.2  Subprocessor</w:t>
      </w:r>
      <w:r>
        <w:rPr>
          <w:b/>
        </w:rPr>
        <w:t xml:space="preserve"> List.</w:t>
      </w:r>
    </w:p>
    <w:p w14:paraId="534F8B17" w14:textId="77777777">
      <w:pPr>
        <w:spacing w:after="120"/>
      </w:pPr>
      <w:r>
        <w:t>Provider will maintain an up-to-date list of its Subprocessors, including their functions and locations, as specified in the Subprocessor List identified on the Cover Page.</w:t>
      </w:r>
    </w:p>
    <w:p w14:paraId="2D97DC94" w14:textId="77777777">
      <w:pPr>
        <w:spacing w:after="120"/>
      </w:pPr>
      <w:r>
        <w:rPr>
          <w:b/>
        </w:rPr>
        <w:t>4.3  Notice</w:t>
      </w:r>
      <w:r>
        <w:rPr>
          <w:b/>
        </w:rPr>
        <w:t xml:space="preserve"> of New Subprocessors.</w:t>
      </w:r>
    </w:p>
    <w:p w14:paraId="35F5F0D5" w14:textId="77777777">
      <w:pPr>
        <w:spacing w:after="120"/>
      </w:pPr>
      <w:r>
        <w:t>Provider may update the Subprocessor List from time to time.  At least 30 days (or such other period as specified on the Cover Page) before any new Subprocessor Processes any Customer Personal Data, Provider will add such Subprocessor to the Subprocessor List and notify Customer through email or other means specified on the Cover Page.</w:t>
      </w:r>
    </w:p>
    <w:p w14:paraId="3724F7C4" w14:textId="77777777">
      <w:pPr>
        <w:spacing w:after="120"/>
      </w:pPr>
      <w:r>
        <w:rPr>
          <w:b/>
        </w:rPr>
        <w:t>4.4  Objection</w:t>
      </w:r>
      <w:r>
        <w:rPr>
          <w:b/>
        </w:rPr>
        <w:t xml:space="preserve"> to New Subprocessors.</w:t>
      </w:r>
    </w:p>
    <w:p w14:paraId="2041F29F" w14:textId="77777777">
      <w:pPr>
        <w:spacing w:after="120"/>
      </w:pPr>
      <w:r>
        <w:t>(a)  If</w:t>
      </w:r>
      <w:r>
        <w:t>, within 30 days after notice of a new Subprocessor, Customer notifies Provider in writing that Customer objects to Provider's appointment of such new Subprocessor based on reasonable data protection concerns, the Parties will discuss such concerns in good faith.</w:t>
      </w:r>
    </w:p>
    <w:p w14:paraId="1D057E21" w14:textId="77777777">
      <w:pPr>
        <w:spacing w:after="120"/>
      </w:pPr>
      <w:r>
        <w:t>(b</w:t>
      </w:r>
      <w:r>
        <w:t>)  If</w:t>
      </w:r>
      <w:r>
        <w:t xml:space="preserve"> the Parties are unable to reach a mutually agreeable resolution to Customer's objection to a new Subprocessor, Customer, as its sole and exclusive remedy, may terminate the Order Form for the affected Cloud Service for convenience and Provider will refund any prepaid, unused fees for the terminated portion of the Subscription Term.</w:t>
      </w:r>
    </w:p>
    <w:p w14:paraId="76C46C96" w14:textId="77777777">
      <w:pPr>
        <w:pStyle w:val="Heading1"/>
      </w:pPr>
      <w:r>
        <w:rPr>
          <w:color w:val="000000"/>
        </w:rPr>
        <w:t>5</w:t>
      </w:r>
      <w:r>
        <w:rPr>
          <w:color w:val="000000"/>
        </w:rPr>
        <w:t>.  Security</w:t>
      </w:r>
    </w:p>
    <w:p w14:paraId="6886A3F6" w14:textId="77777777">
      <w:pPr>
        <w:spacing w:after="120"/>
      </w:pPr>
      <w:r>
        <w:rPr>
          <w:b/>
        </w:rPr>
        <w:t>5.1  Security</w:t>
      </w:r>
      <w:r>
        <w:rPr>
          <w:b/>
        </w:rPr>
        <w:t xml:space="preserve"> Measures.</w:t>
      </w:r>
    </w:p>
    <w:p w14:paraId="104CFCBF" w14:textId="77777777">
      <w:pPr>
        <w:spacing w:after="120"/>
      </w:pPr>
      <w:r>
        <w:t>Provider will implement and maintain reasonable and appropriate technical and organizational measures, procedures and practices, as appropriate to the nature of the Customer Personal Data, that are designed to protect the security, confidentiality, integrity and availability of Customer Personal Data and protect against Security Incidents, in accordance with Provider's security program described in the Agreement and as further described in Schedule 2 (Technical and Organizational Measures).  Provider will regularly monitor its compliance with its security measures.  Provider will not materially diminish the overall security of the Cloud Service during the term of the Agreement.</w:t>
      </w:r>
    </w:p>
    <w:p w14:paraId="7488DFD5" w14:textId="77777777">
      <w:pPr>
        <w:spacing w:after="80"/>
      </w:pPr>
      <w:r>
        <w:rPr>
          <w:i/>
          <w:color w:val="FF0000"/>
          <w:sz w:val="18"/>
        </w:rPr>
        <w:t>[Drafting Note: This section cross-references the Agreement's data security provisions and Schedule 2 to this DPA.  Schedule 2 contains the GDPR-specific TOMs description required for SCC Annex II.  The Agreement's body (e.g., §2.3) contains the broader security commitment.  Ensure both are consistent.]</w:t>
      </w:r>
    </w:p>
    <w:p w14:paraId="41FFF447" w14:textId="77777777">
      <w:pPr>
        <w:spacing w:after="120"/>
      </w:pPr>
      <w:r>
        <w:rPr>
          <w:b/>
        </w:rPr>
        <w:t>5.2  Security</w:t>
      </w:r>
      <w:r>
        <w:rPr>
          <w:b/>
        </w:rPr>
        <w:t xml:space="preserve"> Incident Notification and Response.</w:t>
      </w:r>
    </w:p>
    <w:p w14:paraId="134B120D" w14:textId="77777777">
      <w:pPr>
        <w:spacing w:after="120"/>
      </w:pPr>
      <w:r>
        <w:t>(a)  Provider will implement and follow procedures to detect and respond to Security Incidents.</w:t>
      </w:r>
    </w:p>
    <w:p w14:paraId="4200306C" w14:textId="77777777">
      <w:pPr>
        <w:spacing w:after="120"/>
      </w:pPr>
      <w:r>
        <w:t>(b)  Provider will: (i) notify Customer without undue delay and, in any event, not later than the Breach Notification Period specified on the Cover Page, after becoming aware of a Security Incident affecting Customer and (ii) make reasonable efforts to identify the cause of the Security Incident, mitigate the effects and remediate the cause to the extent within Provider's reasonable control.</w:t>
      </w:r>
    </w:p>
    <w:p w14:paraId="1C4E85D0" w14:textId="77777777">
      <w:pPr>
        <w:spacing w:after="120"/>
      </w:pPr>
      <w:r>
        <w:t xml:space="preserve">(c)  Upon Customer's request and </w:t>
      </w:r>
      <w:r>
        <w:t>taking into account</w:t>
      </w:r>
      <w:r>
        <w:t xml:space="preserve"> the nature of the applicable Processing, Provider will assist Customer by providing, when available, information reasonably necessary for Customer to meet its Security Incident notification obligations under Data Protection Laws.</w:t>
      </w:r>
    </w:p>
    <w:p w14:paraId="0B704998" w14:textId="77777777">
      <w:pPr>
        <w:spacing w:after="120"/>
      </w:pPr>
      <w:r>
        <w:t>(d</w:t>
      </w:r>
      <w:r>
        <w:t>)  Customer</w:t>
      </w:r>
      <w:r>
        <w:t xml:space="preserve"> acknowledges that Provider's notification of a Security Incident is not an acknowledgement by Provider of its fault or liability.</w:t>
      </w:r>
    </w:p>
    <w:p w14:paraId="6DC3F534" w14:textId="77777777">
      <w:pPr>
        <w:spacing w:after="120"/>
      </w:pPr>
      <w:r>
        <w:t>(e</w:t>
      </w:r>
      <w:r>
        <w:t>)  Security</w:t>
      </w:r>
      <w:r>
        <w:t xml:space="preserve"> Incidents do not include unsuccessful attempts or activities that do not compromise the security of Customer Personal Data, including unsuccessful login attempts, pings, port scans, denial of service attacks or other network attacks on firewalls or networked systems.</w:t>
      </w:r>
    </w:p>
    <w:p w14:paraId="11A2B372" w14:textId="77777777">
      <w:pPr>
        <w:spacing w:after="120"/>
      </w:pPr>
      <w:r>
        <w:rPr>
          <w:b/>
        </w:rPr>
        <w:t>5.3  Customer</w:t>
      </w:r>
      <w:r>
        <w:rPr>
          <w:b/>
        </w:rPr>
        <w:t xml:space="preserve"> Responsibilities.</w:t>
      </w:r>
    </w:p>
    <w:p w14:paraId="29CAD117" w14:textId="77777777">
      <w:pPr>
        <w:spacing w:after="120"/>
      </w:pPr>
      <w:r>
        <w:t>(a)  Customer is responsible for reviewing the information made available by Provider relating to data security and making an independent determination as to whether the Cloud Service meets Customer's requirements and legal obligations under Data Protection Laws.</w:t>
      </w:r>
    </w:p>
    <w:p w14:paraId="64C42D6E" w14:textId="77777777">
      <w:pPr>
        <w:spacing w:after="120"/>
      </w:pPr>
      <w:r>
        <w:t>(b)  Customer is solely responsible for complying with Security Incident notification laws applicable to Customer and fulfilling any obligations to give notices to government authorities, affected individuals or others relating to any Security Incidents.</w:t>
      </w:r>
    </w:p>
    <w:p w14:paraId="550FB924" w14:textId="77777777">
      <w:pPr>
        <w:pStyle w:val="Heading1"/>
      </w:pPr>
      <w:r>
        <w:rPr>
          <w:color w:val="000000"/>
        </w:rPr>
        <w:t>6</w:t>
      </w:r>
      <w:r>
        <w:rPr>
          <w:color w:val="000000"/>
        </w:rPr>
        <w:t>.  Data</w:t>
      </w:r>
      <w:r>
        <w:rPr>
          <w:color w:val="000000"/>
        </w:rPr>
        <w:t xml:space="preserve"> Protection Impact Assessment</w:t>
      </w:r>
    </w:p>
    <w:p w14:paraId="573E6E4C" w14:textId="77777777">
      <w:pPr>
        <w:spacing w:after="120"/>
      </w:pPr>
      <w:r>
        <w:t>Upon Customer's request and taking into account the nature of the applicable Processing, to the extent such information is available to Provider, Provider will assist Customer in fulfilling Customer's obligations under Data Protection Laws to carry out a data protection impact or similar risk assessment related to Customer's use of the Cloud Service, including, if required by Data Protection Laws, by assisting Customer in consultations with relevant government authorities.</w:t>
      </w:r>
    </w:p>
    <w:p w14:paraId="111A39BF" w14:textId="77777777">
      <w:pPr>
        <w:pStyle w:val="Heading1"/>
      </w:pPr>
      <w:r>
        <w:rPr>
          <w:color w:val="000000"/>
        </w:rPr>
        <w:t>7</w:t>
      </w:r>
      <w:r>
        <w:rPr>
          <w:color w:val="000000"/>
        </w:rPr>
        <w:t>.  Data</w:t>
      </w:r>
      <w:r>
        <w:rPr>
          <w:color w:val="000000"/>
        </w:rPr>
        <w:t xml:space="preserve"> Subject Requests</w:t>
      </w:r>
    </w:p>
    <w:p w14:paraId="36260996" w14:textId="77777777">
      <w:pPr>
        <w:spacing w:after="120"/>
      </w:pPr>
      <w:r>
        <w:rPr>
          <w:b/>
        </w:rPr>
        <w:t>7.1  Assisting</w:t>
      </w:r>
      <w:r>
        <w:rPr>
          <w:b/>
        </w:rPr>
        <w:t xml:space="preserve"> Customer.</w:t>
      </w:r>
    </w:p>
    <w:p w14:paraId="6C4A97FB" w14:textId="77777777">
      <w:pPr>
        <w:spacing w:after="120"/>
      </w:pPr>
      <w:r>
        <w:t>Upon Customer's request and taking into account the nature of the applicable Processing, Provider will assist Customer by appropriate technical and organizational measures, insofar as possible, in complying with Customer's obligations under Data Protection Laws to respond to requests from individuals to exercise their rights under Data Protection Laws, provided that Customer cannot reasonably fulfill such requests independently (including through use of the Cloud Service).</w:t>
      </w:r>
    </w:p>
    <w:p w14:paraId="04B565E2" w14:textId="77777777">
      <w:pPr>
        <w:spacing w:after="120"/>
      </w:pPr>
      <w:r>
        <w:rPr>
          <w:b/>
        </w:rPr>
        <w:t>7.2  Data</w:t>
      </w:r>
      <w:r>
        <w:rPr>
          <w:b/>
        </w:rPr>
        <w:t xml:space="preserve"> Subject Requests.</w:t>
      </w:r>
    </w:p>
    <w:p w14:paraId="3E123F95" w14:textId="77777777">
      <w:pPr>
        <w:spacing w:after="120"/>
      </w:pPr>
      <w:r>
        <w:t>If Provider receives a request from a Data Subject in relation to the Data Subject's Customer Personal Data, Provider will notify Customer and advise the Data Subject to submit the request to Customer (but not otherwise communicate with the Data Subject regarding the request except as may be required by Data Protection Laws), and Customer will be responsible for responding to any such request.</w:t>
      </w:r>
    </w:p>
    <w:p w14:paraId="5D1DFE9C" w14:textId="77777777">
      <w:pPr>
        <w:pStyle w:val="Heading1"/>
      </w:pPr>
      <w:r>
        <w:rPr>
          <w:color w:val="000000"/>
        </w:rPr>
        <w:t>8</w:t>
      </w:r>
      <w:r>
        <w:rPr>
          <w:color w:val="000000"/>
        </w:rPr>
        <w:t>.  Data</w:t>
      </w:r>
      <w:r>
        <w:rPr>
          <w:color w:val="000000"/>
        </w:rPr>
        <w:t xml:space="preserve"> Return or Deletion</w:t>
      </w:r>
    </w:p>
    <w:p w14:paraId="62BD8B73" w14:textId="77777777">
      <w:pPr>
        <w:spacing w:after="120"/>
      </w:pPr>
      <w:r>
        <w:rPr>
          <w:b/>
        </w:rPr>
        <w:t>8.1  During</w:t>
      </w:r>
      <w:r>
        <w:rPr>
          <w:b/>
        </w:rPr>
        <w:t xml:space="preserve"> Subscription Term.</w:t>
      </w:r>
    </w:p>
    <w:p w14:paraId="1C9BA062" w14:textId="77777777">
      <w:pPr>
        <w:spacing w:after="120"/>
      </w:pPr>
      <w:r>
        <w:t xml:space="preserve">During the Subscription Term, Customer may, through the features of the Cloud </w:t>
      </w:r>
      <w:r>
        <w:t>Service, access</w:t>
      </w:r>
      <w:r>
        <w:t>, return to itself or delete Customer Personal Data in accordance with the functionality described in the Agreement and applicable Documentation.</w:t>
      </w:r>
    </w:p>
    <w:p w14:paraId="19648EC5" w14:textId="77777777">
      <w:pPr>
        <w:spacing w:after="120"/>
      </w:pPr>
      <w:r>
        <w:rPr>
          <w:b/>
        </w:rPr>
        <w:t>8.2  Post</w:t>
      </w:r>
      <w:r>
        <w:rPr>
          <w:b/>
        </w:rPr>
        <w:t xml:space="preserve"> Termination.</w:t>
      </w:r>
    </w:p>
    <w:p w14:paraId="41C5D3C3" w14:textId="77777777">
      <w:pPr>
        <w:spacing w:after="120"/>
      </w:pPr>
      <w:r>
        <w:t>(a</w:t>
      </w:r>
      <w:r>
        <w:t>)  Following</w:t>
      </w:r>
      <w:r>
        <w:t xml:space="preserve"> termination or expiration of the Agreement, Provider will, in accordance with its obligations under the Agreement, delete all Customer Personal Data from Provider's systems.</w:t>
      </w:r>
    </w:p>
    <w:p w14:paraId="5D59C285" w14:textId="77777777">
      <w:pPr>
        <w:spacing w:after="120"/>
      </w:pPr>
      <w:r>
        <w:t>(b</w:t>
      </w:r>
      <w:r>
        <w:t>)  Deletion</w:t>
      </w:r>
      <w:r>
        <w:t xml:space="preserve"> will be in accordance with industry-standard secure deletion practices.  Provider will issue a certificate of deletion upon Customer's request.</w:t>
      </w:r>
    </w:p>
    <w:p w14:paraId="57884A9F" w14:textId="77777777">
      <w:pPr>
        <w:spacing w:after="120"/>
      </w:pPr>
      <w:r>
        <w:t xml:space="preserve">(c)  Notwithstanding the foregoing, Provider may retain Customer Personal Data: (i) as required by Data Protection Laws or (ii) in accordance with its standard backup or record retention policies, provided that, in either case, Provider will (x) maintain the confidentiality of, and otherwise comply with the applicable provisions of this DPA with respect to, retained Customer Personal Data and (y) not further Process </w:t>
      </w:r>
      <w:r>
        <w:t>retained Customer Personal Data except for such purpose(s) and duration specified in such applicable Data Protection Laws.</w:t>
      </w:r>
    </w:p>
    <w:p w14:paraId="22A39B97" w14:textId="77777777">
      <w:pPr>
        <w:pStyle w:val="Heading1"/>
      </w:pPr>
      <w:r>
        <w:rPr>
          <w:color w:val="000000"/>
        </w:rPr>
        <w:t>9</w:t>
      </w:r>
      <w:r>
        <w:rPr>
          <w:color w:val="000000"/>
        </w:rPr>
        <w:t>.  Audits</w:t>
      </w:r>
    </w:p>
    <w:p w14:paraId="7994C3EC" w14:textId="77777777">
      <w:pPr>
        <w:spacing w:after="120"/>
      </w:pPr>
      <w:r>
        <w:rPr>
          <w:b/>
        </w:rPr>
        <w:t>9.1  Provider</w:t>
      </w:r>
      <w:r>
        <w:rPr>
          <w:b/>
        </w:rPr>
        <w:t xml:space="preserve"> Records.</w:t>
      </w:r>
    </w:p>
    <w:p w14:paraId="5B2D2D4B" w14:textId="77777777">
      <w:pPr>
        <w:spacing w:after="120"/>
      </w:pPr>
      <w:r>
        <w:t>Provider will keep records of its Processing in compliance with Data Protection Laws and, upon Customer's request, make available to Customer any records reasonably necessary to demonstrate compliance with Provider's obligations under this DPA and Data Protection Laws.</w:t>
      </w:r>
    </w:p>
    <w:p w14:paraId="6F2F7A1F" w14:textId="77777777">
      <w:pPr>
        <w:spacing w:after="120"/>
      </w:pPr>
      <w:r>
        <w:rPr>
          <w:b/>
        </w:rPr>
        <w:t>9.2  Third</w:t>
      </w:r>
      <w:r>
        <w:rPr>
          <w:b/>
        </w:rPr>
        <w:t>-Party Compliance Program.</w:t>
      </w:r>
    </w:p>
    <w:p w14:paraId="0B6CFC57" w14:textId="77777777">
      <w:pPr>
        <w:spacing w:after="120"/>
      </w:pPr>
      <w:r>
        <w:t>(a)  Provider will describe its third-party audit and certification programs (if any) and make summary copies of its audit reports (each, an "Audit Report") available to Customer upon Customer's written request at reasonable intervals (subject to confidentiality obligations).</w:t>
      </w:r>
    </w:p>
    <w:p w14:paraId="6F19397E" w14:textId="77777777">
      <w:pPr>
        <w:spacing w:after="120"/>
      </w:pPr>
      <w:r>
        <w:t>(b</w:t>
      </w:r>
      <w:r>
        <w:t>)  Customer</w:t>
      </w:r>
      <w:r>
        <w:t xml:space="preserve"> may share a copy of Audit Reports with relevant government authorities as required upon their request.</w:t>
      </w:r>
    </w:p>
    <w:p w14:paraId="35BF9734" w14:textId="77777777">
      <w:pPr>
        <w:spacing w:after="120"/>
      </w:pPr>
      <w:r>
        <w:t>(c)  Customer agrees that any audit rights granted by Data Protection Laws will be satisfied by Audit Reports and the procedures of Section 9.3 (Customer Audit) below.</w:t>
      </w:r>
    </w:p>
    <w:p w14:paraId="12186642" w14:textId="77777777">
      <w:pPr>
        <w:spacing w:after="120"/>
      </w:pPr>
      <w:r>
        <w:rPr>
          <w:b/>
        </w:rPr>
        <w:t>9.3  Customer</w:t>
      </w:r>
      <w:r>
        <w:rPr>
          <w:b/>
        </w:rPr>
        <w:t xml:space="preserve"> Audit.</w:t>
      </w:r>
    </w:p>
    <w:p w14:paraId="4D17A693" w14:textId="77777777">
      <w:pPr>
        <w:spacing w:after="120"/>
      </w:pPr>
      <w:r>
        <w:t>(a)  Subject to the terms of this Section 9.3, Customer has the right, at Customer's expense, to conduct an audit of reasonable scope and duration pursuant to a mutually agreed-upon audit plan with Provider (an "Audit").</w:t>
      </w:r>
    </w:p>
    <w:p w14:paraId="1F5E42E0" w14:textId="77777777">
      <w:pPr>
        <w:spacing w:after="120"/>
      </w:pPr>
      <w:r>
        <w:t>(b)  Customer may exercise its Audit right: (i) to the extent Provider's provision of an Audit Report does not provide sufficient information for Customer to verify Provider's compliance with this DPA or the Parties' compliance with Data Protection Laws, (ii</w:t>
      </w:r>
      <w:r>
        <w:t>) as</w:t>
      </w:r>
      <w:r>
        <w:t xml:space="preserve"> necessary for Customer to respond to a government authority audit or (iii) in connection with a Security Incident.</w:t>
      </w:r>
    </w:p>
    <w:p w14:paraId="7E384D4F" w14:textId="77777777">
      <w:pPr>
        <w:spacing w:after="120"/>
      </w:pPr>
      <w:r>
        <w:t>(c)  Each Audit must: (i) be conducted by an independent third party that will enter into a confidentiality agreement with Provider, (ii) be limited in scope to matters reasonably required for Customer to assess Provider's compliance with this DPA and the Parties' compliance with Data Protection Laws, (iii) occur at a mutually agreed date and time and only during Provider's regular business hours, (iv) occur no more than once annually (unless required under Data Protection Laws or in connection with a Security Incident), (v) cover only facilities controlled by Provider, (vi) restrict findings to Customer Personal Data only and (vii) treat any results as confidential information to the fullest extent permitted by Data Protection Laws.</w:t>
      </w:r>
    </w:p>
    <w:p w14:paraId="50FAC9E8" w14:textId="77777777">
      <w:pPr>
        <w:spacing w:after="80"/>
      </w:pPr>
      <w:r>
        <w:rPr>
          <w:i/>
          <w:color w:val="FF0000"/>
          <w:sz w:val="18"/>
        </w:rPr>
        <w:t>[Drafting Note: This uses the "SOC 2 first, audit second" approach.  The Audit Report (typically SOC 2 Type II) is the primary compliance mechanism; the Customer Audit right exists as a backstop.  If the customer demands direct audit rights without the SOC 2 gatekeeping, the fallback position is to accept but retain all seven Audit Parameters in 9.3(c).  Resist removing the third-party auditor requirement (parameter (i)) or the once-annually limit (parameter (iv)).]</w:t>
      </w:r>
    </w:p>
    <w:p w14:paraId="4020AD03" w14:textId="77777777">
      <w:pPr>
        <w:pStyle w:val="Heading1"/>
      </w:pPr>
      <w:r>
        <w:rPr>
          <w:color w:val="000000"/>
        </w:rPr>
        <w:t>10</w:t>
      </w:r>
      <w:r>
        <w:rPr>
          <w:color w:val="000000"/>
        </w:rPr>
        <w:t>.  Cross</w:t>
      </w:r>
      <w:r>
        <w:rPr>
          <w:color w:val="000000"/>
        </w:rPr>
        <w:t>-Border Transfers; Region-Specific Terms</w:t>
      </w:r>
    </w:p>
    <w:p w14:paraId="409A1CDD" w14:textId="77777777">
      <w:pPr>
        <w:spacing w:after="120"/>
      </w:pPr>
      <w:r>
        <w:rPr>
          <w:b/>
        </w:rPr>
        <w:t>10.1  Cross</w:t>
      </w:r>
      <w:r>
        <w:rPr>
          <w:b/>
        </w:rPr>
        <w:t>-Border Data Transfers.</w:t>
      </w:r>
    </w:p>
    <w:p w14:paraId="73521CC7" w14:textId="77777777">
      <w:pPr>
        <w:spacing w:after="120"/>
      </w:pPr>
      <w:r>
        <w:t>(a)  Provider (and its Affiliates) may Process and transfer Customer Personal Data globally as necessary to provide the Cloud Service.</w:t>
      </w:r>
    </w:p>
    <w:p w14:paraId="3026FDF9" w14:textId="77777777">
      <w:pPr>
        <w:spacing w:after="120"/>
      </w:pPr>
      <w:r>
        <w:t>(b)  If Provider engages in a Restricted Transfer, it will comply with Schedule 3 (Cross-Border Transfer Mechanisms).</w:t>
      </w:r>
    </w:p>
    <w:p w14:paraId="62EA00B6" w14:textId="77777777">
      <w:pPr>
        <w:spacing w:after="120"/>
      </w:pPr>
      <w:r>
        <w:rPr>
          <w:b/>
        </w:rPr>
        <w:t>10.2  Region</w:t>
      </w:r>
      <w:r>
        <w:rPr>
          <w:b/>
        </w:rPr>
        <w:t>-Specific Terms.</w:t>
      </w:r>
    </w:p>
    <w:p w14:paraId="462A3C5B" w14:textId="77777777">
      <w:pPr>
        <w:spacing w:after="80"/>
      </w:pPr>
      <w:r>
        <w:rPr>
          <w:i/>
          <w:color w:val="FF0000"/>
          <w:sz w:val="18"/>
        </w:rPr>
        <w:t>[Drafting Note: AGENT DECISION POINT — Applicable Jurisdictions: Based on the Applicable Data Protection Laws selected on the Cover Page, determine which Parts of Schedule 4 apply:</w:t>
      </w:r>
      <w:r>
        <w:rPr>
          <w:i/>
          <w:color w:val="FF0000"/>
          <w:sz w:val="18"/>
        </w:rPr>
        <w:br/>
      </w:r>
      <w:r>
        <w:rPr>
          <w:i/>
          <w:color w:val="FF0000"/>
          <w:sz w:val="18"/>
        </w:rPr>
        <w:t>• Part A (CCPA/CPRA): Include if CCPA/CPRA checked on Cover Page.</w:t>
      </w:r>
      <w:r>
        <w:rPr>
          <w:i/>
          <w:color w:val="FF0000"/>
          <w:sz w:val="18"/>
        </w:rPr>
        <w:br/>
      </w:r>
      <w:r>
        <w:rPr>
          <w:i/>
          <w:color w:val="FF0000"/>
          <w:sz w:val="18"/>
        </w:rPr>
        <w:t>• Part B (United Kingdom): Include if UK GDPR checked on Cover Page.</w:t>
      </w:r>
      <w:r>
        <w:rPr>
          <w:i/>
          <w:color w:val="FF0000"/>
          <w:sz w:val="18"/>
        </w:rPr>
        <w:br/>
      </w:r>
      <w:r>
        <w:rPr>
          <w:i/>
          <w:color w:val="FF0000"/>
          <w:sz w:val="18"/>
        </w:rPr>
        <w:t>• Part C (Switzerland): Include if Swiss FADP checked on Cover Page.</w:t>
      </w:r>
      <w:r>
        <w:rPr>
          <w:i/>
          <w:color w:val="FF0000"/>
          <w:sz w:val="18"/>
        </w:rPr>
        <w:br/>
      </w:r>
      <w:r>
        <w:rPr>
          <w:i/>
          <w:color w:val="FF0000"/>
          <w:sz w:val="18"/>
        </w:rPr>
        <w:t>Delete Schedule 4 Parts for unchecked jurisdictions.  Similarly for Schedule 3: if no EEA transfers, delete Section 1 (EEA SCCs); if no UK transfers, delete Section 2 (UK Addendum); if no Swiss transfers, delete Section 3 (Swiss Transfers).]</w:t>
      </w:r>
    </w:p>
    <w:p w14:paraId="5D5A3AA9" w14:textId="77777777">
      <w:pPr>
        <w:spacing w:after="120"/>
      </w:pPr>
      <w:r>
        <w:t>To the extent that Provider Processes Customer Personal Data protected by Data Protection Laws in one of the regions listed in Schedule 4 (Region-Specific Terms), then the terms specified therein with respect to the applicable jurisdiction(s) will apply in addition to the terms of this DPA.</w:t>
      </w:r>
    </w:p>
    <w:p w14:paraId="698949CC" w14:textId="77777777">
      <w:pPr>
        <w:pStyle w:val="Heading1"/>
      </w:pPr>
      <w:r>
        <w:rPr>
          <w:color w:val="000000"/>
        </w:rPr>
        <w:t>11</w:t>
      </w:r>
      <w:r>
        <w:rPr>
          <w:color w:val="000000"/>
        </w:rPr>
        <w:t>.  Limitation</w:t>
      </w:r>
      <w:r>
        <w:rPr>
          <w:color w:val="000000"/>
        </w:rPr>
        <w:t xml:space="preserve"> of Liability</w:t>
      </w:r>
    </w:p>
    <w:p w14:paraId="52E1003C" w14:textId="77777777">
      <w:pPr>
        <w:spacing w:after="120"/>
      </w:pPr>
      <w:r>
        <w:rPr>
          <w:b/>
        </w:rPr>
        <w:t>11.1  Agreement</w:t>
      </w:r>
      <w:r>
        <w:rPr>
          <w:b/>
        </w:rPr>
        <w:t xml:space="preserve"> Liability Cap.</w:t>
      </w:r>
    </w:p>
    <w:p w14:paraId="1CD2D192" w14:textId="77777777">
      <w:pPr>
        <w:spacing w:after="80"/>
      </w:pPr>
      <w:r>
        <w:rPr>
          <w:i/>
          <w:color w:val="FF0000"/>
          <w:sz w:val="18"/>
        </w:rPr>
        <w:t>[Drafting Note: AGENT DECISION POINT — Liability Cap: Select Option A or Option B from the Cover Page Key Terms (DPA Liability Cap) and reflect that selection here.  Delete the unselected option.  Option A (Agreement Cap) is the standard provider position.]</w:t>
      </w:r>
    </w:p>
    <w:p w14:paraId="5EBE845C" w14:textId="77777777">
      <w:pPr>
        <w:spacing w:after="40"/>
      </w:pPr>
      <w:r>
        <w:rPr>
          <w:b/>
          <w:color w:val="00467F"/>
        </w:rPr>
        <w:t>Option A — Agreement Cap Applies (Standard):</w:t>
      </w:r>
    </w:p>
    <w:p w14:paraId="4DE8B1B6" w14:textId="77777777">
      <w:pPr>
        <w:spacing w:after="40"/>
        <w:ind w:left="360"/>
      </w:pPr>
      <w:r>
        <w:t>To the maximum extent permitted under Data Protection Laws, each Party's total cumulative liability to the other Party arising out of or related to this DPA will be subject to the waivers, exclusions and limitations of liability stated in the Agreement.</w:t>
      </w:r>
    </w:p>
    <w:p w14:paraId="72F6695B" w14:textId="77777777">
      <w:pPr>
        <w:spacing w:after="120"/>
        <w:ind w:left="360"/>
      </w:pPr>
      <w:r>
        <w:rPr>
          <w:i/>
          <w:color w:val="FF0000"/>
          <w:sz w:val="18"/>
        </w:rPr>
        <w:t>[Select when: Standard deal with no heightened data risk; most common; maintains deal economics]</w:t>
      </w:r>
    </w:p>
    <w:p w14:paraId="7234CAE1" w14:textId="77777777">
      <w:pPr>
        <w:spacing w:after="40"/>
      </w:pPr>
      <w:r>
        <w:rPr>
          <w:b/>
          <w:color w:val="00467F"/>
        </w:rPr>
        <w:t>Option B — Separate DPA Super Cap:</w:t>
      </w:r>
    </w:p>
    <w:p w14:paraId="6E581FA2" w14:textId="77777777">
      <w:pPr>
        <w:spacing w:after="40"/>
        <w:ind w:left="360"/>
      </w:pPr>
      <w:r>
        <w:t>Notwithstanding the liability limitations set forth in the Agreement, each Party's total cumulative liability to the other Party arising out of or related to this DPA (other than liability under the Standard Contractual Clauses incorporated in Schedule 3) will not exceed $[amount] / [X]x the total fees paid or payable by Customer to Provider in the twelve (12) months immediately preceding the event giving rise to the claim.  For all other claims, the Agreement's liability limitations apply.</w:t>
      </w:r>
    </w:p>
    <w:p w14:paraId="45C27A78" w14:textId="77777777">
      <w:pPr>
        <w:spacing w:after="120"/>
        <w:ind w:left="360"/>
      </w:pPr>
      <w:r>
        <w:rPr>
          <w:i/>
          <w:color w:val="FF0000"/>
          <w:sz w:val="18"/>
        </w:rPr>
        <w:t xml:space="preserve">[Select when: Customer requires higher liability exposure for data claims; typical in regulated industries (financial services, healthcare); 2x fees </w:t>
      </w:r>
      <w:r>
        <w:rPr>
          <w:i/>
          <w:color w:val="FF0000"/>
          <w:sz w:val="18"/>
        </w:rPr>
        <w:t>is</w:t>
      </w:r>
      <w:r>
        <w:rPr>
          <w:i/>
          <w:color w:val="FF0000"/>
          <w:sz w:val="18"/>
        </w:rPr>
        <w:t xml:space="preserve"> market; 3x is aggressive — negotiate carefully]</w:t>
      </w:r>
    </w:p>
    <w:p w14:paraId="50E127BB" w14:textId="77777777">
      <w:pPr>
        <w:spacing w:after="120"/>
      </w:pPr>
      <w:r>
        <w:rPr>
          <w:b/>
        </w:rPr>
        <w:t>11.2  Related</w:t>
      </w:r>
      <w:r>
        <w:rPr>
          <w:b/>
        </w:rPr>
        <w:t>-Party Claims.</w:t>
      </w:r>
    </w:p>
    <w:p w14:paraId="68BE1E7A" w14:textId="77777777">
      <w:pPr>
        <w:spacing w:after="120"/>
      </w:pPr>
      <w:r>
        <w:t>Any claims made against Provider or its Affiliates arising out of or related to this DPA may only be brought by the Customer entity that is a party to the Agreement.</w:t>
      </w:r>
    </w:p>
    <w:p w14:paraId="60A41D96" w14:textId="77777777">
      <w:pPr>
        <w:spacing w:after="120"/>
      </w:pPr>
      <w:r>
        <w:rPr>
          <w:b/>
        </w:rPr>
        <w:t>11.3  Exceptions</w:t>
      </w:r>
      <w:r>
        <w:rPr>
          <w:b/>
        </w:rPr>
        <w:t>.</w:t>
      </w:r>
    </w:p>
    <w:p w14:paraId="130FF995" w14:textId="77777777">
      <w:pPr>
        <w:spacing w:after="120"/>
      </w:pPr>
      <w:r>
        <w:t>This DPA does not limit any liability to an individual about the individual's data protection rights under Data Protection Laws.  In addition, this DPA does not limit any liability between the Parties for violations of the Standard Contractual Clauses incorporated in Schedule 3.</w:t>
      </w:r>
    </w:p>
    <w:p w14:paraId="66E686CB" w14:textId="77777777">
      <w:pPr>
        <w:spacing w:after="120"/>
      </w:pPr>
      <w:r>
        <w:rPr>
          <w:b/>
        </w:rPr>
        <w:t>11.4  DPA</w:t>
      </w:r>
      <w:r>
        <w:rPr>
          <w:b/>
        </w:rPr>
        <w:t xml:space="preserve"> Indemnity.</w:t>
      </w:r>
    </w:p>
    <w:p w14:paraId="34CE0665" w14:textId="77777777">
      <w:pPr>
        <w:spacing w:after="80"/>
      </w:pPr>
      <w:r>
        <w:rPr>
          <w:i/>
          <w:color w:val="FF0000"/>
          <w:sz w:val="18"/>
        </w:rPr>
        <w:t>[Drafting Note: AGENT DECISION POINT — Indemnity: Match to the DPA Covered Claim / Indemnity option selected on the Cover Page. Select one option and delete the others.]</w:t>
      </w:r>
    </w:p>
    <w:p w14:paraId="5ED812B4" w14:textId="77777777">
      <w:pPr>
        <w:spacing w:after="40"/>
        <w:rPr>
          <w:b/>
          <w:color w:val="00467F"/>
          <w:rFonts w:ascii="Calibri" w:hAnsi="Calibri" w:eastAsia="Calibri" w:cs="Calibri"/>
        </w:rPr>
      </w:pPr>
      <w:r>
        <w:rPr>
          <w:b/>
          <w:color w:val="00467F"/>
          <w:rFonts w:ascii="Calibri" w:hAnsi="Calibri" w:eastAsia="Calibri" w:cs="Calibri"/>
        </w:rPr>
        <w:t>Option A — Cross-Reference to Agreement Indemnity (</w:t>
      </w:r>
      <w:r>
        <w:rPr>
          <w:b/>
          <w:color w:val="00467F"/>
          <w:rFonts w:ascii="Calibri" w:hAnsi="Calibri" w:eastAsia="Calibri" w:cs="Calibri"/>
        </w:rPr>
        <w:t>Compatible Agreement</w:t>
      </w:r>
      <w:r>
        <w:rPr>
          <w:b/>
          <w:color w:val="00467F"/>
          <w:rFonts w:ascii="Calibri" w:hAnsi="Calibri" w:eastAsia="Calibri" w:cs="Calibri"/>
        </w:rPr>
        <w:t>):</w:t>
      </w:r>
    </w:p>
    <w:p w14:paraId="22525E35" w14:textId="77777777">
      <w:pPr>
        <w:spacing w:after="40"/>
        <w:ind w:left="360"/>
      </w:pPr>
      <w:r>
        <w:t>Any indemnity obligations with respect to claims arising out of or related to this DPA (each, a "DPA Covered Claim") are governed by the indemnification provisions of the Agreement.  A DPA Covered Claim means a third-party claim against Customer arising from Provider's material breach of this DPA or applicable Data Protection Laws.</w:t>
      </w:r>
    </w:p>
    <w:p w14:paraId="4CF4D06C" w14:textId="77777777">
      <w:pPr>
        <w:spacing w:after="120"/>
        <w:ind w:left="360"/>
        <w:rPr>
          <w:i/>
          <w:color w:val="FF0000"/>
          <w:rFonts w:ascii="Calibri" w:hAnsi="Calibri" w:eastAsia="Calibri" w:cs="Calibri"/>
          <w:sz w:val="18"/>
        </w:rPr>
      </w:pPr>
      <w:r>
        <w:rPr>
          <w:i/>
          <w:color w:val="FF0000"/>
          <w:rFonts w:ascii="Calibri" w:hAnsi="Calibri" w:eastAsia="Calibri" w:cs="Calibri"/>
          <w:sz w:val="18"/>
        </w:rPr>
        <w:t xml:space="preserve">[Select when: DPA accompanies the </w:t>
      </w:r>
      <w:r>
        <w:rPr>
          <w:i/>
          <w:color w:val="FF0000"/>
          <w:rFonts w:ascii="Calibri" w:hAnsi="Calibri" w:eastAsia="Calibri" w:cs="Calibri"/>
          <w:sz w:val="18"/>
        </w:rPr>
        <w:t>bundled MSA template or another agreement with a compatible indemnity structure</w:t>
      </w:r>
      <w:r>
        <w:rPr>
          <w:i/>
          <w:color w:val="FF0000"/>
          <w:rFonts w:ascii="Calibri" w:hAnsi="Calibri" w:eastAsia="Calibri" w:cs="Calibri"/>
          <w:sz w:val="18"/>
        </w:rPr>
        <w:t>; cleanest approach]</w:t>
      </w:r>
    </w:p>
    <w:p w14:paraId="66ECAFC6" w14:textId="77777777">
      <w:pPr>
        <w:spacing w:after="40"/>
      </w:pPr>
      <w:r>
        <w:rPr>
          <w:b/>
          <w:color w:val="00467F"/>
        </w:rPr>
        <w:t>Option B — Standalone DPA Indemnity:</w:t>
      </w:r>
    </w:p>
    <w:p w14:paraId="21203864" w14:textId="77777777">
      <w:pPr>
        <w:spacing w:after="40"/>
        <w:ind w:left="360"/>
      </w:pPr>
      <w:r>
        <w:t>Provider will indemnify, defend and hold harmless Customer and its Affiliates, officers, directors, employees and agents from and against any third-party claims, damages, losses, liabilities, costs and expenses (including reasonable attorneys' fees) arising from Provider's gross negligence or willful misconduct in connection with a Security Incident affecting Customer Personal Data, subject to the liability limitations in this Section 11.  Customer will: (i) promptly notify Provider of any such claim, (ii) give Provider sole control of the defense and settlement of such claim and (iii) provide Provider with reasonable assistance in defending such claim, at Provider's expense.</w:t>
      </w:r>
    </w:p>
    <w:p w14:paraId="6C2018A9" w14:textId="77777777">
      <w:pPr>
        <w:spacing w:after="120"/>
        <w:ind w:left="360"/>
        <w:rPr>
          <w:i/>
          <w:color w:val="FF0000"/>
          <w:rFonts w:ascii="Calibri" w:hAnsi="Calibri" w:eastAsia="Calibri" w:cs="Calibri"/>
          <w:sz w:val="18"/>
        </w:rPr>
      </w:pPr>
      <w:r>
        <w:rPr>
          <w:i/>
          <w:color w:val="FF0000"/>
          <w:rFonts w:ascii="Calibri" w:hAnsi="Calibri" w:eastAsia="Calibri" w:cs="Calibri"/>
          <w:sz w:val="18"/>
        </w:rPr>
        <w:t xml:space="preserve">[Select when: </w:t>
      </w:r>
      <w:r>
        <w:rPr>
          <w:i/>
          <w:color w:val="FF0000"/>
          <w:rFonts w:ascii="Calibri" w:hAnsi="Calibri" w:eastAsia="Calibri" w:cs="Calibri"/>
          <w:sz w:val="18"/>
        </w:rPr>
        <w:t>the</w:t>
      </w:r>
      <w:r>
        <w:rPr>
          <w:i/>
          <w:color w:val="FF0000"/>
          <w:rFonts w:ascii="Calibri" w:hAnsi="Calibri" w:eastAsia="Calibri" w:cs="Calibri"/>
          <w:sz w:val="18"/>
        </w:rPr>
        <w:t xml:space="preserve"> underlying agreement</w:t>
      </w:r>
      <w:r>
        <w:rPr>
          <w:i/>
          <w:color w:val="FF0000"/>
          <w:rFonts w:ascii="Calibri" w:hAnsi="Calibri" w:eastAsia="Calibri" w:cs="Calibri"/>
          <w:sz w:val="18"/>
        </w:rPr>
        <w:t xml:space="preserve"> lacks compatible indemnity language or </w:t>
      </w:r>
      <w:r>
        <w:rPr>
          <w:i/>
          <w:color w:val="FF0000"/>
          <w:rFonts w:ascii="Calibri" w:hAnsi="Calibri" w:eastAsia="Calibri" w:cs="Calibri"/>
          <w:sz w:val="18"/>
        </w:rPr>
        <w:t>standalone DPA indemnity is explicitly required]</w:t>
      </w:r>
    </w:p>
    <w:p w14:paraId="265EFE69" w14:textId="77777777">
      <w:pPr>
        <w:spacing w:after="40"/>
      </w:pPr>
      <w:r>
        <w:rPr>
          <w:b/>
          <w:color w:val="00467F"/>
        </w:rPr>
        <w:t>Option C — No DPA-Specific Indemnity:</w:t>
      </w:r>
    </w:p>
    <w:p w14:paraId="2552D518" w14:textId="77777777">
      <w:pPr>
        <w:spacing w:after="40"/>
        <w:ind w:left="360"/>
      </w:pPr>
      <w:r>
        <w:t>No DPA-specific indemnity applies.  Claims arising under this DPA are governed by the Agreement's indemnification provisions, if any.</w:t>
      </w:r>
    </w:p>
    <w:p w14:paraId="75C5B01D" w14:textId="77777777">
      <w:pPr>
        <w:spacing w:after="120"/>
        <w:ind w:left="360"/>
      </w:pPr>
      <w:r>
        <w:rPr>
          <w:i/>
          <w:color w:val="FF0000"/>
          <w:sz w:val="18"/>
        </w:rPr>
        <w:t>[Select when: Customer does not require a separate DPA indemnity; underlying Agreement indemnity covers data-related claims; or parties agree indemnity is not appropriate for this arrangement]</w:t>
      </w:r>
    </w:p>
    <w:p w14:paraId="3C0243CB" w14:textId="77777777">
      <w:pPr>
        <w:pStyle w:val="Heading1"/>
      </w:pPr>
      <w:r>
        <w:rPr>
          <w:color w:val="000000"/>
        </w:rPr>
        <w:t>12</w:t>
      </w:r>
      <w:r>
        <w:rPr>
          <w:color w:val="000000"/>
        </w:rPr>
        <w:t>.  General</w:t>
      </w:r>
    </w:p>
    <w:p w14:paraId="3DEF94F1" w14:textId="77777777">
      <w:pPr>
        <w:spacing w:after="120"/>
      </w:pPr>
      <w:r>
        <w:rPr>
          <w:b/>
        </w:rPr>
        <w:t>12.1  Conflicts</w:t>
      </w:r>
      <w:r>
        <w:rPr>
          <w:b/>
        </w:rPr>
        <w:t xml:space="preserve"> Between Documents.</w:t>
      </w:r>
    </w:p>
    <w:p w14:paraId="2B31C55B" w14:textId="77777777">
      <w:pPr>
        <w:spacing w:after="120"/>
      </w:pPr>
      <w:r>
        <w:t xml:space="preserve">This DPA forms part of and </w:t>
      </w:r>
      <w:r>
        <w:t>supplements</w:t>
      </w:r>
      <w:r>
        <w:t xml:space="preserve"> the Agreement.  If there is any inconsistency between this DPA, the Agreement, or any of their parts, the part listed earlier will control over the part listed later for that inconsistency: (1) the Standard Contractual Clauses or UK Addendum incorporated in Schedule 3, (2) this DPA, and then (3) the Agreement.</w:t>
      </w:r>
    </w:p>
    <w:p w14:paraId="2F6D0BCD" w14:textId="77777777">
      <w:pPr>
        <w:spacing w:after="120"/>
      </w:pPr>
      <w:r>
        <w:rPr>
          <w:b/>
        </w:rPr>
        <w:t>12.2  Amendment</w:t>
      </w:r>
      <w:r>
        <w:rPr>
          <w:b/>
        </w:rPr>
        <w:t>.</w:t>
      </w:r>
    </w:p>
    <w:p w14:paraId="056A85DA" w14:textId="77777777">
      <w:pPr>
        <w:spacing w:after="120"/>
      </w:pPr>
      <w:r>
        <w:t>No amendment or modification to this DPA will be effective unless in writing and signed by both Parties.</w:t>
      </w:r>
    </w:p>
    <w:p w14:paraId="629DAF85" w14:textId="77777777">
      <w:pPr>
        <w:spacing w:after="120"/>
      </w:pPr>
      <w:r>
        <w:rPr>
          <w:b/>
        </w:rPr>
        <w:t>12.3  Severability</w:t>
      </w:r>
      <w:r>
        <w:rPr>
          <w:b/>
        </w:rPr>
        <w:t>.</w:t>
      </w:r>
    </w:p>
    <w:p w14:paraId="56636B6A" w14:textId="77777777">
      <w:pPr>
        <w:spacing w:after="120"/>
      </w:pPr>
      <w:r>
        <w:t>If any provision of this DPA is found to be invalid or unenforceable, such provision will be enforced to the maximum extent permissible and the remaining provisions will remain in full force and effect.</w:t>
      </w:r>
    </w:p>
    <w:p w14:paraId="3F1CA324" w14:textId="77777777">
      <w:r>
        <w:br w:type="page"/>
      </w:r>
    </w:p>
    <w:p w14:paraId="48AB698E" w14:textId="77777777">
      <w:pPr>
        <w:pStyle w:val="Heading1"/>
      </w:pPr>
      <w:r>
        <w:rPr>
          <w:color w:val="000000"/>
        </w:rPr>
        <w:t>Schedule 1</w:t>
      </w:r>
    </w:p>
    <w:p w14:paraId="72FD3F61" w14:textId="77777777">
      <w:pPr>
        <w:pStyle w:val="Heading2"/>
      </w:pPr>
      <w:r>
        <w:rPr>
          <w:color w:val="000000"/>
        </w:rPr>
        <w:t>Subject Matter and Details of Processing</w:t>
      </w:r>
    </w:p>
    <w:p w14:paraId="7875616C" w14:textId="77777777">
      <w:pPr>
        <w:spacing w:after="80"/>
      </w:pPr>
      <w:r>
        <w:rPr>
          <w:i/>
          <w:color w:val="FF0000"/>
          <w:sz w:val="18"/>
        </w:rPr>
        <w:t xml:space="preserve">[Drafting Note: Complete this Schedule for each deal.  This information also serves as Annex I(B) for the Standard Contractual Clauses incorporated in Schedule 3.  </w:t>
      </w:r>
      <w:r>
        <w:rPr>
          <w:i/>
          <w:color w:val="FF0000"/>
          <w:sz w:val="18"/>
        </w:rPr>
        <w:t>Be specific —</w:t>
      </w:r>
      <w:r>
        <w:rPr>
          <w:i/>
          <w:color w:val="FF0000"/>
          <w:sz w:val="18"/>
        </w:rPr>
        <w:t xml:space="preserve"> vague descriptions of processing purposes create ambiguity about the scope of Provider's authority.  AGENT: Work through each row with the user; replace all bracketed entries with deal-specific information.]</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522"/>
        <w:gridCol w:w="5334"/>
      </w:tblGrid>
      <w:tr w14:paraId="358473DF" w14:textId="77777777">
        <w:trPr>
          <w:hidden w:val="0"/>
          <w:jc w:val="center"/>
        </w:trPr>
        <w:tc>
          <w:tcPr>
            <w:tcW w:w="288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4A276FBC" w14:textId="77777777">
            <w:r>
              <w:rPr>
                <w:b/>
                <w:sz w:val="18"/>
              </w:rPr>
              <w:t>Field</w:t>
            </w:r>
          </w:p>
        </w:tc>
        <w:tc>
          <w:tcPr>
            <w:tcW w:w="6480" w:type="dxa"/>
            <w:shd w:color="auto" w:fill="D9D9D9" w:val="clear"/>
            <w:tcMar>
              <w:left w:w="108" w:type="dxa"/>
              <w:right w:w="108" w:type="dxa"/>
              <w:top w:w="0" w:type="dxa"/>
              <w:bottom w:w="0" w:type="dxa"/>
            </w:tcMar>
            <w:tcBorders>
              <w:top w:val="single" w:sz="4" w:space="0"/>
              <w:bottom w:val="single" w:sz="4" w:space="0"/>
              <w:right w:val="single" w:sz="4" w:space="0"/>
            </w:tcBorders>
          </w:tcPr>
          <w:p w14:paraId="65F650BE" w14:textId="77777777">
            <w:r>
              <w:rPr>
                <w:b/>
                <w:sz w:val="18"/>
              </w:rPr>
              <w:t>Detail</w:t>
            </w:r>
          </w:p>
        </w:tc>
      </w:tr>
      <w:tr w14:paraId="13D1EFF3"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55E0C9A" w14:textId="77777777">
            <w:r>
              <w:t>Subject Matter of Processing</w:t>
            </w:r>
          </w:p>
        </w:tc>
        <w:tc>
          <w:tcPr>
            <w:tcW w:w="6480" w:type="dxa"/>
            <w:tcMar>
              <w:left w:w="108" w:type="dxa"/>
              <w:right w:w="108" w:type="dxa"/>
              <w:top w:w="0" w:type="dxa"/>
              <w:bottom w:w="0" w:type="dxa"/>
            </w:tcMar>
            <w:tcBorders>
              <w:bottom w:val="single" w:sz="4" w:space="0"/>
              <w:right w:val="single" w:sz="4" w:space="0"/>
            </w:tcBorders>
          </w:tcPr>
          <w:p w14:paraId="74163A92" w14:textId="77777777">
            <w:r>
              <w:t>Provider's provision of the Cloud Service to Customer under the Agreement.</w:t>
            </w:r>
          </w:p>
        </w:tc>
      </w:tr>
      <w:tr w14:paraId="00920CEF"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7EEE8F5" w14:textId="77777777">
            <w:r>
              <w:t>Duration of Processing</w:t>
            </w:r>
          </w:p>
        </w:tc>
        <w:tc>
          <w:tcPr>
            <w:tcW w:w="6480" w:type="dxa"/>
            <w:tcMar>
              <w:left w:w="108" w:type="dxa"/>
              <w:right w:w="108" w:type="dxa"/>
              <w:top w:w="0" w:type="dxa"/>
              <w:bottom w:w="0" w:type="dxa"/>
            </w:tcMar>
            <w:tcBorders>
              <w:bottom w:val="single" w:sz="4" w:space="0"/>
              <w:right w:val="single" w:sz="4" w:space="0"/>
            </w:tcBorders>
          </w:tcPr>
          <w:p w14:paraId="236BFB3D" w14:textId="77777777">
            <w:r>
              <w:t xml:space="preserve">From the DPA Effective Date until the </w:t>
            </w:r>
            <w:r>
              <w:t>later</w:t>
            </w:r>
            <w:r>
              <w:t xml:space="preserve"> of: (i) expiration or termination of the Agreement or (ii) the date on which Provider ceases all Processing of Customer Personal Data.</w:t>
            </w:r>
          </w:p>
        </w:tc>
      </w:tr>
      <w:tr w14:paraId="1F9A116F"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E06E205" w14:textId="77777777">
            <w:r>
              <w:t>Nature and Purpose of Processing</w:t>
            </w:r>
          </w:p>
        </w:tc>
        <w:tc>
          <w:tcPr>
            <w:tcW w:w="6480" w:type="dxa"/>
            <w:tcMar>
              <w:left w:w="108" w:type="dxa"/>
              <w:right w:w="108" w:type="dxa"/>
              <w:top w:w="0" w:type="dxa"/>
              <w:bottom w:w="0" w:type="dxa"/>
            </w:tcMar>
            <w:tcBorders>
              <w:bottom w:val="single" w:sz="4" w:space="0"/>
              <w:right w:val="single" w:sz="4" w:space="0"/>
            </w:tcBorders>
          </w:tcPr>
          <w:p w14:paraId="6919D8AB" w14:textId="77777777">
            <w:r>
              <w:rPr>
                <w:i/>
                <w:color w:val="FF0000"/>
                <w:sz w:val="18"/>
              </w:rPr>
              <w:t>Drafting Note — Agent: Select all processing operations that apply to this Cloud Service and list them. Delete operations that do not apply. Common selections:</w:t>
            </w:r>
            <w:r>
              <w:rPr>
                <w:i/>
                <w:color w:val="FF0000"/>
                <w:sz w:val="18"/>
              </w:rPr>
              <w:br/>
            </w:r>
            <w:r>
              <w:rPr>
                <w:color w:val="000000"/>
                <w:sz w:val="18"/>
              </w:rPr>
              <w:br/>
            </w:r>
            <w:r>
              <w:rPr>
                <w:color w:val="000000"/>
                <w:sz w:val="18"/>
              </w:rPr>
              <w:t>Provider will Process Customer Personal Data as necessary to provide the Cloud Service and perform Provider's obligations under the Agreement, including:</w:t>
            </w:r>
            <w:r>
              <w:rPr>
                <w:color w:val="000000"/>
                <w:sz w:val="18"/>
              </w:rPr>
              <w:br/>
            </w:r>
            <w:r>
              <w:rPr>
                <w:color w:val="000000"/>
                <w:sz w:val="18"/>
              </w:rPr>
              <w:t>•  Receiving / collecting / recording data</w:t>
            </w:r>
            <w:r>
              <w:rPr>
                <w:color w:val="000000"/>
                <w:sz w:val="18"/>
              </w:rPr>
              <w:br/>
            </w:r>
            <w:r>
              <w:rPr>
                <w:color w:val="000000"/>
                <w:sz w:val="18"/>
              </w:rPr>
              <w:t>•  Storing / organizing / structuring data</w:t>
            </w:r>
            <w:r>
              <w:rPr>
                <w:color w:val="000000"/>
                <w:sz w:val="18"/>
              </w:rPr>
              <w:br/>
            </w:r>
            <w:r>
              <w:rPr>
                <w:color w:val="000000"/>
                <w:sz w:val="18"/>
              </w:rPr>
              <w:t>•  Analyzing / consulting / testing data</w:t>
            </w:r>
            <w:r>
              <w:rPr>
                <w:color w:val="000000"/>
                <w:sz w:val="18"/>
              </w:rPr>
              <w:br/>
            </w:r>
            <w:r>
              <w:rPr>
                <w:color w:val="000000"/>
                <w:sz w:val="18"/>
              </w:rPr>
              <w:t>•  Correcting / adapting / updating data</w:t>
            </w:r>
            <w:r>
              <w:rPr>
                <w:color w:val="000000"/>
                <w:sz w:val="18"/>
              </w:rPr>
              <w:br/>
            </w:r>
            <w:r>
              <w:rPr>
                <w:color w:val="000000"/>
                <w:sz w:val="18"/>
              </w:rPr>
              <w:t>•  Restricting / encrypting / security testing of data</w:t>
            </w:r>
            <w:r>
              <w:rPr>
                <w:color w:val="000000"/>
                <w:sz w:val="18"/>
              </w:rPr>
              <w:br/>
            </w:r>
            <w:r>
              <w:rPr>
                <w:color w:val="000000"/>
                <w:sz w:val="18"/>
              </w:rPr>
              <w:t>•  Disclosing / transmitting / making available data</w:t>
            </w:r>
            <w:r>
              <w:rPr>
                <w:color w:val="000000"/>
                <w:sz w:val="18"/>
              </w:rPr>
              <w:br/>
            </w:r>
            <w:r>
              <w:rPr>
                <w:color w:val="000000"/>
                <w:sz w:val="18"/>
              </w:rPr>
              <w:t>•  Returning data to Customer or Data Subject</w:t>
            </w:r>
            <w:r>
              <w:rPr>
                <w:color w:val="000000"/>
                <w:sz w:val="18"/>
              </w:rPr>
              <w:br/>
            </w:r>
            <w:r>
              <w:rPr>
                <w:color w:val="000000"/>
                <w:sz w:val="18"/>
              </w:rPr>
              <w:t>•  Erasing / destroying / deleting data</w:t>
            </w:r>
            <w:r>
              <w:rPr>
                <w:color w:val="000000"/>
                <w:sz w:val="18"/>
              </w:rPr>
              <w:br/>
            </w:r>
            <w:r>
              <w:rPr>
                <w:color w:val="000000"/>
                <w:sz w:val="18"/>
              </w:rPr>
              <w:t>[Custom: describe any service-specific processing operation not listed above]</w:t>
            </w:r>
          </w:p>
        </w:tc>
      </w:tr>
      <w:tr w14:paraId="182CBAA5"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49B85B8" w14:textId="77777777">
            <w:r>
              <w:t>Categories of Data Subjects</w:t>
            </w:r>
          </w:p>
        </w:tc>
        <w:tc>
          <w:tcPr>
            <w:tcW w:w="6480" w:type="dxa"/>
            <w:tcMar>
              <w:left w:w="108" w:type="dxa"/>
              <w:right w:w="108" w:type="dxa"/>
              <w:top w:w="0" w:type="dxa"/>
              <w:bottom w:w="0" w:type="dxa"/>
            </w:tcMar>
            <w:tcBorders>
              <w:bottom w:val="single" w:sz="4" w:space="0"/>
              <w:right w:val="single" w:sz="4" w:space="0"/>
            </w:tcBorders>
          </w:tcPr>
          <w:p w14:paraId="0D65DF1B" w14:textId="77777777">
            <w:r>
              <w:rPr>
                <w:i/>
                <w:color w:val="FF0000"/>
                <w:sz w:val="18"/>
              </w:rPr>
              <w:t>Drafting Note — Agent: Select all categories of data subjects whose data is processed. Common options:</w:t>
            </w:r>
            <w:r>
              <w:rPr>
                <w:color w:val="000000"/>
                <w:sz w:val="18"/>
              </w:rPr>
              <w:br/>
            </w:r>
            <w:r>
              <w:rPr>
                <w:color w:val="000000"/>
                <w:sz w:val="18"/>
              </w:rPr>
              <w:t>•  Customer's end users or customers (consumers using Customer's products/services)</w:t>
            </w:r>
            <w:r>
              <w:rPr>
                <w:color w:val="000000"/>
                <w:sz w:val="18"/>
              </w:rPr>
              <w:br/>
            </w:r>
            <w:r>
              <w:rPr>
                <w:color w:val="000000"/>
                <w:sz w:val="18"/>
              </w:rPr>
              <w:t>•  Customer's employees, contractors, or job applicants</w:t>
            </w:r>
            <w:r>
              <w:rPr>
                <w:color w:val="000000"/>
                <w:sz w:val="18"/>
              </w:rPr>
              <w:br/>
            </w:r>
            <w:r>
              <w:rPr>
                <w:color w:val="000000"/>
                <w:sz w:val="18"/>
              </w:rPr>
              <w:t>•  Customer's business contacts (vendors, partners, prospects)</w:t>
            </w:r>
            <w:r>
              <w:rPr>
                <w:color w:val="000000"/>
                <w:sz w:val="18"/>
              </w:rPr>
              <w:br/>
            </w:r>
            <w:r>
              <w:rPr>
                <w:color w:val="000000"/>
                <w:sz w:val="18"/>
              </w:rPr>
              <w:t>•  Minors (if applicable — triggers heightened obligations under COPPA, GDPR Art. 8)</w:t>
            </w:r>
            <w:r>
              <w:rPr>
                <w:color w:val="000000"/>
                <w:sz w:val="18"/>
              </w:rPr>
              <w:br/>
            </w:r>
            <w:r>
              <w:rPr>
                <w:color w:val="000000"/>
                <w:sz w:val="18"/>
              </w:rPr>
              <w:t>[Custom: describe any category not listed above]</w:t>
            </w:r>
            <w:r>
              <w:rPr>
                <w:i/>
                <w:color w:val="FF0000"/>
                <w:sz w:val="18"/>
              </w:rPr>
              <w:br/>
            </w:r>
            <w:r>
              <w:rPr>
                <w:color w:val="000000"/>
                <w:sz w:val="18"/>
              </w:rPr>
              <w:br/>
            </w:r>
            <w:r>
              <w:rPr>
                <w:color w:val="000000"/>
                <w:sz w:val="18"/>
              </w:rPr>
              <w:t>[List selected categories here after discussion with customer]</w:t>
            </w:r>
          </w:p>
        </w:tc>
      </w:tr>
      <w:tr w14:paraId="04991A59"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7010963" w14:textId="77777777">
            <w:r>
              <w:t>Categories of Personal Data</w:t>
            </w:r>
          </w:p>
        </w:tc>
        <w:tc>
          <w:tcPr>
            <w:tcW w:w="6480" w:type="dxa"/>
            <w:tcMar>
              <w:left w:w="108" w:type="dxa"/>
              <w:right w:w="108" w:type="dxa"/>
              <w:top w:w="0" w:type="dxa"/>
              <w:bottom w:w="0" w:type="dxa"/>
            </w:tcMar>
            <w:tcBorders>
              <w:bottom w:val="single" w:sz="4" w:space="0"/>
              <w:right w:val="single" w:sz="4" w:space="0"/>
            </w:tcBorders>
          </w:tcPr>
          <w:p w14:paraId="4DD1CC58" w14:textId="77777777">
            <w:r>
              <w:rPr>
                <w:i/>
                <w:color w:val="FF0000"/>
                <w:sz w:val="18"/>
              </w:rPr>
              <w:t>Drafting Note — Agent: Select all categories of personal data processed. Common options:</w:t>
            </w:r>
            <w:r>
              <w:rPr>
                <w:color w:val="000000"/>
                <w:sz w:val="18"/>
              </w:rPr>
              <w:br/>
            </w:r>
            <w:r>
              <w:rPr>
                <w:color w:val="000000"/>
                <w:sz w:val="18"/>
              </w:rPr>
              <w:t>•  Identifiers (name, username, employee ID)</w:t>
            </w:r>
            <w:r>
              <w:rPr>
                <w:color w:val="000000"/>
                <w:sz w:val="18"/>
              </w:rPr>
              <w:br/>
            </w:r>
            <w:r>
              <w:rPr>
                <w:color w:val="000000"/>
                <w:sz w:val="18"/>
              </w:rPr>
              <w:t>•  Contact information (email, phone, address)</w:t>
            </w:r>
            <w:r>
              <w:rPr>
                <w:color w:val="000000"/>
                <w:sz w:val="18"/>
              </w:rPr>
              <w:br/>
            </w:r>
            <w:r>
              <w:rPr>
                <w:color w:val="000000"/>
                <w:sz w:val="18"/>
              </w:rPr>
              <w:t>•  Employment information (job title, department, compensation data)</w:t>
            </w:r>
            <w:r>
              <w:rPr>
                <w:color w:val="000000"/>
                <w:sz w:val="18"/>
              </w:rPr>
              <w:br/>
            </w:r>
            <w:r>
              <w:rPr>
                <w:color w:val="000000"/>
                <w:sz w:val="18"/>
              </w:rPr>
              <w:t>•  Financial information (bank account numbers, payment card data)</w:t>
            </w:r>
            <w:r>
              <w:rPr>
                <w:color w:val="000000"/>
                <w:sz w:val="18"/>
              </w:rPr>
              <w:br/>
            </w:r>
            <w:r>
              <w:rPr>
                <w:color w:val="000000"/>
                <w:sz w:val="18"/>
              </w:rPr>
              <w:t>•  Professional or biographical information (work history, credentials)</w:t>
            </w:r>
            <w:r>
              <w:rPr>
                <w:color w:val="000000"/>
                <w:sz w:val="18"/>
              </w:rPr>
              <w:br/>
            </w:r>
            <w:r>
              <w:rPr>
                <w:color w:val="000000"/>
                <w:sz w:val="18"/>
              </w:rPr>
              <w:t>•  Transactional information (account info, purchase history)</w:t>
            </w:r>
            <w:r>
              <w:rPr>
                <w:color w:val="000000"/>
                <w:sz w:val="18"/>
              </w:rPr>
              <w:br/>
            </w:r>
            <w:r>
              <w:rPr>
                <w:color w:val="000000"/>
                <w:sz w:val="18"/>
              </w:rPr>
              <w:t>•  User activity and analytics (device info, IP address, usage logs, cookies)</w:t>
            </w:r>
            <w:r>
              <w:rPr>
                <w:color w:val="000000"/>
                <w:sz w:val="18"/>
              </w:rPr>
              <w:br/>
            </w:r>
            <w:r>
              <w:rPr>
                <w:color w:val="000000"/>
                <w:sz w:val="18"/>
              </w:rPr>
              <w:t>•  Location information (GPS, approximate location)</w:t>
            </w:r>
            <w:r>
              <w:rPr>
                <w:color w:val="000000"/>
                <w:sz w:val="18"/>
              </w:rPr>
              <w:br/>
            </w:r>
            <w:r>
              <w:rPr>
                <w:color w:val="000000"/>
                <w:sz w:val="18"/>
              </w:rPr>
              <w:t>•  User-generated content (messages, documents, images, audio, video)</w:t>
            </w:r>
            <w:r>
              <w:rPr>
                <w:i/>
                <w:color w:val="FF0000"/>
                <w:sz w:val="18"/>
              </w:rPr>
              <w:br/>
            </w:r>
            <w:r>
              <w:rPr>
                <w:color w:val="000000"/>
                <w:sz w:val="18"/>
              </w:rPr>
              <w:t>•  Authentication credentials (hashed passwords, security tokens)</w:t>
            </w:r>
            <w:r>
              <w:rPr>
                <w:color w:val="000000"/>
                <w:sz w:val="18"/>
              </w:rPr>
              <w:br/>
            </w:r>
            <w:r>
              <w:rPr>
                <w:color w:val="000000"/>
                <w:sz w:val="18"/>
              </w:rPr>
              <w:t>[Custom: describe any category not listed above]</w:t>
            </w:r>
            <w:r>
              <w:rPr>
                <w:i/>
                <w:color w:val="FF0000"/>
                <w:sz w:val="18"/>
              </w:rPr>
              <w:br/>
            </w:r>
            <w:r>
              <w:rPr>
                <w:color w:val="000000"/>
                <w:sz w:val="18"/>
              </w:rPr>
              <w:br/>
            </w:r>
            <w:r>
              <w:rPr>
                <w:color w:val="000000"/>
                <w:sz w:val="18"/>
              </w:rPr>
              <w:t>[List selected categories here after discussion with customer]</w:t>
            </w:r>
          </w:p>
        </w:tc>
      </w:tr>
      <w:tr w14:paraId="77B5C19E"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0947BAA" w14:textId="77777777">
            <w:r>
              <w:t>Special Category Data</w:t>
            </w:r>
          </w:p>
        </w:tc>
        <w:tc>
          <w:tcPr>
            <w:tcW w:w="6480" w:type="dxa"/>
            <w:tcMar>
              <w:left w:w="108" w:type="dxa"/>
              <w:right w:w="108" w:type="dxa"/>
              <w:top w:w="0" w:type="dxa"/>
              <w:bottom w:w="0" w:type="dxa"/>
            </w:tcMar>
            <w:tcBorders>
              <w:bottom w:val="single" w:sz="4" w:space="0"/>
              <w:right w:val="single" w:sz="4" w:space="0"/>
            </w:tcBorders>
          </w:tcPr>
          <w:p w14:paraId="5B58C621" w14:textId="77777777">
            <w:r>
              <w:rPr>
                <w:i/>
                <w:color w:val="FF0000"/>
                <w:sz w:val="18"/>
              </w:rPr>
              <w:t>Drafting Note — Agent: Ask the user: 'Does the Cloud Service process any special category data?' Special categories under GDPR include: racial/ethnic origin, political opinions, religious/philosophical beliefs, trade union membership, genetic data, biometric data for identification, health data, sex life/sexual orientation data.</w:t>
            </w:r>
            <w:r>
              <w:rPr>
                <w:i/>
                <w:color w:val="FF0000"/>
                <w:sz w:val="18"/>
              </w:rPr>
              <w:br/>
            </w:r>
            <w:r>
              <w:rPr>
                <w:color w:val="000000"/>
                <w:sz w:val="18"/>
              </w:rPr>
              <w:br/>
            </w:r>
            <w:r>
              <w:rPr>
                <w:color w:val="000000"/>
                <w:sz w:val="18"/>
              </w:rPr>
              <w:t>If YES: Describe the specific categories and list safeguards, e.g.:</w:t>
            </w:r>
            <w:r>
              <w:rPr>
                <w:color w:val="000000"/>
                <w:sz w:val="18"/>
              </w:rPr>
              <w:br/>
            </w:r>
            <w:r>
              <w:rPr>
                <w:color w:val="000000"/>
                <w:sz w:val="18"/>
              </w:rPr>
              <w:t xml:space="preserve">  - Processing limited to [describe categories]</w:t>
            </w:r>
            <w:r>
              <w:rPr>
                <w:color w:val="000000"/>
                <w:sz w:val="18"/>
              </w:rPr>
              <w:br/>
            </w:r>
            <w:r>
              <w:rPr>
                <w:color w:val="000000"/>
                <w:sz w:val="18"/>
              </w:rPr>
              <w:t xml:space="preserve">  - Safeguards: [describe, e.g., encryption at rest and in transit, access limited to authorized personnel, processing only on explicit instructions, no secondary use]</w:t>
            </w:r>
            <w:r>
              <w:rPr>
                <w:color w:val="000000"/>
                <w:sz w:val="18"/>
              </w:rPr>
              <w:br/>
            </w:r>
            <w:r>
              <w:rPr>
                <w:color w:val="000000"/>
                <w:sz w:val="18"/>
              </w:rPr>
              <w:t xml:space="preserve">  - Legal basis: [describe Customer's legal basis for processing]</w:t>
            </w:r>
            <w:r>
              <w:rPr>
                <w:i/>
                <w:color w:val="FF0000"/>
                <w:sz w:val="18"/>
              </w:rPr>
              <w:br/>
            </w:r>
            <w:r>
              <w:rPr>
                <w:color w:val="000000"/>
                <w:sz w:val="18"/>
              </w:rPr>
              <w:br/>
            </w:r>
            <w:r>
              <w:rPr>
                <w:color w:val="000000"/>
                <w:sz w:val="18"/>
              </w:rPr>
              <w:t>If NO: Enter 'None. Provider does not Process special category data under this DPA.'</w:t>
            </w:r>
            <w:r>
              <w:rPr>
                <w:i/>
                <w:color w:val="FF0000"/>
                <w:sz w:val="18"/>
              </w:rPr>
              <w:br/>
            </w:r>
            <w:r>
              <w:rPr>
                <w:color w:val="000000"/>
                <w:sz w:val="18"/>
              </w:rPr>
              <w:br/>
            </w:r>
            <w:r>
              <w:rPr>
                <w:color w:val="000000"/>
                <w:sz w:val="18"/>
              </w:rPr>
              <w:t>[Enter response here after discussion with customer]</w:t>
            </w:r>
          </w:p>
        </w:tc>
      </w:tr>
      <w:tr w14:paraId="7EBC3AF8"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12D1C9B4" w14:textId="77777777">
            <w:r>
              <w:t>Frequency of Transfer</w:t>
            </w:r>
          </w:p>
        </w:tc>
        <w:tc>
          <w:tcPr>
            <w:tcW w:w="6480" w:type="dxa"/>
            <w:tcMar>
              <w:left w:w="108" w:type="dxa"/>
              <w:right w:w="108" w:type="dxa"/>
              <w:top w:w="0" w:type="dxa"/>
              <w:bottom w:w="0" w:type="dxa"/>
            </w:tcMar>
            <w:tcBorders>
              <w:bottom w:val="single" w:sz="4" w:space="0"/>
              <w:right w:val="single" w:sz="4" w:space="0"/>
            </w:tcBorders>
          </w:tcPr>
          <w:p w14:paraId="1533C93F" w14:textId="77777777">
            <w:r>
              <w:rPr>
                <w:i/>
                <w:color w:val="FF0000"/>
                <w:sz w:val="18"/>
              </w:rPr>
              <w:t>Select one:</w:t>
            </w:r>
            <w:r>
              <w:rPr>
                <w:i/>
                <w:color w:val="FF0000"/>
                <w:sz w:val="18"/>
              </w:rPr>
              <w:br/>
            </w:r>
            <w:r>
              <w:rPr>
                <w:color w:val="000000"/>
                <w:sz w:val="18"/>
              </w:rPr>
              <w:t>•  Continuous</w:t>
            </w:r>
            <w:r>
              <w:rPr>
                <w:color w:val="000000"/>
                <w:sz w:val="18"/>
              </w:rPr>
              <w:t xml:space="preserve"> (data is transferred in real-time or on an ongoing basis as Customer uses the Cloud </w:t>
            </w:r>
            <w:r>
              <w:rPr>
                <w:color w:val="000000"/>
                <w:sz w:val="18"/>
              </w:rPr>
              <w:t>Service) —</w:t>
            </w:r>
            <w:r>
              <w:rPr>
                <w:color w:val="000000"/>
                <w:sz w:val="18"/>
              </w:rPr>
              <w:t xml:space="preserve"> most common for SaaS</w:t>
            </w:r>
            <w:r>
              <w:rPr>
                <w:i/>
                <w:color w:val="FF0000"/>
                <w:sz w:val="18"/>
              </w:rPr>
              <w:br/>
            </w:r>
            <w:r>
              <w:rPr>
                <w:color w:val="000000"/>
                <w:sz w:val="18"/>
              </w:rPr>
              <w:t>•  Periodic</w:t>
            </w:r>
            <w:r>
              <w:rPr>
                <w:color w:val="000000"/>
                <w:sz w:val="18"/>
              </w:rPr>
              <w:t xml:space="preserve"> (data is transferred in scheduled batches — describe schedule, e.g., daily, weekly)</w:t>
            </w:r>
            <w:r>
              <w:rPr>
                <w:i/>
                <w:color w:val="FF0000"/>
                <w:sz w:val="18"/>
              </w:rPr>
              <w:br/>
            </w:r>
            <w:r>
              <w:rPr>
                <w:color w:val="000000"/>
                <w:sz w:val="18"/>
              </w:rPr>
              <w:t>•  One</w:t>
            </w:r>
            <w:r>
              <w:rPr>
                <w:color w:val="000000"/>
                <w:sz w:val="18"/>
              </w:rPr>
              <w:t>-time (data migration or single transfer project)</w:t>
            </w:r>
            <w:r>
              <w:rPr>
                <w:color w:val="000000"/>
                <w:sz w:val="18"/>
              </w:rPr>
              <w:br/>
            </w:r>
            <w:r>
              <w:rPr>
                <w:color w:val="000000"/>
                <w:sz w:val="18"/>
              </w:rPr>
              <w:t>[Describe frequency here]</w:t>
            </w:r>
          </w:p>
        </w:tc>
      </w:tr>
      <w:tr w14:paraId="4AE231F0"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162F2811" w14:textId="77777777">
            <w:r>
              <w:t>Competent Supervisory Authority</w:t>
            </w:r>
          </w:p>
        </w:tc>
        <w:tc>
          <w:tcPr>
            <w:tcW w:w="6480" w:type="dxa"/>
            <w:tcMar>
              <w:left w:w="108" w:type="dxa"/>
              <w:right w:w="108" w:type="dxa"/>
              <w:top w:w="0" w:type="dxa"/>
              <w:bottom w:w="0" w:type="dxa"/>
            </w:tcMar>
            <w:tcBorders>
              <w:bottom w:val="single" w:sz="4" w:space="0"/>
              <w:right w:val="single" w:sz="4" w:space="0"/>
            </w:tcBorders>
          </w:tcPr>
          <w:p w14:paraId="2A20E447" w14:textId="77777777">
            <w:r>
              <w:rPr>
                <w:i/>
                <w:color w:val="FF0000"/>
                <w:sz w:val="18"/>
              </w:rPr>
              <w:t>Drafting Note — Agent: Identify the lead supervisory authority based on Customer's location/establishment:</w:t>
            </w:r>
            <w:r>
              <w:rPr>
                <w:color w:val="000000"/>
                <w:sz w:val="18"/>
              </w:rPr>
              <w:br/>
            </w:r>
            <w:r>
              <w:rPr>
                <w:color w:val="000000"/>
                <w:sz w:val="18"/>
              </w:rPr>
              <w:t>•  If Customer is established in EU: Authority of the Member State where Customer's EU headquarters or main establishment is located (e.g., CNIL for France, BfDI for Germany, DPC for Ireland)</w:t>
            </w:r>
            <w:r>
              <w:rPr>
                <w:color w:val="000000"/>
                <w:sz w:val="18"/>
              </w:rPr>
              <w:br/>
            </w:r>
            <w:r>
              <w:rPr>
                <w:color w:val="000000"/>
                <w:sz w:val="18"/>
              </w:rPr>
              <w:t>•  If Customer is NOT established in EU but has EU customers: Authority of the Member State where Customer's EU representative is established</w:t>
            </w:r>
            <w:r>
              <w:rPr>
                <w:color w:val="000000"/>
                <w:sz w:val="18"/>
              </w:rPr>
              <w:br/>
            </w:r>
            <w:r>
              <w:rPr>
                <w:color w:val="000000"/>
                <w:sz w:val="18"/>
              </w:rPr>
              <w:t>•  UK: Information Commissioner's Office (ICO)</w:t>
            </w:r>
            <w:r>
              <w:rPr>
                <w:color w:val="000000"/>
                <w:sz w:val="18"/>
              </w:rPr>
              <w:br/>
            </w:r>
            <w:r>
              <w:rPr>
                <w:color w:val="000000"/>
                <w:sz w:val="18"/>
              </w:rPr>
              <w:t>•  Switzerland: Swiss Federal Data Protection and Information Commissioner (FDPIC)</w:t>
            </w:r>
            <w:r>
              <w:rPr>
                <w:i/>
                <w:color w:val="FF0000"/>
                <w:sz w:val="18"/>
              </w:rPr>
              <w:br/>
            </w:r>
            <w:r>
              <w:rPr>
                <w:color w:val="000000"/>
                <w:sz w:val="18"/>
              </w:rPr>
              <w:br/>
            </w:r>
            <w:r>
              <w:rPr>
                <w:color w:val="000000"/>
                <w:sz w:val="18"/>
              </w:rPr>
              <w:t>[Enter applicable supervisory authority after discussion]</w:t>
            </w:r>
          </w:p>
        </w:tc>
      </w:tr>
    </w:tbl>
    <w:p w14:paraId="62A29C3A" w14:textId="77777777"/>
    <w:p w14:paraId="13504752" w14:textId="77777777">
      <w:pPr>
        <w:pStyle w:val="Heading1"/>
      </w:pPr>
      <w:r>
        <w:rPr>
          <w:color w:val="000000"/>
        </w:rPr>
        <w:t>Schedule 2</w:t>
      </w:r>
    </w:p>
    <w:p w14:paraId="09CCDDFF" w14:textId="77777777">
      <w:pPr>
        <w:pStyle w:val="Heading2"/>
      </w:pPr>
      <w:r>
        <w:rPr>
          <w:color w:val="000000"/>
        </w:rPr>
        <w:t>Technical and Organizational Measures</w:t>
      </w:r>
    </w:p>
    <w:p w14:paraId="136D44E0" w14:textId="77777777">
      <w:pPr>
        <w:spacing w:after="80"/>
      </w:pPr>
      <w:r>
        <w:rPr>
          <w:i/>
          <w:color w:val="FF0000"/>
          <w:sz w:val="18"/>
        </w:rPr>
        <w:t>[Drafting Note: AGENT DECISION POINT — Schedule 2 Scope: This Schedule serves as Annex II for the Standard Contractual Clauses (SCCs).  If SCCs are incorporated (GDPR cross-border transfer), the full table below is REQUIRED — use Option A.  If no SCCs apply (CCPA-only or domestic deal), use Option B (short-form paragraph) and delete the table.  For Option A, fill all company-specific placeholders in the Description column; blank cells are not acceptable for finalized SCCs.  For Option B, no customization is needed.]</w:t>
      </w:r>
    </w:p>
    <w:p w14:paraId="61F7F28E" w14:textId="77777777">
      <w:pPr>
        <w:spacing w:after="120"/>
      </w:pPr>
      <w:r>
        <w:t>Provider maintains a comprehensive information security program as described in the data security provisions of the Agreement.  Provider implements the following technical and organizational measures to protect Customer Personal Data:</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835"/>
        <w:gridCol w:w="5021"/>
      </w:tblGrid>
      <w:tr w14:paraId="391316D4" w14:textId="77777777">
        <w:trPr>
          <w:hidden w:val="0"/>
          <w:jc w:val="center"/>
        </w:trPr>
        <w:tc>
          <w:tcPr>
            <w:tcW w:w="360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00211FBC" w14:textId="77777777">
            <w:r>
              <w:rPr>
                <w:b/>
                <w:sz w:val="18"/>
              </w:rPr>
              <w:t>Measure</w:t>
            </w:r>
          </w:p>
        </w:tc>
        <w:tc>
          <w:tcPr>
            <w:tcW w:w="5760" w:type="dxa"/>
            <w:shd w:color="auto" w:fill="D9D9D9" w:val="clear"/>
            <w:tcMar>
              <w:left w:w="108" w:type="dxa"/>
              <w:right w:w="108" w:type="dxa"/>
              <w:top w:w="0" w:type="dxa"/>
              <w:bottom w:w="0" w:type="dxa"/>
            </w:tcMar>
            <w:tcBorders>
              <w:top w:val="single" w:sz="4" w:space="0"/>
              <w:bottom w:val="single" w:sz="4" w:space="0"/>
              <w:right w:val="single" w:sz="4" w:space="0"/>
            </w:tcBorders>
          </w:tcPr>
          <w:p w14:paraId="11CB233A" w14:textId="77777777">
            <w:r>
              <w:rPr>
                <w:b/>
                <w:sz w:val="18"/>
              </w:rPr>
              <w:t>Description</w:t>
            </w:r>
          </w:p>
        </w:tc>
      </w:tr>
      <w:tr w14:paraId="6EECF10F"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2C5F920C" w14:textId="77777777">
            <w:r>
              <w:rPr>
                <w:sz w:val="18"/>
              </w:rPr>
              <w:t>Pseudonymization and encryption of Personal Data</w:t>
            </w:r>
          </w:p>
        </w:tc>
        <w:tc>
          <w:tcPr>
            <w:tcW w:w="5760" w:type="dxa"/>
            <w:tcMar>
              <w:left w:w="108" w:type="dxa"/>
              <w:right w:w="108" w:type="dxa"/>
              <w:top w:w="0" w:type="dxa"/>
              <w:bottom w:w="0" w:type="dxa"/>
            </w:tcMar>
            <w:tcBorders>
              <w:bottom w:val="single" w:sz="4" w:space="0"/>
              <w:right w:val="single" w:sz="4" w:space="0"/>
            </w:tcBorders>
          </w:tcPr>
          <w:p w14:paraId="6972A9E7" w14:textId="77777777">
            <w:r>
              <w:rPr>
                <w:sz w:val="18"/>
              </w:rPr>
              <w:t>[Describe measures, e.g., AES-256 encryption at rest; TLS 1.2+ in transit; pseudonymization applied where technically feasible.]</w:t>
            </w:r>
          </w:p>
        </w:tc>
      </w:tr>
      <w:tr w14:paraId="16F6E236"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12E8CD1B" w14:textId="77777777">
            <w:r>
              <w:rPr>
                <w:sz w:val="18"/>
              </w:rPr>
              <w:t>Ongoing confidentiality, integrity, availability and resilience</w:t>
            </w:r>
          </w:p>
        </w:tc>
        <w:tc>
          <w:tcPr>
            <w:tcW w:w="5760" w:type="dxa"/>
            <w:tcMar>
              <w:left w:w="108" w:type="dxa"/>
              <w:right w:w="108" w:type="dxa"/>
              <w:top w:w="0" w:type="dxa"/>
              <w:bottom w:w="0" w:type="dxa"/>
            </w:tcMar>
            <w:tcBorders>
              <w:bottom w:val="single" w:sz="4" w:space="0"/>
              <w:right w:val="single" w:sz="4" w:space="0"/>
            </w:tcBorders>
          </w:tcPr>
          <w:p w14:paraId="081133A4" w14:textId="77777777">
            <w:r>
              <w:rPr>
                <w:sz w:val="18"/>
              </w:rPr>
              <w:t>[Describe measures, e.g., multi-AZ deployment; redundant infrastructure; access controls limiting personnel access to minimum necessary data; documented business continuity plan.]</w:t>
            </w:r>
          </w:p>
        </w:tc>
      </w:tr>
      <w:tr w14:paraId="0EB4786C"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1850FDF9" w14:textId="77777777">
            <w:r>
              <w:rPr>
                <w:sz w:val="18"/>
              </w:rPr>
              <w:t>Ability to restore availability following an incident</w:t>
            </w:r>
          </w:p>
        </w:tc>
        <w:tc>
          <w:tcPr>
            <w:tcW w:w="5760" w:type="dxa"/>
            <w:tcMar>
              <w:left w:w="108" w:type="dxa"/>
              <w:right w:w="108" w:type="dxa"/>
              <w:top w:w="0" w:type="dxa"/>
              <w:bottom w:w="0" w:type="dxa"/>
            </w:tcMar>
            <w:tcBorders>
              <w:bottom w:val="single" w:sz="4" w:space="0"/>
              <w:right w:val="single" w:sz="4" w:space="0"/>
            </w:tcBorders>
          </w:tcPr>
          <w:p w14:paraId="762BF074" w14:textId="77777777">
            <w:r>
              <w:rPr>
                <w:sz w:val="18"/>
              </w:rPr>
              <w:t>[Describe measures, e.g., automated backups with daily snapshots retained for 30 days; tested disaster recovery plan with RTO of [COMPANY: RTO, e.g., 4 hours] and RPO of [COMPANY: RPO, e.g., 1 hour].]</w:t>
            </w:r>
          </w:p>
        </w:tc>
      </w:tr>
      <w:tr w14:paraId="69B2DB0D"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3C7C7876" w14:textId="77777777">
            <w:r>
              <w:rPr>
                <w:sz w:val="18"/>
              </w:rPr>
              <w:t>Regular testing and evaluation of security measures</w:t>
            </w:r>
          </w:p>
        </w:tc>
        <w:tc>
          <w:tcPr>
            <w:tcW w:w="5760" w:type="dxa"/>
            <w:tcMar>
              <w:left w:w="108" w:type="dxa"/>
              <w:right w:w="108" w:type="dxa"/>
              <w:top w:w="0" w:type="dxa"/>
              <w:bottom w:w="0" w:type="dxa"/>
            </w:tcMar>
            <w:tcBorders>
              <w:bottom w:val="single" w:sz="4" w:space="0"/>
              <w:right w:val="single" w:sz="4" w:space="0"/>
            </w:tcBorders>
          </w:tcPr>
          <w:p w14:paraId="0E262DAC" w14:textId="77777777">
            <w:r>
              <w:rPr>
                <w:sz w:val="18"/>
              </w:rPr>
              <w:t>[Describe measures, e.g., annual third-party penetration testing; quarterly vulnerability scanning; continuous monitoring via SIEM.]</w:t>
            </w:r>
          </w:p>
        </w:tc>
      </w:tr>
      <w:tr w14:paraId="686F604D"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0D8A6B13" w14:textId="77777777">
            <w:r>
              <w:rPr>
                <w:sz w:val="18"/>
              </w:rPr>
              <w:t>User identification and authorization</w:t>
            </w:r>
          </w:p>
        </w:tc>
        <w:tc>
          <w:tcPr>
            <w:tcW w:w="5760" w:type="dxa"/>
            <w:tcMar>
              <w:left w:w="108" w:type="dxa"/>
              <w:right w:w="108" w:type="dxa"/>
              <w:top w:w="0" w:type="dxa"/>
              <w:bottom w:w="0" w:type="dxa"/>
            </w:tcMar>
            <w:tcBorders>
              <w:bottom w:val="single" w:sz="4" w:space="0"/>
              <w:right w:val="single" w:sz="4" w:space="0"/>
            </w:tcBorders>
          </w:tcPr>
          <w:p w14:paraId="123A7A38" w14:textId="77777777">
            <w:r>
              <w:rPr>
                <w:sz w:val="18"/>
              </w:rPr>
              <w:t>[Describe measures, e.g., role-based access control (RBAC); MFA required for all privileged accounts; quarterly access reviews; principle of least privilege enforced.]</w:t>
            </w:r>
          </w:p>
        </w:tc>
      </w:tr>
      <w:tr w14:paraId="584092F3"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13CE5F63" w14:textId="77777777">
            <w:r>
              <w:rPr>
                <w:sz w:val="18"/>
              </w:rPr>
              <w:t>Protection of data during transmission</w:t>
            </w:r>
          </w:p>
        </w:tc>
        <w:tc>
          <w:tcPr>
            <w:tcW w:w="5760" w:type="dxa"/>
            <w:tcMar>
              <w:left w:w="108" w:type="dxa"/>
              <w:right w:w="108" w:type="dxa"/>
              <w:top w:w="0" w:type="dxa"/>
              <w:bottom w:w="0" w:type="dxa"/>
            </w:tcMar>
            <w:tcBorders>
              <w:bottom w:val="single" w:sz="4" w:space="0"/>
              <w:right w:val="single" w:sz="4" w:space="0"/>
            </w:tcBorders>
          </w:tcPr>
          <w:p w14:paraId="6F2E24A4" w14:textId="77777777">
            <w:r>
              <w:rPr>
                <w:sz w:val="18"/>
              </w:rPr>
              <w:t>[Describe measures, e.g., TLS 1.2 or higher for all data in transit; certificate management and rotation procedures; HSTS enforcement.]</w:t>
            </w:r>
          </w:p>
        </w:tc>
      </w:tr>
      <w:tr w14:paraId="15C41408"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4052595B" w14:textId="77777777">
            <w:r>
              <w:rPr>
                <w:sz w:val="18"/>
              </w:rPr>
              <w:t>Protection of data during storage</w:t>
            </w:r>
          </w:p>
        </w:tc>
        <w:tc>
          <w:tcPr>
            <w:tcW w:w="5760" w:type="dxa"/>
            <w:tcMar>
              <w:left w:w="108" w:type="dxa"/>
              <w:right w:w="108" w:type="dxa"/>
              <w:top w:w="0" w:type="dxa"/>
              <w:bottom w:w="0" w:type="dxa"/>
            </w:tcMar>
            <w:tcBorders>
              <w:bottom w:val="single" w:sz="4" w:space="0"/>
              <w:right w:val="single" w:sz="4" w:space="0"/>
            </w:tcBorders>
          </w:tcPr>
          <w:p w14:paraId="323AD32C" w14:textId="77777777">
            <w:r>
              <w:rPr>
                <w:sz w:val="18"/>
              </w:rPr>
              <w:t>[Describe measures, e.g., AES-256 encryption for all data at rest; encrypted database backups; key management via [COMPANY: KMS provider, e.g., AWS KMS / Azure Key Vault].]</w:t>
            </w:r>
          </w:p>
        </w:tc>
      </w:tr>
      <w:tr w14:paraId="7D3B82BE"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1E41309A" w14:textId="77777777">
            <w:r>
              <w:rPr>
                <w:sz w:val="18"/>
              </w:rPr>
              <w:t>Physical security of processing locations</w:t>
            </w:r>
          </w:p>
        </w:tc>
        <w:tc>
          <w:tcPr>
            <w:tcW w:w="5760" w:type="dxa"/>
            <w:tcMar>
              <w:left w:w="108" w:type="dxa"/>
              <w:right w:w="108" w:type="dxa"/>
              <w:top w:w="0" w:type="dxa"/>
              <w:bottom w:w="0" w:type="dxa"/>
            </w:tcMar>
            <w:tcBorders>
              <w:bottom w:val="single" w:sz="4" w:space="0"/>
              <w:right w:val="single" w:sz="4" w:space="0"/>
            </w:tcBorders>
          </w:tcPr>
          <w:p w14:paraId="45F2588A" w14:textId="77777777">
            <w:r>
              <w:rPr>
                <w:sz w:val="18"/>
              </w:rPr>
              <w:t>[Describe measures, e.g., Provider uses [COMPANY: cloud provider, e.g., AWS / GCP / Azure] data centers with SOC 2 Type II and ISO 27001 physical security controls including badge access, CCTV, and 24/7 security personnel.]</w:t>
            </w:r>
          </w:p>
        </w:tc>
      </w:tr>
      <w:tr w14:paraId="6496BAE9"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6F13A057" w14:textId="77777777">
            <w:r>
              <w:rPr>
                <w:sz w:val="18"/>
              </w:rPr>
              <w:t>Events logging and monitoring</w:t>
            </w:r>
          </w:p>
        </w:tc>
        <w:tc>
          <w:tcPr>
            <w:tcW w:w="5760" w:type="dxa"/>
            <w:tcMar>
              <w:left w:w="108" w:type="dxa"/>
              <w:right w:w="108" w:type="dxa"/>
              <w:top w:w="0" w:type="dxa"/>
              <w:bottom w:w="0" w:type="dxa"/>
            </w:tcMar>
            <w:tcBorders>
              <w:bottom w:val="single" w:sz="4" w:space="0"/>
              <w:right w:val="single" w:sz="4" w:space="0"/>
            </w:tcBorders>
          </w:tcPr>
          <w:p w14:paraId="5EFB2A68" w14:textId="77777777">
            <w:r>
              <w:rPr>
                <w:sz w:val="18"/>
              </w:rPr>
              <w:t>[Describe measures, e.g., centralized logging of all access to Customer Personal Data; SIEM with automated alerting for anomalous access patterns; logs retained for minimum 12 months.]</w:t>
            </w:r>
          </w:p>
        </w:tc>
      </w:tr>
      <w:tr w14:paraId="7AE6C4D8"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058D6267" w14:textId="77777777">
            <w:r>
              <w:rPr>
                <w:sz w:val="18"/>
              </w:rPr>
              <w:t>System configuration management</w:t>
            </w:r>
          </w:p>
        </w:tc>
        <w:tc>
          <w:tcPr>
            <w:tcW w:w="5760" w:type="dxa"/>
            <w:tcMar>
              <w:left w:w="108" w:type="dxa"/>
              <w:right w:w="108" w:type="dxa"/>
              <w:top w:w="0" w:type="dxa"/>
              <w:bottom w:w="0" w:type="dxa"/>
            </w:tcMar>
            <w:tcBorders>
              <w:bottom w:val="single" w:sz="4" w:space="0"/>
              <w:right w:val="single" w:sz="4" w:space="0"/>
            </w:tcBorders>
          </w:tcPr>
          <w:p w14:paraId="1C04B029" w14:textId="77777777">
            <w:r>
              <w:rPr>
                <w:sz w:val="18"/>
              </w:rPr>
              <w:t>[Describe measures, e.g., infrastructure-as-code; hardened system configurations based on CIS benchmarks; change management process requiring approval before production changes.]</w:t>
            </w:r>
          </w:p>
        </w:tc>
      </w:tr>
      <w:tr w14:paraId="088683CD"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021A9C44" w14:textId="77777777">
            <w:r>
              <w:rPr>
                <w:sz w:val="18"/>
              </w:rPr>
              <w:t>Internal IT governance and security policies</w:t>
            </w:r>
          </w:p>
        </w:tc>
        <w:tc>
          <w:tcPr>
            <w:tcW w:w="5760" w:type="dxa"/>
            <w:tcMar>
              <w:left w:w="108" w:type="dxa"/>
              <w:right w:w="108" w:type="dxa"/>
              <w:top w:w="0" w:type="dxa"/>
              <w:bottom w:w="0" w:type="dxa"/>
            </w:tcMar>
            <w:tcBorders>
              <w:bottom w:val="single" w:sz="4" w:space="0"/>
              <w:right w:val="single" w:sz="4" w:space="0"/>
            </w:tcBorders>
          </w:tcPr>
          <w:p w14:paraId="51E991AD" w14:textId="77777777">
            <w:r>
              <w:rPr>
                <w:sz w:val="18"/>
              </w:rPr>
              <w:t>[Describe measures, e.g., documented security policies reviewed annually; designated CISO or security officer; security training for all personnel upon hire and annually.]</w:t>
            </w:r>
          </w:p>
        </w:tc>
      </w:tr>
      <w:tr w14:paraId="28C75611"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2B7B13CF" w14:textId="77777777">
            <w:r>
              <w:rPr>
                <w:sz w:val="18"/>
              </w:rPr>
              <w:t>Certifications and third-party assurances</w:t>
            </w:r>
          </w:p>
        </w:tc>
        <w:tc>
          <w:tcPr>
            <w:tcW w:w="5760" w:type="dxa"/>
            <w:tcMar>
              <w:left w:w="108" w:type="dxa"/>
              <w:right w:w="108" w:type="dxa"/>
              <w:top w:w="0" w:type="dxa"/>
              <w:bottom w:w="0" w:type="dxa"/>
            </w:tcMar>
            <w:tcBorders>
              <w:bottom w:val="single" w:sz="4" w:space="0"/>
              <w:right w:val="single" w:sz="4" w:space="0"/>
            </w:tcBorders>
          </w:tcPr>
          <w:p w14:paraId="2BB3B8DA" w14:textId="77777777">
            <w:r>
              <w:rPr>
                <w:sz w:val="18"/>
              </w:rPr>
              <w:t>[List current certifications, e.g., SOC 2 Type II (audit period: [dates]); ISO 27001 (certificate #: [X]); HITRUST CSF (if applicable). Reports available upon written request subject to NDA.]</w:t>
            </w:r>
          </w:p>
        </w:tc>
      </w:tr>
      <w:tr w14:paraId="4A72F1EC"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023D9FF9" w14:textId="77777777">
            <w:r>
              <w:rPr>
                <w:sz w:val="18"/>
              </w:rPr>
              <w:t>Data minimization</w:t>
            </w:r>
          </w:p>
        </w:tc>
        <w:tc>
          <w:tcPr>
            <w:tcW w:w="5760" w:type="dxa"/>
            <w:tcMar>
              <w:left w:w="108" w:type="dxa"/>
              <w:right w:w="108" w:type="dxa"/>
              <w:top w:w="0" w:type="dxa"/>
              <w:bottom w:w="0" w:type="dxa"/>
            </w:tcMar>
            <w:tcBorders>
              <w:bottom w:val="single" w:sz="4" w:space="0"/>
              <w:right w:val="single" w:sz="4" w:space="0"/>
            </w:tcBorders>
          </w:tcPr>
          <w:p w14:paraId="112EC61D" w14:textId="77777777">
            <w:r>
              <w:rPr>
                <w:sz w:val="18"/>
              </w:rPr>
              <w:t>[Describe measures, e.g., collection limited to data necessary for Cloud Service functionality; data minimization requirements incorporated into product design (privacy by design and by default).]</w:t>
            </w:r>
          </w:p>
        </w:tc>
      </w:tr>
      <w:tr w14:paraId="2C769C32"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36B7BBBC" w14:textId="77777777">
            <w:r>
              <w:rPr>
                <w:sz w:val="18"/>
              </w:rPr>
              <w:t>Data quality assurance</w:t>
            </w:r>
          </w:p>
        </w:tc>
        <w:tc>
          <w:tcPr>
            <w:tcW w:w="5760" w:type="dxa"/>
            <w:tcMar>
              <w:left w:w="108" w:type="dxa"/>
              <w:right w:w="108" w:type="dxa"/>
              <w:top w:w="0" w:type="dxa"/>
              <w:bottom w:w="0" w:type="dxa"/>
            </w:tcMar>
            <w:tcBorders>
              <w:bottom w:val="single" w:sz="4" w:space="0"/>
              <w:right w:val="single" w:sz="4" w:space="0"/>
            </w:tcBorders>
          </w:tcPr>
          <w:p w14:paraId="41A9DC56" w14:textId="77777777">
            <w:r>
              <w:rPr>
                <w:sz w:val="18"/>
              </w:rPr>
              <w:t>[Describe measures, e.g., Customer controls accuracy and updates of Customer Personal Data through Cloud Service interface; Provider processes data as received without unauthorized modification.]</w:t>
            </w:r>
          </w:p>
        </w:tc>
      </w:tr>
      <w:tr w14:paraId="09A00E23"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5D52F28B" w14:textId="77777777">
            <w:r>
              <w:rPr>
                <w:sz w:val="18"/>
              </w:rPr>
              <w:t>Limited data retention</w:t>
            </w:r>
          </w:p>
        </w:tc>
        <w:tc>
          <w:tcPr>
            <w:tcW w:w="5760" w:type="dxa"/>
            <w:tcMar>
              <w:left w:w="108" w:type="dxa"/>
              <w:right w:w="108" w:type="dxa"/>
              <w:top w:w="0" w:type="dxa"/>
              <w:bottom w:w="0" w:type="dxa"/>
            </w:tcMar>
            <w:tcBorders>
              <w:bottom w:val="single" w:sz="4" w:space="0"/>
              <w:right w:val="single" w:sz="4" w:space="0"/>
            </w:tcBorders>
          </w:tcPr>
          <w:p w14:paraId="522FAA2B" w14:textId="77777777">
            <w:r>
              <w:rPr>
                <w:sz w:val="18"/>
              </w:rPr>
              <w:t xml:space="preserve">[Describe measures, e.g., Customer Personal Data retained only for duration of Agreement plus [X] days post-termination transition </w:t>
            </w:r>
            <w:r>
              <w:rPr>
                <w:sz w:val="18"/>
              </w:rPr>
              <w:t>period;</w:t>
            </w:r>
            <w:r>
              <w:rPr>
                <w:sz w:val="18"/>
              </w:rPr>
              <w:t xml:space="preserve"> automated deletion upon Agreement expiration. Or: See Agreement §4.6.]</w:t>
            </w:r>
          </w:p>
        </w:tc>
      </w:tr>
      <w:tr w14:paraId="4EC280BB"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5C4B1860" w14:textId="77777777">
            <w:r>
              <w:rPr>
                <w:sz w:val="18"/>
              </w:rPr>
              <w:t>Accountability and data protection governance</w:t>
            </w:r>
          </w:p>
        </w:tc>
        <w:tc>
          <w:tcPr>
            <w:tcW w:w="5760" w:type="dxa"/>
            <w:tcMar>
              <w:left w:w="108" w:type="dxa"/>
              <w:right w:w="108" w:type="dxa"/>
              <w:top w:w="0" w:type="dxa"/>
              <w:bottom w:w="0" w:type="dxa"/>
            </w:tcMar>
            <w:tcBorders>
              <w:bottom w:val="single" w:sz="4" w:space="0"/>
              <w:right w:val="single" w:sz="4" w:space="0"/>
            </w:tcBorders>
          </w:tcPr>
          <w:p w14:paraId="47F2F58A" w14:textId="77777777">
            <w:r>
              <w:rPr>
                <w:sz w:val="18"/>
              </w:rPr>
              <w:t>[Describe measures, e.g., designated Data Protection Officer (if applicable); internal privacy program with documented policies; regular privacy impact assessments for new processing activities; staff confidentiality obligations.]</w:t>
            </w:r>
          </w:p>
        </w:tc>
      </w:tr>
      <w:tr w14:paraId="016CFA2A" w14:textId="77777777">
        <w:trPr>
          <w:hidden w:val="0"/>
          <w:jc w:val="center"/>
        </w:trPr>
        <w:tc>
          <w:tcPr>
            <w:tcW w:w="3600" w:type="dxa"/>
            <w:tcMar>
              <w:left w:w="108" w:type="dxa"/>
              <w:right w:w="108" w:type="dxa"/>
              <w:top w:w="0" w:type="dxa"/>
              <w:bottom w:w="0" w:type="dxa"/>
            </w:tcMar>
            <w:tcBorders>
              <w:bottom w:val="single" w:sz="4" w:space="0"/>
              <w:left w:val="single" w:sz="4" w:space="0"/>
              <w:right w:val="single" w:sz="4" w:space="0"/>
            </w:tcBorders>
          </w:tcPr>
          <w:p w14:paraId="16D1585C" w14:textId="77777777">
            <w:r>
              <w:rPr>
                <w:sz w:val="18"/>
              </w:rPr>
              <w:t>Data portability and erasure capabilities</w:t>
            </w:r>
          </w:p>
        </w:tc>
        <w:tc>
          <w:tcPr>
            <w:tcW w:w="5760" w:type="dxa"/>
            <w:tcMar>
              <w:left w:w="108" w:type="dxa"/>
              <w:right w:w="108" w:type="dxa"/>
              <w:top w:w="0" w:type="dxa"/>
              <w:bottom w:w="0" w:type="dxa"/>
            </w:tcMar>
            <w:tcBorders>
              <w:bottom w:val="single" w:sz="4" w:space="0"/>
              <w:right w:val="single" w:sz="4" w:space="0"/>
            </w:tcBorders>
          </w:tcPr>
          <w:p w14:paraId="78376D67" w14:textId="77777777">
            <w:r>
              <w:rPr>
                <w:sz w:val="18"/>
              </w:rPr>
              <w:t xml:space="preserve">[Describe measures, e.g., Customer may export all Customer </w:t>
            </w:r>
            <w:r>
              <w:rPr>
                <w:sz w:val="18"/>
              </w:rPr>
              <w:t>Personal Data via [API/UI] in [format] at any time; secure deletion of all Customer Personal Data within [X] days of Agreement termination upon request. Or: See Agreement §4.6.]</w:t>
            </w:r>
          </w:p>
        </w:tc>
      </w:tr>
    </w:tbl>
    <w:p w14:paraId="4CC5C68B" w14:textId="77777777"/>
    <w:p w14:paraId="5A5E9F8F" w14:textId="77777777">
      <w:pPr>
        <w:spacing w:after="80"/>
      </w:pPr>
      <w:r>
        <w:rPr>
          <w:i/>
          <w:color w:val="FF0000"/>
          <w:sz w:val="18"/>
        </w:rPr>
        <w:t>[Drafting Note: AGENT DECISION POINT — Option B (Short-Form — Non-SCCs).  Use this paragraph INSTEAD of the table above when no SCCs are required (CCPA-only, domestic deal, or adequacy-decision country).  Delete the entire table above and replace with this paragraph.  Select when: No GDPR cross-border transfer; no SCCs incorporated.]</w:t>
      </w:r>
    </w:p>
    <w:p w14:paraId="7B1C06D0" w14:textId="77777777">
      <w:pPr>
        <w:spacing w:after="120"/>
      </w:pPr>
      <w:r>
        <w:t>Provider maintains reasonable and appropriate technical and organizational measures designed to protect Customer Personal Data against unauthorized access, disclosure, alteration, destruction, or loss.  These measures include, without limitation, encryption of data in transit and at rest, access controls implementing the principle of least privilege, regular vulnerability assessments, and incident response procedures.  Provider will make available, upon Customer’s reasonable written request, a summary description of its then-current security measures.</w:t>
      </w:r>
    </w:p>
    <w:p w14:paraId="7D3E5FE8" w14:textId="77777777">
      <w:r>
        <w:br w:type="page"/>
      </w:r>
    </w:p>
    <w:p w14:paraId="5CF23B58" w14:textId="77777777">
      <w:pPr>
        <w:pStyle w:val="Heading1"/>
      </w:pPr>
      <w:r>
        <w:rPr>
          <w:color w:val="000000"/>
        </w:rPr>
        <w:t>Schedule 3</w:t>
      </w:r>
    </w:p>
    <w:p w14:paraId="53DB86BE" w14:textId="77777777">
      <w:pPr>
        <w:pStyle w:val="Heading2"/>
      </w:pPr>
      <w:r>
        <w:rPr>
          <w:color w:val="000000"/>
        </w:rPr>
        <w:t>Cross-Border Transfer Mechanisms</w:t>
      </w:r>
    </w:p>
    <w:p w14:paraId="27CD16D1" w14:textId="77777777">
      <w:pPr>
        <w:spacing w:after="80"/>
      </w:pPr>
      <w:r>
        <w:rPr>
          <w:i/>
          <w:color w:val="FF0000"/>
          <w:sz w:val="18"/>
        </w:rPr>
        <w:t>[Drafting Note: AGENT DECISION POINT: This Schedule incorporates the EU Standard Contractual Clauses and UK Addendum by reference.  Based on the Applicable Data Protection Laws selected on the Cover Page, include or delete Sections as follows:</w:t>
      </w:r>
      <w:r>
        <w:rPr>
          <w:i/>
          <w:color w:val="FF0000"/>
          <w:sz w:val="18"/>
        </w:rPr>
        <w:br/>
      </w:r>
      <w:r>
        <w:rPr>
          <w:i/>
          <w:color w:val="FF0000"/>
          <w:sz w:val="18"/>
        </w:rPr>
        <w:t>• Section 1 (EEA SCCs): Include if GDPR applies; delete if not.</w:t>
      </w:r>
      <w:r>
        <w:rPr>
          <w:i/>
          <w:color w:val="FF0000"/>
          <w:sz w:val="18"/>
        </w:rPr>
        <w:br/>
      </w:r>
      <w:r>
        <w:rPr>
          <w:i/>
          <w:color w:val="FF0000"/>
          <w:sz w:val="18"/>
        </w:rPr>
        <w:t>• Section 2 (UK Addendum): Include if UK GDPR applies; delete if not.</w:t>
      </w:r>
      <w:r>
        <w:rPr>
          <w:i/>
          <w:color w:val="FF0000"/>
          <w:sz w:val="18"/>
        </w:rPr>
        <w:br/>
      </w:r>
      <w:r>
        <w:rPr>
          <w:i/>
          <w:color w:val="FF0000"/>
          <w:sz w:val="18"/>
        </w:rPr>
        <w:t>• Section 3 (Swiss Transfers): Include if Swiss FADP applies; delete if not.</w:t>
      </w:r>
      <w:r>
        <w:rPr>
          <w:i/>
          <w:color w:val="FF0000"/>
          <w:sz w:val="18"/>
        </w:rPr>
        <w:br/>
      </w:r>
      <w:r>
        <w:rPr>
          <w:i/>
          <w:color w:val="FF0000"/>
          <w:sz w:val="18"/>
        </w:rPr>
        <w:t>• Section 4 (Alternative Mechanisms): Retain if Provider is DPF-certified; optional otherwise.</w:t>
      </w:r>
      <w:r>
        <w:rPr>
          <w:i/>
          <w:color w:val="FF0000"/>
          <w:sz w:val="18"/>
        </w:rPr>
        <w:br/>
      </w:r>
      <w:r>
        <w:rPr>
          <w:i/>
          <w:color w:val="FF0000"/>
          <w:sz w:val="18"/>
        </w:rPr>
        <w:t>The full SCC text is not appended here — the operative SCCs are the standard contractual clauses annexed to European Commission Implementing Decision 2021/914.]</w:t>
      </w:r>
    </w:p>
    <w:p w14:paraId="01F12A12" w14:textId="77777777">
      <w:pPr>
        <w:pStyle w:val="Heading3"/>
      </w:pPr>
      <w:r>
        <w:rPr>
          <w:color w:val="000000"/>
        </w:rPr>
        <w:t>1</w:t>
      </w:r>
      <w:r>
        <w:rPr>
          <w:color w:val="000000"/>
        </w:rPr>
        <w:t>.  EEA</w:t>
      </w:r>
      <w:r>
        <w:rPr>
          <w:color w:val="000000"/>
        </w:rPr>
        <w:t xml:space="preserve"> Transfers.</w:t>
      </w:r>
    </w:p>
    <w:p w14:paraId="1BE7955C" w14:textId="77777777">
      <w:pPr>
        <w:spacing w:after="120"/>
      </w:pPr>
      <w:r>
        <w:t>Customer and Provider agree that if the GDPR protects the transfer of Customer Personal Data, the transfer is from Customer within the EEA to Provider outside of the EEA, and the transfer is not governed by an adequacy decision made by the European Commission, then by entering into this DPA, Customer and Provider are deemed to have entered into the Standard Contractual Clauses (the "EEA SCCs") set forth in the Annex to Commission Implementing Decision (EU) 2021/914, which are incorporated by reference.  Any such transfer is made pursuant to the EEA SCCs, which are completed as follows:</w:t>
      </w:r>
    </w:p>
    <w:p w14:paraId="1E59B355" w14:textId="77777777">
      <w:pPr>
        <w:spacing w:after="120"/>
      </w:pPr>
      <w:r>
        <w:t>(a</w:t>
      </w:r>
      <w:r>
        <w:t>)  Module</w:t>
      </w:r>
      <w:r>
        <w:t xml:space="preserve"> Two (Controller to Processor) of the EEA SCCs applies when Customer is a Controller and Provider is Processing Customer Personal Data for Customer as a Processor.</w:t>
      </w:r>
    </w:p>
    <w:p w14:paraId="7241843D" w14:textId="77777777">
      <w:pPr>
        <w:spacing w:after="120"/>
      </w:pPr>
      <w:r>
        <w:t>(b</w:t>
      </w:r>
      <w:r>
        <w:t>)  Module</w:t>
      </w:r>
      <w:r>
        <w:t xml:space="preserve"> Three (Processor to Sub-Processor) of the EEA SCCs applies when Customer is a Processor and Provider is Processing Customer Personal Data on behalf of Customer as a Subprocessor.</w:t>
      </w:r>
    </w:p>
    <w:p w14:paraId="567B197C" w14:textId="77777777">
      <w:pPr>
        <w:spacing w:after="120"/>
      </w:pPr>
      <w:r>
        <w:t>(c</w:t>
      </w:r>
      <w:r>
        <w:t>)  For</w:t>
      </w:r>
      <w:r>
        <w:t xml:space="preserve"> each Module, the following applies (when applicable):</w:t>
      </w:r>
    </w:p>
    <w:p w14:paraId="4B8D97AB" w14:textId="77777777">
      <w:pPr>
        <w:spacing w:after="120"/>
        <w:ind w:left="720"/>
      </w:pPr>
      <w:r>
        <w:t>(i</w:t>
      </w:r>
      <w:r>
        <w:t>)  The</w:t>
      </w:r>
      <w:r>
        <w:t xml:space="preserve"> optional docking clause in Clause 7 does not </w:t>
      </w:r>
      <w:r>
        <w:t>apply;</w:t>
      </w:r>
    </w:p>
    <w:p w14:paraId="12004AFF" w14:textId="77777777">
      <w:pPr>
        <w:spacing w:after="120"/>
        <w:ind w:left="720"/>
      </w:pPr>
      <w:r>
        <w:t>(ii</w:t>
      </w:r>
      <w:r>
        <w:t>)  In</w:t>
      </w:r>
      <w:r>
        <w:t xml:space="preserve"> Clause 9, Option 2 (</w:t>
      </w:r>
      <w:r>
        <w:t>general</w:t>
      </w:r>
      <w:r>
        <w:t xml:space="preserve"> written authorization) applies, and the minimum </w:t>
      </w:r>
      <w:r>
        <w:t>time period</w:t>
      </w:r>
      <w:r>
        <w:t xml:space="preserve"> for prior notice of Subprocessor changes is as specified on the Cover </w:t>
      </w:r>
      <w:r>
        <w:t>Page;</w:t>
      </w:r>
    </w:p>
    <w:p w14:paraId="3049E43E" w14:textId="77777777">
      <w:pPr>
        <w:spacing w:after="120"/>
        <w:ind w:left="720"/>
      </w:pPr>
      <w:r>
        <w:t xml:space="preserve">(iii)  In Clause 11, the optional language does not </w:t>
      </w:r>
      <w:r>
        <w:t>apply;</w:t>
      </w:r>
    </w:p>
    <w:p w14:paraId="1DC5DC91" w14:textId="77777777">
      <w:pPr>
        <w:spacing w:after="120"/>
        <w:ind w:left="720"/>
      </w:pPr>
      <w:r>
        <w:t>(iv</w:t>
      </w:r>
      <w:r>
        <w:t>)  All</w:t>
      </w:r>
      <w:r>
        <w:t xml:space="preserve"> square brackets in Clause 13 are </w:t>
      </w:r>
      <w:r>
        <w:t>removed;</w:t>
      </w:r>
    </w:p>
    <w:p w14:paraId="4AAB6970" w14:textId="77777777">
      <w:pPr>
        <w:spacing w:after="120"/>
        <w:ind w:left="720"/>
      </w:pPr>
      <w:r>
        <w:t>(v</w:t>
      </w:r>
      <w:r>
        <w:t>)  In</w:t>
      </w:r>
      <w:r>
        <w:t xml:space="preserve"> Clause 17 (Option 1), the EEA SCCs will be governed by the laws of [Member State</w:t>
      </w:r>
      <w:r>
        <w:t>];</w:t>
      </w:r>
    </w:p>
    <w:p w14:paraId="2CF8C175" w14:textId="77777777">
      <w:pPr>
        <w:spacing w:after="120"/>
        <w:ind w:left="720"/>
      </w:pPr>
      <w:r>
        <w:t>(vi</w:t>
      </w:r>
      <w:r>
        <w:t>)  In</w:t>
      </w:r>
      <w:r>
        <w:t xml:space="preserve"> Clause 18(b), disputes will be resolved in the courts of [Member State]; and</w:t>
      </w:r>
    </w:p>
    <w:p w14:paraId="5E228230" w14:textId="77777777">
      <w:pPr>
        <w:spacing w:after="120"/>
        <w:ind w:left="720"/>
      </w:pPr>
      <w:r>
        <w:t>(vii</w:t>
      </w:r>
      <w:r>
        <w:t>)  The</w:t>
      </w:r>
      <w:r>
        <w:t xml:space="preserve"> Cover Page and Schedule 1 to this DPA contain the information required in Annex I, Schedule 2 contains the information required in Annex II, and the Subprocessor List contains the information required in Annex III of the EEA SCCs.</w:t>
      </w:r>
    </w:p>
    <w:p w14:paraId="6CE95FB9" w14:textId="77777777">
      <w:pPr>
        <w:spacing w:after="80"/>
      </w:pPr>
      <w:r>
        <w:rPr>
          <w:i/>
          <w:color w:val="FF0000"/>
          <w:sz w:val="18"/>
        </w:rPr>
        <w:t>[Drafting Note: Replace [Member State] with the EU Member State agreed by the parties.  Common choices: Ireland (for US tech companies with Irish entities), Germany (for EU-headquartered customers), or the Netherlands.  The choice should typically align with the governing law of the Agreement or the location of the data exporter.]</w:t>
      </w:r>
    </w:p>
    <w:p w14:paraId="500A38D0" w14:textId="77777777">
      <w:pPr>
        <w:pStyle w:val="Heading3"/>
      </w:pPr>
      <w:r>
        <w:rPr>
          <w:color w:val="000000"/>
        </w:rPr>
        <w:t>2</w:t>
      </w:r>
      <w:r>
        <w:rPr>
          <w:color w:val="000000"/>
        </w:rPr>
        <w:t>.  UK</w:t>
      </w:r>
      <w:r>
        <w:rPr>
          <w:color w:val="000000"/>
        </w:rPr>
        <w:t xml:space="preserve"> Transfers.</w:t>
      </w:r>
    </w:p>
    <w:p w14:paraId="3332601A" w14:textId="77777777">
      <w:pPr>
        <w:spacing w:after="120"/>
      </w:pPr>
      <w:r>
        <w:t xml:space="preserve">Customer and Provider agree that if the UK GDPR protects the transfer of Customer Personal Data, the transfer is from Customer within the United Kingdom to Provider outside of the United Kingdom, and the </w:t>
      </w:r>
      <w:r>
        <w:t>transfer is not governed by an adequacy decision made by the UK Secretary of State, then by entering into this DPA, Customer and Provider are deemed to have entered into the UK Addendum to the EEA SCCs (the "UK Addendum") issued by the UK Information Commissioner under S119A(1) of the Data Protection Act 2018, which is incorporated by reference.  The UK Addendum is completed as follows:</w:t>
      </w:r>
    </w:p>
    <w:p w14:paraId="2E9D856F" w14:textId="77777777">
      <w:pPr>
        <w:spacing w:after="120"/>
      </w:pPr>
      <w:r>
        <w:t>(a</w:t>
      </w:r>
      <w:r>
        <w:t>)  Table</w:t>
      </w:r>
      <w:r>
        <w:t xml:space="preserve"> 1 of the UK Addendum is completed with the information in the Cover Page of this DPA.</w:t>
      </w:r>
    </w:p>
    <w:p w14:paraId="6C14D1CE" w14:textId="77777777">
      <w:pPr>
        <w:spacing w:after="120"/>
      </w:pPr>
      <w:r>
        <w:t>(b</w:t>
      </w:r>
      <w:r>
        <w:t>)  Table</w:t>
      </w:r>
      <w:r>
        <w:t xml:space="preserve"> 2 of the UK Addendum is completed with the information in Section 1 of this Schedule 3.</w:t>
      </w:r>
    </w:p>
    <w:p w14:paraId="75C1CDE9" w14:textId="77777777">
      <w:pPr>
        <w:spacing w:after="120"/>
      </w:pPr>
      <w:r>
        <w:t>(c</w:t>
      </w:r>
      <w:r>
        <w:t>)  Table</w:t>
      </w:r>
      <w:r>
        <w:t xml:space="preserve"> 3 of the UK Addendum is completed with the information in Schedules 1 and 2 of this DPA and the Subprocessor List.</w:t>
      </w:r>
    </w:p>
    <w:p w14:paraId="27054A13" w14:textId="77777777">
      <w:pPr>
        <w:spacing w:after="120"/>
      </w:pPr>
      <w:r>
        <w:t>(d)  Table 4 of the UK Addendum is modified as follows: Neither Party may end the UK Addendum as set out in Section 19 of the UK Addendum; to the extent the ICO issues a revised Approved Addendum under Section 18 of the UK Addendum, the Parties will work in good faith to revise this DPA accordingly.</w:t>
      </w:r>
    </w:p>
    <w:p w14:paraId="10F77A12" w14:textId="77777777">
      <w:pPr>
        <w:pStyle w:val="Heading3"/>
      </w:pPr>
      <w:r>
        <w:rPr>
          <w:color w:val="000000"/>
        </w:rPr>
        <w:t>3.  Swiss Transfers.</w:t>
      </w:r>
    </w:p>
    <w:p w14:paraId="0112BCBD" w14:textId="77777777">
      <w:pPr>
        <w:spacing w:after="120"/>
      </w:pPr>
      <w:r>
        <w:t>For Personal Data transfers where Swiss law (and not the law of any EEA member state or the United Kingdom) applies to the international nature of the transfer, references to the GDPR in the EEA SCCs are, to the extent legally required, amended to refer to the Swiss Federal Act on Data Protection or its successor instead, and the concept of supervisory authority will include the Swiss Federal Data Protection and Information Commissioner.</w:t>
      </w:r>
    </w:p>
    <w:p w14:paraId="46DF5AFA" w14:textId="77777777">
      <w:pPr>
        <w:pStyle w:val="Heading3"/>
      </w:pPr>
      <w:r>
        <w:rPr>
          <w:color w:val="000000"/>
        </w:rPr>
        <w:t>4</w:t>
      </w:r>
      <w:r>
        <w:rPr>
          <w:color w:val="000000"/>
        </w:rPr>
        <w:t>.  Alternative</w:t>
      </w:r>
      <w:r>
        <w:rPr>
          <w:color w:val="000000"/>
        </w:rPr>
        <w:t xml:space="preserve"> Transfer Mechanisms.</w:t>
      </w:r>
    </w:p>
    <w:p w14:paraId="01B20B22" w14:textId="77777777">
      <w:pPr>
        <w:spacing w:after="120"/>
      </w:pPr>
      <w:r>
        <w:t>To the extent that any other transfer mechanism under Data Protection Laws is applicable and provides an adequate level of protection for Customer Personal Data (including, without limitation, the EU-U.S. Data Privacy Framework, the UK Extension to the EU-U.S. Data Privacy Framework, or the Swiss-U.S. Data Privacy Framework), Provider may rely on such mechanism in lieu of or in addition to the Standard Contractual Clauses described above.</w:t>
      </w:r>
    </w:p>
    <w:p w14:paraId="2661BBEB" w14:textId="77777777">
      <w:pPr>
        <w:spacing w:after="80"/>
      </w:pPr>
      <w:r>
        <w:rPr>
          <w:i/>
          <w:color w:val="FF0000"/>
          <w:sz w:val="18"/>
        </w:rPr>
        <w:t>[Drafting Note: Section 4 allows Provider to rely on the EU-US Data Privacy Framework (DPF) if certified.  If Provider is DPF-certified, this provides an additional (or alternative) transfer mechanism.  However, given the uncertain durability of the DPF, the SCCs should remain in place as a backstop.  If the customer objects to Section 4, it can be removed without material impact — the SCCs alone are sufficient.]</w:t>
      </w:r>
    </w:p>
    <w:p w14:paraId="0E72F26E" w14:textId="77777777">
      <w:r>
        <w:br w:type="page"/>
      </w:r>
    </w:p>
    <w:p w14:paraId="6ACB1816" w14:textId="77777777">
      <w:pPr>
        <w:pStyle w:val="Heading1"/>
      </w:pPr>
      <w:r>
        <w:rPr>
          <w:color w:val="000000"/>
        </w:rPr>
        <w:t>Schedule 4</w:t>
      </w:r>
    </w:p>
    <w:p w14:paraId="0C67F1B1" w14:textId="77777777">
      <w:pPr>
        <w:pStyle w:val="Heading2"/>
      </w:pPr>
      <w:r>
        <w:rPr>
          <w:color w:val="000000"/>
        </w:rPr>
        <w:t>Region-Specific Terms</w:t>
      </w:r>
    </w:p>
    <w:p w14:paraId="0AAFC3C8" w14:textId="77777777">
      <w:pPr>
        <w:spacing w:after="80"/>
      </w:pPr>
      <w:r>
        <w:rPr>
          <w:i/>
          <w:color w:val="FF0000"/>
          <w:sz w:val="18"/>
        </w:rPr>
        <w:t>[Drafting Note: AGENT DECISION POINT: Include only the Parts below that correspond to the Applicable Data Protection Laws selected on the Cover Page.  Delete Parts that do not apply:</w:t>
      </w:r>
      <w:r>
        <w:rPr>
          <w:i/>
          <w:color w:val="FF0000"/>
          <w:sz w:val="18"/>
        </w:rPr>
        <w:br/>
      </w:r>
      <w:r>
        <w:rPr>
          <w:i/>
          <w:color w:val="FF0000"/>
          <w:sz w:val="18"/>
        </w:rPr>
        <w:t>• Part A (CCPA/CPRA): Include if CCPA/CPRA applies.</w:t>
      </w:r>
      <w:r>
        <w:rPr>
          <w:i/>
          <w:color w:val="FF0000"/>
          <w:sz w:val="18"/>
        </w:rPr>
        <w:br/>
      </w:r>
      <w:r>
        <w:rPr>
          <w:i/>
          <w:color w:val="FF0000"/>
          <w:sz w:val="18"/>
        </w:rPr>
        <w:t>• Part B (United Kingdom): Include if UK GDPR applies.</w:t>
      </w:r>
      <w:r>
        <w:rPr>
          <w:i/>
          <w:color w:val="FF0000"/>
          <w:sz w:val="18"/>
        </w:rPr>
        <w:br/>
      </w:r>
      <w:r>
        <w:rPr>
          <w:i/>
          <w:color w:val="FF0000"/>
          <w:sz w:val="18"/>
        </w:rPr>
        <w:t>• Part C (Switzerland): Include if Swiss FADP applies.]</w:t>
      </w:r>
    </w:p>
    <w:p w14:paraId="13F69724" w14:textId="77777777">
      <w:pPr>
        <w:pStyle w:val="Heading2"/>
      </w:pPr>
      <w:r>
        <w:rPr>
          <w:color w:val="000000"/>
        </w:rPr>
        <w:t>Part A — California Consumer Privacy Act (CCPA/CPRA)</w:t>
      </w:r>
    </w:p>
    <w:p w14:paraId="7610FE7E" w14:textId="77777777">
      <w:pPr>
        <w:spacing w:after="120"/>
      </w:pPr>
      <w:r>
        <w:t>The following terms apply to the extent that the CCPA applies to Provider's Processing of Customer Personal Data:</w:t>
      </w:r>
    </w:p>
    <w:p w14:paraId="05000D61" w14:textId="77777777">
      <w:pPr>
        <w:spacing w:after="120"/>
      </w:pPr>
      <w:r>
        <w:rPr>
          <w:b/>
        </w:rPr>
        <w:t>A.1  Roles</w:t>
      </w:r>
      <w:r>
        <w:rPr>
          <w:b/>
        </w:rPr>
        <w:t>.</w:t>
      </w:r>
    </w:p>
    <w:p w14:paraId="6E0E0166" w14:textId="77777777">
      <w:pPr>
        <w:spacing w:after="120"/>
      </w:pPr>
      <w:r>
        <w:t>For purposes of the CCPA: (a) Customer is a "Business" and (b) Provider is a "Service Provider."  Provider receives Customer Personal Data from Customer for the limited and specified business purpose of providing the Cloud Service as described in the Agreement.</w:t>
      </w:r>
    </w:p>
    <w:p w14:paraId="2A58AAFB" w14:textId="77777777">
      <w:pPr>
        <w:spacing w:after="120"/>
      </w:pPr>
      <w:r>
        <w:rPr>
          <w:b/>
        </w:rPr>
        <w:t>A.2  Restrictions</w:t>
      </w:r>
      <w:r>
        <w:rPr>
          <w:b/>
        </w:rPr>
        <w:t xml:space="preserve"> on Use.</w:t>
      </w:r>
    </w:p>
    <w:p w14:paraId="26A41BA7" w14:textId="77777777">
      <w:pPr>
        <w:spacing w:after="120"/>
      </w:pPr>
      <w:r>
        <w:t>Provider will not: (a) sell or share (as such terms are defined under the CCPA) any Customer Personal Data; (b) retain, use, or disclose Customer Personal Data for any purpose other than for the business purpose of providing the Cloud Service as specified in the Agreement, including retaining, using, or disclosing Customer Personal Data for a commercial purpose other than providing the Cloud Service; or (c) retain, use, or disclose Customer Personal Data outside of the direct business relationship between Provider and Customer.</w:t>
      </w:r>
    </w:p>
    <w:p w14:paraId="00C59F8D" w14:textId="77777777">
      <w:pPr>
        <w:spacing w:after="120"/>
      </w:pPr>
      <w:r>
        <w:rPr>
          <w:b/>
        </w:rPr>
        <w:t>A.3  Certification</w:t>
      </w:r>
      <w:r>
        <w:rPr>
          <w:b/>
        </w:rPr>
        <w:t>.</w:t>
      </w:r>
    </w:p>
    <w:p w14:paraId="38869B72" w14:textId="77777777">
      <w:pPr>
        <w:spacing w:after="120"/>
      </w:pPr>
      <w:r>
        <w:t xml:space="preserve">Provider certifies that it understands the restrictions in </w:t>
      </w:r>
      <w:r>
        <w:t>this Part</w:t>
      </w:r>
      <w:r>
        <w:t xml:space="preserve"> A of Schedule 4 and will comply with them.  Provider will notify Customer if it can no longer meet its obligations under the CCPA.</w:t>
      </w:r>
    </w:p>
    <w:p w14:paraId="1F06393D" w14:textId="77777777">
      <w:pPr>
        <w:spacing w:after="120"/>
      </w:pPr>
      <w:r>
        <w:rPr>
          <w:b/>
        </w:rPr>
        <w:t>A.4  Subcontractor</w:t>
      </w:r>
      <w:r>
        <w:rPr>
          <w:b/>
        </w:rPr>
        <w:t xml:space="preserve"> Flow-Down.</w:t>
      </w:r>
    </w:p>
    <w:p w14:paraId="4CCE896A" w14:textId="77777777">
      <w:pPr>
        <w:spacing w:after="120"/>
      </w:pPr>
      <w:r>
        <w:t>Provider will ensure that any Subprocessor engaged to assist with Processing Customer Personal Data subject to the CCPA is bound by written obligations that are no less restrictive than those imposed on Provider under this Part A, including restrictions on selling or sharing Personal Data and the use limitations described in Section A.2.</w:t>
      </w:r>
    </w:p>
    <w:p w14:paraId="2A7A8073" w14:textId="77777777">
      <w:pPr>
        <w:spacing w:after="120"/>
      </w:pPr>
      <w:r>
        <w:rPr>
          <w:b/>
        </w:rPr>
        <w:t>A.5  Consumer</w:t>
      </w:r>
      <w:r>
        <w:rPr>
          <w:b/>
        </w:rPr>
        <w:t xml:space="preserve"> Rights Cooperation.</w:t>
      </w:r>
    </w:p>
    <w:p w14:paraId="389E868E" w14:textId="77777777">
      <w:pPr>
        <w:spacing w:after="120"/>
      </w:pPr>
      <w:r>
        <w:t>Provider will assist Customer in responding to verifiable consumer requests made pursuant to the CCPA, including requests to know, delete, correct, and opt out.  Provider will comply with Customer's instructions to delete or return Customer Personal Data in connection with such requests.</w:t>
      </w:r>
    </w:p>
    <w:p w14:paraId="349CDA11" w14:textId="77777777">
      <w:pPr>
        <w:spacing w:after="120"/>
      </w:pPr>
      <w:r>
        <w:rPr>
          <w:b/>
        </w:rPr>
        <w:t>A.6  Automated</w:t>
      </w:r>
      <w:r>
        <w:rPr>
          <w:b/>
        </w:rPr>
        <w:t xml:space="preserve"> Decision-Making Technology.</w:t>
      </w:r>
    </w:p>
    <w:p w14:paraId="006687E9" w14:textId="77777777">
      <w:pPr>
        <w:spacing w:after="120"/>
      </w:pPr>
      <w:r>
        <w:t>To the extent that Provider's Cloud Service involves automated decision-making technology ("ADMT") as defined under applicable CCPA regulations, Provider will:</w:t>
      </w:r>
    </w:p>
    <w:p w14:paraId="78789EED" w14:textId="77777777">
      <w:pPr>
        <w:spacing w:after="120"/>
      </w:pPr>
      <w:r>
        <w:t xml:space="preserve">(a)  reasonably assist Customer in complying with any applicable pre-use notice requirements, including by providing information about Provider's use of ADMT as it relates to Customer Personal </w:t>
      </w:r>
      <w:r>
        <w:t>Data;</w:t>
      </w:r>
    </w:p>
    <w:p w14:paraId="4675ED86" w14:textId="77777777">
      <w:pPr>
        <w:spacing w:after="120"/>
      </w:pPr>
      <w:r>
        <w:t xml:space="preserve">(b)  reasonably assist Customer in honoring consumer requests to opt out of ADMT and to access information about ADMT, to the extent technically feasible through the Cloud </w:t>
      </w:r>
      <w:r>
        <w:t>Service;</w:t>
      </w:r>
    </w:p>
    <w:p w14:paraId="35260678" w14:textId="77777777">
      <w:pPr>
        <w:spacing w:after="120"/>
      </w:pPr>
      <w:r>
        <w:t>(c</w:t>
      </w:r>
      <w:r>
        <w:t>)  cooperate</w:t>
      </w:r>
      <w:r>
        <w:t xml:space="preserve"> with Customer in conducting any risk assessments required under applicable CCPA regulations relating to Processing that involves ADMT; and</w:t>
      </w:r>
    </w:p>
    <w:p w14:paraId="0ED30CCD" w14:textId="77777777">
      <w:pPr>
        <w:spacing w:after="120"/>
      </w:pPr>
      <w:r>
        <w:t>(d</w:t>
      </w:r>
      <w:r>
        <w:t>)  provide</w:t>
      </w:r>
      <w:r>
        <w:t xml:space="preserve"> information reasonably requested by Customer for Customer's risk assessment submissions and attestations required under applicable CCPA regulations.</w:t>
      </w:r>
    </w:p>
    <w:p w14:paraId="519EDAD4" w14:textId="77777777">
      <w:pPr>
        <w:spacing w:after="80"/>
      </w:pPr>
      <w:r>
        <w:rPr>
          <w:i/>
          <w:color w:val="FF0000"/>
          <w:sz w:val="18"/>
        </w:rPr>
        <w:t>[Drafting Note: Section A.6 addresses the CCPA's ADMT requirements effective January 1, 2027.  These obligations apply when the Cloud Service uses technology that "replaces or substantially replaces human decisionmaking" for "significant decisions" about consumers (education, lending, housing, employment, healthcare, insurance, etc.).  If the Cloud Service does not involve ADMT, this section is harmless to retain but can be deleted for simplicity.  The risk assessment cooperation provisions in (c) and (d) align with the CCPA's risk assessment requirements effective January 1, 2026, which require businesses to conduct assessments before engaging in processing that presents "significant risk" to consumer privacy, including use of ADMT and use of personal information to train ADMT.]</w:t>
      </w:r>
    </w:p>
    <w:p w14:paraId="563DE65C" w14:textId="77777777">
      <w:pPr>
        <w:pStyle w:val="Heading2"/>
      </w:pPr>
      <w:r>
        <w:rPr>
          <w:color w:val="000000"/>
        </w:rPr>
        <w:t>Part B — United Kingdom</w:t>
      </w:r>
    </w:p>
    <w:p w14:paraId="1FBB2E1E" w14:textId="77777777">
      <w:pPr>
        <w:spacing w:after="120"/>
      </w:pPr>
      <w:r>
        <w:t>The following terms apply to the extent that the UK GDPR applies to Provider's Processing of Customer Personal Data:</w:t>
      </w:r>
    </w:p>
    <w:p w14:paraId="6AE4EE71" w14:textId="77777777">
      <w:pPr>
        <w:spacing w:after="120"/>
      </w:pPr>
      <w:r>
        <w:rPr>
          <w:b/>
        </w:rPr>
        <w:t>B.1  UK</w:t>
      </w:r>
      <w:r>
        <w:rPr>
          <w:b/>
        </w:rPr>
        <w:t xml:space="preserve"> Addendum.</w:t>
      </w:r>
    </w:p>
    <w:p w14:paraId="6B9C5212" w14:textId="77777777">
      <w:pPr>
        <w:spacing w:after="120"/>
      </w:pPr>
      <w:r>
        <w:t>Where the UK GDPR applies and Customer Personal Data is transferred outside the United Kingdom in circumstances requiring appropriate safeguards, the UK Addendum incorporated in Schedule 3, Section 2 will apply.</w:t>
      </w:r>
    </w:p>
    <w:p w14:paraId="67056177" w14:textId="77777777">
      <w:pPr>
        <w:spacing w:after="120"/>
      </w:pPr>
      <w:r>
        <w:rPr>
          <w:b/>
        </w:rPr>
        <w:t>B.2  Supervisory</w:t>
      </w:r>
      <w:r>
        <w:rPr>
          <w:b/>
        </w:rPr>
        <w:t xml:space="preserve"> Authority.</w:t>
      </w:r>
    </w:p>
    <w:p w14:paraId="547905D8" w14:textId="77777777">
      <w:pPr>
        <w:spacing w:after="120"/>
      </w:pPr>
      <w:r>
        <w:t>For purposes of any supervisory authority references in this DPA, the competent supervisory authority for UK Processing is the UK Information Commissioner's Office (ICO).</w:t>
      </w:r>
    </w:p>
    <w:p w14:paraId="41E213B9" w14:textId="77777777">
      <w:pPr>
        <w:pStyle w:val="Heading2"/>
      </w:pPr>
      <w:r>
        <w:rPr>
          <w:color w:val="000000"/>
        </w:rPr>
        <w:t>Part C — Switzerland</w:t>
      </w:r>
    </w:p>
    <w:p w14:paraId="191B7B66" w14:textId="77777777">
      <w:pPr>
        <w:spacing w:after="120"/>
      </w:pPr>
      <w:r>
        <w:t>The following terms apply to the extent that the Swiss FADP applies to Provider's Processing of Customer Personal Data:</w:t>
      </w:r>
    </w:p>
    <w:p w14:paraId="4E59ADB4" w14:textId="77777777">
      <w:pPr>
        <w:spacing w:after="120"/>
      </w:pPr>
      <w:r>
        <w:rPr>
          <w:b/>
        </w:rPr>
        <w:t>C.1  Swiss</w:t>
      </w:r>
      <w:r>
        <w:rPr>
          <w:b/>
        </w:rPr>
        <w:t xml:space="preserve"> Transfers.</w:t>
      </w:r>
    </w:p>
    <w:p w14:paraId="6169AE53" w14:textId="77777777">
      <w:pPr>
        <w:spacing w:after="120"/>
      </w:pPr>
      <w:r>
        <w:t>Where the Swiss FADP applies and Customer Personal Data is transferred outside Switzerland in circumstances requiring appropriate safeguards, the provisions of Schedule 3, Section 3 will apply.</w:t>
      </w:r>
    </w:p>
    <w:p w14:paraId="2E51A17C" w14:textId="77777777">
      <w:pPr>
        <w:spacing w:after="120"/>
      </w:pPr>
      <w:r>
        <w:rPr>
          <w:b/>
        </w:rPr>
        <w:t>C.2  Supervisory</w:t>
      </w:r>
      <w:r>
        <w:rPr>
          <w:b/>
        </w:rPr>
        <w:t xml:space="preserve"> Authority.</w:t>
      </w:r>
    </w:p>
    <w:p w14:paraId="0CACEB24" w14:textId="77777777">
      <w:pPr>
        <w:spacing w:after="120"/>
      </w:pPr>
      <w:r>
        <w:t>For purposes of any supervisory authority references in this DPA, the competent supervisory authority for Swiss Processing is the Swiss Federal Data Protection and Information Commissioner (FDPIC).</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563837">
    <w:abstractNumId w:val="8"/>
  </w:num>
  <w:num w:numId="2" w16cid:durableId="1491172313">
    <w:abstractNumId w:val="6"/>
  </w:num>
  <w:num w:numId="3" w16cid:durableId="2060325705">
    <w:abstractNumId w:val="5"/>
  </w:num>
  <w:num w:numId="4" w16cid:durableId="1058473885">
    <w:abstractNumId w:val="4"/>
  </w:num>
  <w:num w:numId="5" w16cid:durableId="1151675272">
    <w:abstractNumId w:val="7"/>
  </w:num>
  <w:num w:numId="6" w16cid:durableId="1283271644">
    <w:abstractNumId w:val="3"/>
  </w:num>
  <w:num w:numId="7" w16cid:durableId="98989669">
    <w:abstractNumId w:val="2"/>
  </w:num>
  <w:num w:numId="8" w16cid:durableId="1469010874">
    <w:abstractNumId w:val="1"/>
  </w:num>
  <w:num w:numId="9" w16cid:durableId="27980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04"/>
    <w:rsid w:val="00285592"/>
    <w:rsid w:val="0029639D"/>
    <w:rsid w:val="00326F90"/>
    <w:rsid w:val="00767083"/>
    <w:rsid w:val="008E7346"/>
    <w:rsid w:val="00AA1D8D"/>
    <w:rsid w:val="00B47730"/>
    <w:rsid w:val="00B81F2F"/>
    <w:rsid w:val="00C54B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0CE56"/>
  <w14:defaultImageDpi w14:val="300"/>
  <w15:docId w15:val="{A2936B32-AF00-40EC-B93B-24F646BA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8295</Words>
  <Characters>47286</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4</cp:revision>
  <dcterms:created xsi:type="dcterms:W3CDTF">2013-12-23T23:15:00Z</dcterms:created>
  <dcterms:modified xsi:type="dcterms:W3CDTF">2026-04-14T17:37:00Z</dcterms:modified>
  <cp:category/>
</cp:coreProperties>
</file>