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888A" w14:textId="77777777">
      <w:pPr>
        <w:jc w:val="center"/>
      </w:pPr>
      <w:r>
        <w:rPr>
          <w:b/>
          <w:sz w:val="28"/>
        </w:rPr>
        <w:t>[COMPANY NAME]</w:t>
      </w:r>
    </w:p>
    <w:p w14:paraId="123AFC30" w14:textId="77777777">
      <w:pPr>
        <w:spacing w:after="240"/>
        <w:jc w:val="center"/>
      </w:pPr>
      <w:r>
        <w:rPr>
          <w:b/>
          <w:sz w:val="28"/>
        </w:rPr>
        <w:t>ORDER FORM</w:t>
      </w:r>
    </w:p>
    <w:p w14:paraId="7BE9800C" w14:textId="1A29DBF8">
      <w:pPr>
        <w:spacing w:after="120"/>
      </w:pPr>
      <w:r>
        <w:t>This is an Order Form to the Master Services Agreement (the "Agreement"), by and between [Company Name], a [State] corporation ("Company"), and ___________________ ("Customer") (each a "Party" and, collectively, the "Parties").  By signing this Order Form, each Party agrees to be bound by the terms of the Agreement</w:t>
      </w:r>
      <w:r>
        <w:t>.</w:t>
      </w:r>
      <w:r>
        <w:t xml:space="preserve">  Capitalized terms used but not defined in this Order Form have the meanings given to them in the Agreement.</w:t>
      </w:r>
      <w:r>
        <w:t xml:space="preserve">  </w:t>
      </w:r>
      <w:r>
        <w:t>This Order Form supersedes all prior Order Forms executed under the Agreement. In the event of any conflict between this Order Form and the Agreement, this Order Form shall govern.</w:t>
      </w:r>
    </w:p>
    <w:p w14:paraId="47E2388E" w14:textId="77777777">
      <w:pPr>
        <w:pStyle w:val="Heading2"/>
      </w:pPr>
      <w:r>
        <w:rPr>
          <w:color w:val="000000"/>
        </w:rPr>
        <w:t>Services &amp; Pricing</w:t>
      </w:r>
    </w:p>
    <w:p w14:paraId="4CA08484" w14:textId="77777777">
      <w:pPr>
        <w:spacing w:after="80"/>
      </w:pPr>
      <w:r>
        <w:rPr>
          <w:i/>
          <w:color w:val="FF0000"/>
          <w:sz w:val="18"/>
        </w:rPr>
        <w:t>[Drafting Note: AGENT INSTRUCTIONS — ORDER FORM: Determine the deal type first (SaaS-only, SaaS + Professional Services, or PS-only). Fill the table below accordingly. For SaaS-only deals, delete the PS-specific rows (Deliverables, Timeline, Acceptance Criteria, Key Personnel, Customer Obligations, Expenses). For PS-only deals, delete the SaaS subscription rows. Replace all [bracketed] placeholders with deal-specific information.]</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514"/>
        <w:gridCol w:w="5342"/>
      </w:tblGrid>
      <w:tr w14:paraId="4D2220BD" w14:textId="77777777">
        <w:trPr>
          <w:hidden w:val="0"/>
          <w:jc w:val="center"/>
        </w:trPr>
        <w:tc>
          <w:tcPr>
            <w:tcW w:w="2880" w:type="dxa"/>
            <w:shd w:color="auto" w:fill="D9D9D9" w:val="clear"/>
            <w:tcMar>
              <w:left w:w="108" w:type="dxa"/>
              <w:right w:w="108" w:type="dxa"/>
              <w:top w:w="0" w:type="dxa"/>
              <w:bottom w:w="0" w:type="dxa"/>
            </w:tcMar>
            <w:tcBorders>
              <w:top w:val="single" w:sz="4" w:space="0"/>
              <w:bottom w:val="single" w:sz="4" w:space="0"/>
              <w:left w:val="single" w:sz="4" w:space="0"/>
              <w:right w:val="single" w:sz="4" w:space="0"/>
            </w:tcBorders>
          </w:tcPr>
          <w:p w14:paraId="45088921" w14:textId="77777777">
            <w:r>
              <w:t>Field</w:t>
            </w:r>
          </w:p>
        </w:tc>
        <w:tc>
          <w:tcPr>
            <w:tcW w:w="6480" w:type="dxa"/>
            <w:shd w:color="auto" w:fill="D9D9D9" w:val="clear"/>
            <w:tcMar>
              <w:left w:w="108" w:type="dxa"/>
              <w:right w:w="108" w:type="dxa"/>
              <w:top w:w="0" w:type="dxa"/>
              <w:bottom w:w="0" w:type="dxa"/>
            </w:tcMar>
            <w:tcBorders>
              <w:top w:val="single" w:sz="4" w:space="0"/>
              <w:bottom w:val="single" w:sz="4" w:space="0"/>
              <w:right w:val="single" w:sz="4" w:space="0"/>
            </w:tcBorders>
          </w:tcPr>
          <w:p w14:paraId="73819445" w14:textId="77777777">
            <w:r>
              <w:t>Detail</w:t>
            </w:r>
          </w:p>
        </w:tc>
      </w:tr>
      <w:tr w14:paraId="23C78AC0"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314ECE4C" w14:textId="77777777">
            <w:r>
              <w:rPr>
                <w:sz w:val="18"/>
              </w:rPr>
              <w:t>Order Form #</w:t>
            </w:r>
          </w:p>
        </w:tc>
        <w:tc>
          <w:tcPr>
            <w:tcW w:w="6480" w:type="dxa"/>
            <w:tcMar>
              <w:left w:w="108" w:type="dxa"/>
              <w:right w:w="108" w:type="dxa"/>
              <w:top w:w="0" w:type="dxa"/>
              <w:bottom w:w="0" w:type="dxa"/>
            </w:tcMar>
            <w:tcBorders>
              <w:bottom w:val="single" w:sz="4" w:space="0"/>
              <w:right w:val="single" w:sz="4" w:space="0"/>
            </w:tcBorders>
          </w:tcPr>
          <w:p w14:paraId="374D1912" w14:textId="77777777">
            <w:r>
              <w:rPr>
                <w:sz w:val="18"/>
              </w:rPr>
              <w:t>[OF-001]</w:t>
            </w:r>
          </w:p>
        </w:tc>
      </w:tr>
      <w:tr w14:paraId="2A138D43"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3922BEF8" w14:textId="77777777">
            <w:r>
              <w:rPr>
                <w:sz w:val="18"/>
              </w:rPr>
              <w:t>Effective Date</w:t>
            </w:r>
          </w:p>
        </w:tc>
        <w:tc>
          <w:tcPr>
            <w:tcW w:w="6480" w:type="dxa"/>
            <w:tcMar>
              <w:left w:w="108" w:type="dxa"/>
              <w:right w:w="108" w:type="dxa"/>
              <w:top w:w="0" w:type="dxa"/>
              <w:bottom w:w="0" w:type="dxa"/>
            </w:tcMar>
            <w:tcBorders>
              <w:bottom w:val="single" w:sz="4" w:space="0"/>
              <w:right w:val="single" w:sz="4" w:space="0"/>
            </w:tcBorders>
          </w:tcPr>
          <w:p w14:paraId="0504F40F" w14:textId="77777777">
            <w:r>
              <w:rPr>
                <w:sz w:val="18"/>
              </w:rPr>
              <w:t>___________________, 20__</w:t>
            </w:r>
          </w:p>
        </w:tc>
      </w:tr>
      <w:tr w14:paraId="4E5AEC12"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4B1F0474" w14:textId="77777777">
            <w:r>
              <w:rPr>
                <w:sz w:val="18"/>
              </w:rPr>
              <w:t>Customer Billing Contact</w:t>
            </w:r>
          </w:p>
        </w:tc>
        <w:tc>
          <w:tcPr>
            <w:tcW w:w="6480" w:type="dxa"/>
            <w:tcMar>
              <w:left w:w="108" w:type="dxa"/>
              <w:right w:w="108" w:type="dxa"/>
              <w:top w:w="0" w:type="dxa"/>
              <w:bottom w:w="0" w:type="dxa"/>
            </w:tcMar>
            <w:tcBorders>
              <w:bottom w:val="single" w:sz="4" w:space="0"/>
              <w:right w:val="single" w:sz="4" w:space="0"/>
            </w:tcBorders>
          </w:tcPr>
          <w:p w14:paraId="7FFAAA0F" w14:textId="77777777">
            <w:r>
              <w:rPr>
                <w:sz w:val="18"/>
              </w:rPr>
              <w:t>[Customer Legal Name]</w:t>
            </w:r>
            <w:r>
              <w:rPr>
                <w:sz w:val="18"/>
              </w:rPr>
              <w:br/>
            </w:r>
            <w:r>
              <w:rPr>
                <w:sz w:val="18"/>
              </w:rPr>
              <w:t>[Billing Address]</w:t>
            </w:r>
            <w:r>
              <w:rPr>
                <w:sz w:val="18"/>
              </w:rPr>
              <w:br/>
            </w:r>
            <w:r>
              <w:rPr>
                <w:sz w:val="18"/>
              </w:rPr>
              <w:t>[City, State ZIP]</w:t>
            </w:r>
            <w:r>
              <w:rPr>
                <w:sz w:val="18"/>
              </w:rPr>
              <w:br/>
            </w:r>
            <w:r>
              <w:rPr>
                <w:sz w:val="18"/>
              </w:rPr>
              <w:t>[Email]</w:t>
            </w:r>
          </w:p>
        </w:tc>
      </w:tr>
      <w:tr w14:paraId="604FEB5B"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111F5AAA" w14:textId="77777777">
            <w:r>
              <w:rPr>
                <w:sz w:val="18"/>
              </w:rPr>
              <w:t>Deal Type</w:t>
            </w:r>
          </w:p>
        </w:tc>
        <w:tc>
          <w:tcPr>
            <w:tcW w:w="6480" w:type="dxa"/>
            <w:tcMar>
              <w:left w:w="108" w:type="dxa"/>
              <w:right w:w="108" w:type="dxa"/>
              <w:top w:w="0" w:type="dxa"/>
              <w:bottom w:w="0" w:type="dxa"/>
            </w:tcMar>
            <w:tcBorders>
              <w:bottom w:val="single" w:sz="4" w:space="0"/>
              <w:right w:val="single" w:sz="4" w:space="0"/>
            </w:tcBorders>
          </w:tcPr>
          <w:p w14:paraId="7AE5E35A" w14:textId="77777777">
            <w:r>
              <w:rPr>
                <w:i/>
                <w:color w:val="FF0000"/>
                <w:sz w:val="18"/>
              </w:rPr>
              <w:t>[AGENT: Select one and delete the others — this determines which Order Form rows apply]</w:t>
            </w:r>
            <w:r>
              <w:rPr>
                <w:i/>
                <w:color w:val="FF0000"/>
                <w:sz w:val="18"/>
              </w:rPr>
              <w:br/>
            </w:r>
            <w:r>
              <w:rPr>
                <w:i/>
                <w:color w:val="FF0000"/>
                <w:sz w:val="18"/>
              </w:rPr>
              <w:t>Option A — SaaS Subscription Only: Delete Deliverables, Timeline, Acceptance Criteria, Key Personnel, Customer Obligations, and Expenses rows below.</w:t>
            </w:r>
            <w:r>
              <w:rPr>
                <w:i/>
                <w:color w:val="FF0000"/>
                <w:sz w:val="18"/>
              </w:rPr>
              <w:br/>
            </w:r>
            <w:r>
              <w:rPr>
                <w:i/>
                <w:color w:val="FF0000"/>
                <w:sz w:val="18"/>
              </w:rPr>
              <w:t>Option B — SaaS + Professional Services: Retain all rows.</w:t>
            </w:r>
            <w:r>
              <w:rPr>
                <w:i/>
                <w:color w:val="FF0000"/>
                <w:sz w:val="18"/>
              </w:rPr>
              <w:br/>
            </w:r>
            <w:r>
              <w:rPr>
                <w:i/>
                <w:color w:val="FF0000"/>
                <w:sz w:val="18"/>
              </w:rPr>
              <w:t>Option C — Professional Services Only: Delete SaaS Term and SaaS Fees rows; retain all PS-specific rows.</w:t>
            </w:r>
          </w:p>
        </w:tc>
      </w:tr>
      <w:tr w14:paraId="732561DD"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7504DF0B" w14:textId="77777777">
            <w:r>
              <w:rPr>
                <w:sz w:val="18"/>
              </w:rPr>
              <w:t>SaaS Subscription Term</w:t>
            </w:r>
          </w:p>
        </w:tc>
        <w:tc>
          <w:tcPr>
            <w:tcW w:w="6480" w:type="dxa"/>
            <w:tcMar>
              <w:left w:w="108" w:type="dxa"/>
              <w:right w:w="108" w:type="dxa"/>
              <w:top w:w="0" w:type="dxa"/>
              <w:bottom w:w="0" w:type="dxa"/>
            </w:tcMar>
            <w:tcBorders>
              <w:bottom w:val="single" w:sz="4" w:space="0"/>
              <w:right w:val="single" w:sz="4" w:space="0"/>
            </w:tcBorders>
          </w:tcPr>
          <w:p w14:paraId="56ED92CB" w14:textId="77777777">
            <w:r>
              <w:rPr>
                <w:i/>
                <w:color w:val="FF0000"/>
                <w:sz w:val="18"/>
              </w:rPr>
              <w:t>[AGENT: Select one and delete the others]</w:t>
            </w:r>
            <w:r>
              <w:rPr>
                <w:i/>
                <w:color w:val="FF0000"/>
                <w:sz w:val="18"/>
              </w:rPr>
              <w:br/>
            </w:r>
            <w:r>
              <w:rPr>
                <w:i/>
                <w:color w:val="FF0000"/>
                <w:sz w:val="18"/>
              </w:rPr>
              <w:t>Option A — Fixed Term: [12 / 24 / 36] months beginning on the Effective Date.</w:t>
            </w:r>
            <w:r>
              <w:rPr>
                <w:i/>
                <w:color w:val="FF0000"/>
                <w:sz w:val="18"/>
              </w:rPr>
              <w:br/>
            </w:r>
            <w:r>
              <w:rPr>
                <w:i/>
                <w:color w:val="FF0000"/>
                <w:sz w:val="18"/>
              </w:rPr>
              <w:t>Option B — Annual Auto-Renew: 12 months; renews for successive 12-month terms unless either party gives 30 days written notice of non-renewal prior to renewal.</w:t>
            </w:r>
            <w:r>
              <w:rPr>
                <w:i/>
                <w:color w:val="FF0000"/>
                <w:sz w:val="18"/>
              </w:rPr>
              <w:br/>
            </w:r>
            <w:r>
              <w:rPr>
                <w:i/>
                <w:color w:val="FF0000"/>
                <w:sz w:val="18"/>
              </w:rPr>
              <w:t>[Delete this row for PS-Only deals]</w:t>
            </w:r>
          </w:p>
        </w:tc>
      </w:tr>
      <w:tr w14:paraId="01792AD3"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7C285F9B" w14:textId="77777777">
            <w:r>
              <w:rPr>
                <w:sz w:val="18"/>
              </w:rPr>
              <w:t>SaaS Fees</w:t>
            </w:r>
          </w:p>
        </w:tc>
        <w:tc>
          <w:tcPr>
            <w:tcW w:w="6480" w:type="dxa"/>
            <w:tcMar>
              <w:left w:w="108" w:type="dxa"/>
              <w:right w:w="108" w:type="dxa"/>
              <w:top w:w="0" w:type="dxa"/>
              <w:bottom w:w="0" w:type="dxa"/>
            </w:tcMar>
            <w:tcBorders>
              <w:bottom w:val="single" w:sz="4" w:space="0"/>
              <w:right w:val="single" w:sz="4" w:space="0"/>
            </w:tcBorders>
          </w:tcPr>
          <w:p w14:paraId="33E8B51F" w14:textId="77777777">
            <w:r>
              <w:rPr>
                <w:i/>
                <w:color w:val="FF0000"/>
                <w:sz w:val="18"/>
              </w:rPr>
              <w:t>[AGENT: Select one pricing structure and delete the others]</w:t>
            </w:r>
            <w:r>
              <w:rPr>
                <w:i/>
                <w:color w:val="FF0000"/>
                <w:sz w:val="18"/>
              </w:rPr>
              <w:br/>
            </w:r>
            <w:r>
              <w:rPr>
                <w:i/>
                <w:color w:val="FF0000"/>
                <w:sz w:val="18"/>
              </w:rPr>
              <w:br/>
            </w:r>
            <w:r>
              <w:rPr>
                <w:i/>
                <w:color w:val="FF0000"/>
                <w:sz w:val="18"/>
              </w:rPr>
              <w:t>Option A — Flat Annual Fee: $[___] per year, invoiced [annually / quarterly] in advance.</w:t>
            </w:r>
            <w:r>
              <w:rPr>
                <w:i/>
                <w:color w:val="FF0000"/>
                <w:sz w:val="18"/>
              </w:rPr>
              <w:br/>
            </w:r>
            <w:r>
              <w:rPr>
                <w:i/>
                <w:color w:val="FF0000"/>
                <w:sz w:val="18"/>
              </w:rPr>
              <w:br/>
            </w:r>
            <w:r>
              <w:rPr>
                <w:i/>
                <w:color w:val="FF0000"/>
                <w:sz w:val="18"/>
              </w:rPr>
              <w:t>Option B — Per-Seat: $[___] per seat/month x [N] seats = $[___]/month.</w:t>
            </w:r>
            <w:r>
              <w:rPr>
                <w:i/>
                <w:color w:val="FF0000"/>
                <w:sz w:val="18"/>
              </w:rPr>
              <w:br/>
            </w:r>
            <w:r>
              <w:rPr>
                <w:i/>
                <w:color w:val="FF0000"/>
                <w:sz w:val="18"/>
              </w:rPr>
              <w:br/>
            </w:r>
            <w:r>
              <w:rPr>
                <w:i/>
                <w:color w:val="FF0000"/>
                <w:sz w:val="18"/>
              </w:rPr>
              <w:t>Option C — Usage-Based: $[___] per [unit]; minimum monthly commitment of $[___]. Usage invoiced monthly in arrears.</w:t>
            </w:r>
            <w:r>
              <w:rPr>
                <w:i/>
                <w:color w:val="FF0000"/>
                <w:sz w:val="18"/>
              </w:rPr>
              <w:br/>
            </w:r>
            <w:r>
              <w:rPr>
                <w:i/>
                <w:color w:val="FF0000"/>
                <w:sz w:val="18"/>
              </w:rPr>
              <w:br/>
            </w:r>
            <w:r>
              <w:rPr>
                <w:i/>
                <w:color w:val="FF0000"/>
                <w:sz w:val="18"/>
              </w:rPr>
              <w:t>Option D — Committed Spend: Customer commits to $[___] over the Term at rates in attached Schedule 1. Unused committed spend [forfeits / carries over] at end of Term.</w:t>
            </w:r>
            <w:r>
              <w:rPr>
                <w:i/>
                <w:color w:val="FF0000"/>
                <w:sz w:val="18"/>
              </w:rPr>
              <w:br/>
            </w:r>
            <w:r>
              <w:rPr>
                <w:i/>
                <w:color w:val="FF0000"/>
                <w:sz w:val="18"/>
              </w:rPr>
              <w:br/>
            </w:r>
            <w:r>
              <w:rPr>
                <w:i/>
                <w:color w:val="FF0000"/>
                <w:sz w:val="18"/>
              </w:rPr>
              <w:t>[Delete this row for PS-Only deals]</w:t>
            </w:r>
          </w:p>
        </w:tc>
      </w:tr>
      <w:tr w14:paraId="7C64DE05"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206C9BD9" w14:textId="77777777">
            <w:r>
              <w:rPr>
                <w:sz w:val="18"/>
              </w:rPr>
              <w:t>Professional Services Fees</w:t>
            </w:r>
          </w:p>
        </w:tc>
        <w:tc>
          <w:tcPr>
            <w:tcW w:w="6480" w:type="dxa"/>
            <w:tcMar>
              <w:left w:w="108" w:type="dxa"/>
              <w:right w:w="108" w:type="dxa"/>
              <w:top w:w="0" w:type="dxa"/>
              <w:bottom w:w="0" w:type="dxa"/>
            </w:tcMar>
            <w:tcBorders>
              <w:bottom w:val="single" w:sz="4" w:space="0"/>
              <w:right w:val="single" w:sz="4" w:space="0"/>
            </w:tcBorders>
          </w:tcPr>
          <w:p w14:paraId="01A39A58" w14:textId="77777777">
            <w:r>
              <w:rPr>
                <w:i/>
                <w:color w:val="FF0000"/>
                <w:sz w:val="18"/>
              </w:rPr>
              <w:t>[AGENT: Select one and delete the others — delete this row for SaaS-Only deals]</w:t>
            </w:r>
            <w:r>
              <w:rPr>
                <w:i/>
                <w:color w:val="FF0000"/>
                <w:sz w:val="18"/>
              </w:rPr>
              <w:br/>
            </w:r>
            <w:r>
              <w:rPr>
                <w:i/>
                <w:color w:val="FF0000"/>
                <w:sz w:val="18"/>
              </w:rPr>
              <w:br/>
            </w:r>
            <w:r>
              <w:rPr>
                <w:i/>
                <w:color w:val="FF0000"/>
                <w:sz w:val="18"/>
              </w:rPr>
              <w:t>Option A — Fixed Fee: $[___] total, payable [per milestone schedule below / 50% on signing and 50% on completion].</w:t>
            </w:r>
            <w:r>
              <w:rPr>
                <w:i/>
                <w:color w:val="FF0000"/>
                <w:sz w:val="18"/>
              </w:rPr>
              <w:br/>
            </w:r>
            <w:r>
              <w:rPr>
                <w:i/>
                <w:color w:val="FF0000"/>
                <w:sz w:val="18"/>
              </w:rPr>
              <w:br/>
            </w:r>
            <w:r>
              <w:rPr>
                <w:i/>
                <w:color w:val="FF0000"/>
                <w:sz w:val="18"/>
              </w:rPr>
              <w:t>Option B — Time &amp; Materials: $[___] per hour / $[___] per day. Estimated hours: [N]. Not-to-exceed: $[___] without Customer written approval.</w:t>
            </w:r>
            <w:r>
              <w:rPr>
                <w:i/>
                <w:color w:val="FF0000"/>
                <w:sz w:val="18"/>
              </w:rPr>
              <w:br/>
            </w:r>
            <w:r>
              <w:rPr>
                <w:i/>
                <w:color w:val="FF0000"/>
                <w:sz w:val="18"/>
              </w:rPr>
              <w:br/>
            </w:r>
            <w:r>
              <w:rPr>
                <w:i/>
                <w:color w:val="FF0000"/>
                <w:sz w:val="18"/>
              </w:rPr>
              <w:t>Option C — Retainer: $[___] per month for up to [N] hours of Professional Services. Unused hours [expire monthly / roll over for up to 3 months].</w:t>
            </w:r>
          </w:p>
        </w:tc>
      </w:tr>
      <w:tr w14:paraId="0B379232"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44A66948" w14:textId="77777777">
            <w:r>
              <w:rPr>
                <w:sz w:val="18"/>
              </w:rPr>
              <w:t>Payment Terms</w:t>
            </w:r>
          </w:p>
        </w:tc>
        <w:tc>
          <w:tcPr>
            <w:tcW w:w="6480" w:type="dxa"/>
            <w:tcMar>
              <w:left w:w="108" w:type="dxa"/>
              <w:right w:w="108" w:type="dxa"/>
              <w:top w:w="0" w:type="dxa"/>
              <w:bottom w:w="0" w:type="dxa"/>
            </w:tcMar>
            <w:tcBorders>
              <w:bottom w:val="single" w:sz="4" w:space="0"/>
              <w:right w:val="single" w:sz="4" w:space="0"/>
            </w:tcBorders>
          </w:tcPr>
          <w:p w14:paraId="3F21B55D" w14:textId="77777777">
            <w:r>
              <w:rPr>
                <w:i/>
                <w:color w:val="FF0000"/>
                <w:sz w:val="18"/>
              </w:rPr>
              <w:t>[Net 30 from invoice date] / [Net 45] / [Due on receipt]</w:t>
            </w:r>
            <w:r>
              <w:rPr>
                <w:i/>
                <w:color w:val="FF0000"/>
                <w:sz w:val="18"/>
              </w:rPr>
              <w:br/>
            </w:r>
            <w:r>
              <w:rPr>
                <w:i/>
                <w:color w:val="FF0000"/>
                <w:sz w:val="18"/>
              </w:rPr>
              <w:t>[Drafting Note: Net 30 is standard. Do not agree to Net 60+ without finance approval.]</w:t>
            </w:r>
          </w:p>
        </w:tc>
      </w:tr>
      <w:tr w14:paraId="018B955C"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6DF040BC" w14:textId="77777777">
            <w:r>
              <w:rPr>
                <w:sz w:val="18"/>
              </w:rPr>
              <w:t>Payment Method</w:t>
            </w:r>
          </w:p>
        </w:tc>
        <w:tc>
          <w:tcPr>
            <w:tcW w:w="6480" w:type="dxa"/>
            <w:tcMar>
              <w:left w:w="108" w:type="dxa"/>
              <w:right w:w="108" w:type="dxa"/>
              <w:top w:w="0" w:type="dxa"/>
              <w:bottom w:w="0" w:type="dxa"/>
            </w:tcMar>
            <w:tcBorders>
              <w:bottom w:val="single" w:sz="4" w:space="0"/>
              <w:right w:val="single" w:sz="4" w:space="0"/>
            </w:tcBorders>
          </w:tcPr>
          <w:p w14:paraId="34F04B75" w14:textId="77777777">
            <w:r>
              <w:rPr>
                <w:i/>
                <w:color w:val="FF0000"/>
                <w:sz w:val="18"/>
              </w:rPr>
              <w:t>[AGENT: Select one and delete the others]</w:t>
            </w:r>
            <w:r>
              <w:rPr>
                <w:i/>
                <w:color w:val="FF0000"/>
                <w:sz w:val="18"/>
              </w:rPr>
              <w:br/>
            </w:r>
            <w:r>
              <w:rPr>
                <w:i/>
                <w:color w:val="FF0000"/>
                <w:sz w:val="18"/>
              </w:rPr>
              <w:t>Option A — Invoice/ACH: Company sends invoices; Customer pays via wire or ACH.</w:t>
            </w:r>
            <w:r>
              <w:rPr>
                <w:i/>
                <w:color w:val="FF0000"/>
                <w:sz w:val="18"/>
              </w:rPr>
              <w:br/>
            </w:r>
            <w:r>
              <w:rPr>
                <w:i/>
                <w:color w:val="FF0000"/>
                <w:sz w:val="18"/>
              </w:rPr>
              <w:t>Option B — ACH Auto-Pay: Customer authorizes automatic ACH debit on due date.</w:t>
            </w:r>
            <w:r>
              <w:rPr>
                <w:i/>
                <w:color w:val="FF0000"/>
                <w:sz w:val="18"/>
              </w:rPr>
              <w:br/>
            </w:r>
            <w:r>
              <w:rPr>
                <w:i/>
                <w:color w:val="FF0000"/>
                <w:sz w:val="18"/>
              </w:rPr>
              <w:t>Option C — Credit Card / Portal: Customer pays through Company's online portal.</w:t>
            </w:r>
          </w:p>
        </w:tc>
      </w:tr>
      <w:tr w14:paraId="7FCA0D56"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62ED9355" w14:textId="77777777">
            <w:r>
              <w:rPr>
                <w:sz w:val="18"/>
              </w:rPr>
              <w:t>Deliverables</w:t>
            </w:r>
          </w:p>
        </w:tc>
        <w:tc>
          <w:tcPr>
            <w:tcW w:w="6480" w:type="dxa"/>
            <w:tcMar>
              <w:left w:w="108" w:type="dxa"/>
              <w:right w:w="108" w:type="dxa"/>
              <w:top w:w="0" w:type="dxa"/>
              <w:bottom w:w="0" w:type="dxa"/>
            </w:tcMar>
            <w:tcBorders>
              <w:bottom w:val="single" w:sz="4" w:space="0"/>
              <w:right w:val="single" w:sz="4" w:space="0"/>
            </w:tcBorders>
          </w:tcPr>
          <w:p w14:paraId="4F3A0476" w14:textId="77777777">
            <w:r>
              <w:rPr>
                <w:sz w:val="18"/>
              </w:rPr>
              <w:t>[Describe any Deliverables to be created under this Order Form, including format, specifications, and delivery dates. Delete this row for SaaS-Only deals.]</w:t>
            </w:r>
          </w:p>
        </w:tc>
      </w:tr>
      <w:tr w14:paraId="43E92026"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056EA0B8" w14:textId="77777777">
            <w:r>
              <w:rPr>
                <w:sz w:val="18"/>
              </w:rPr>
              <w:t>Timeline &amp; Milestones</w:t>
            </w:r>
          </w:p>
        </w:tc>
        <w:tc>
          <w:tcPr>
            <w:tcW w:w="6480" w:type="dxa"/>
            <w:tcMar>
              <w:left w:w="108" w:type="dxa"/>
              <w:right w:w="108" w:type="dxa"/>
              <w:top w:w="0" w:type="dxa"/>
              <w:bottom w:w="0" w:type="dxa"/>
            </w:tcMar>
            <w:tcBorders>
              <w:bottom w:val="single" w:sz="4" w:space="0"/>
              <w:right w:val="single" w:sz="4" w:space="0"/>
            </w:tcBorders>
          </w:tcPr>
          <w:p w14:paraId="00186BB8" w14:textId="77777777">
            <w:r>
              <w:rPr>
                <w:sz w:val="18"/>
              </w:rPr>
              <w:t>[If Professional Services are included, describe the project timeline, milestones, and any phased delivery schedule. Delete this row for SaaS-Only deals.]</w:t>
            </w:r>
          </w:p>
        </w:tc>
      </w:tr>
      <w:tr w14:paraId="07F290AD"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61833562" w14:textId="77777777">
            <w:r>
              <w:rPr>
                <w:sz w:val="18"/>
              </w:rPr>
              <w:t>Acceptance Criteria</w:t>
            </w:r>
          </w:p>
        </w:tc>
        <w:tc>
          <w:tcPr>
            <w:tcW w:w="6480" w:type="dxa"/>
            <w:tcMar>
              <w:left w:w="108" w:type="dxa"/>
              <w:right w:w="108" w:type="dxa"/>
              <w:top w:w="0" w:type="dxa"/>
              <w:bottom w:w="0" w:type="dxa"/>
            </w:tcMar>
            <w:tcBorders>
              <w:bottom w:val="single" w:sz="4" w:space="0"/>
              <w:right w:val="single" w:sz="4" w:space="0"/>
            </w:tcBorders>
          </w:tcPr>
          <w:p w14:paraId="01A3E771" w14:textId="77777777">
            <w:r>
              <w:rPr>
                <w:sz w:val="18"/>
              </w:rPr>
              <w:t>[If applicable, describe the acceptance criteria and process for any Deliverables. Reference Section 2.2(c) of the Agreement for default acceptance procedures. Delete this row for SaaS-Only deals.]</w:t>
            </w:r>
          </w:p>
        </w:tc>
      </w:tr>
      <w:tr w14:paraId="02FEDC05"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7FA50048" w14:textId="77777777">
            <w:r>
              <w:rPr>
                <w:sz w:val="18"/>
              </w:rPr>
              <w:t>Key Personnel</w:t>
            </w:r>
          </w:p>
        </w:tc>
        <w:tc>
          <w:tcPr>
            <w:tcW w:w="6480" w:type="dxa"/>
            <w:tcMar>
              <w:left w:w="108" w:type="dxa"/>
              <w:right w:w="108" w:type="dxa"/>
              <w:top w:w="0" w:type="dxa"/>
              <w:bottom w:w="0" w:type="dxa"/>
            </w:tcMar>
            <w:tcBorders>
              <w:bottom w:val="single" w:sz="4" w:space="0"/>
              <w:right w:val="single" w:sz="4" w:space="0"/>
            </w:tcBorders>
          </w:tcPr>
          <w:p w14:paraId="7808C1C7" w14:textId="77777777">
            <w:r>
              <w:rPr>
                <w:sz w:val="18"/>
              </w:rPr>
              <w:t>[If applicable, identify any Key Personnel required for Professional Services performance and any restrictions on substitution. Delete this row for SaaS-Only deals.]</w:t>
            </w:r>
          </w:p>
        </w:tc>
      </w:tr>
      <w:tr w14:paraId="7EB52D3E"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064B4E83" w14:textId="77777777">
            <w:r>
              <w:rPr>
                <w:sz w:val="18"/>
              </w:rPr>
              <w:t>Customer Obligations</w:t>
            </w:r>
          </w:p>
        </w:tc>
        <w:tc>
          <w:tcPr>
            <w:tcW w:w="6480" w:type="dxa"/>
            <w:tcMar>
              <w:left w:w="108" w:type="dxa"/>
              <w:right w:w="108" w:type="dxa"/>
              <w:top w:w="0" w:type="dxa"/>
              <w:bottom w:w="0" w:type="dxa"/>
            </w:tcMar>
            <w:tcBorders>
              <w:bottom w:val="single" w:sz="4" w:space="0"/>
              <w:right w:val="single" w:sz="4" w:space="0"/>
            </w:tcBorders>
          </w:tcPr>
          <w:p w14:paraId="120FAEE4" w14:textId="77777777">
            <w:r>
              <w:rPr>
                <w:sz w:val="18"/>
              </w:rPr>
              <w:t>[Describe any specific Customer cooperation obligations for this Order Form, including access requirements, materials to be provided, and response-time commitments. Delete this row for SaaS-Only deals.]</w:t>
            </w:r>
          </w:p>
        </w:tc>
      </w:tr>
      <w:tr w14:paraId="338297CB"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07959EF9" w14:textId="77777777">
            <w:r>
              <w:rPr>
                <w:sz w:val="18"/>
              </w:rPr>
              <w:t>Expenses</w:t>
            </w:r>
          </w:p>
        </w:tc>
        <w:tc>
          <w:tcPr>
            <w:tcW w:w="6480" w:type="dxa"/>
            <w:tcMar>
              <w:left w:w="108" w:type="dxa"/>
              <w:right w:w="108" w:type="dxa"/>
              <w:top w:w="0" w:type="dxa"/>
              <w:bottom w:w="0" w:type="dxa"/>
            </w:tcMar>
            <w:tcBorders>
              <w:bottom w:val="single" w:sz="4" w:space="0"/>
              <w:right w:val="single" w:sz="4" w:space="0"/>
            </w:tcBorders>
          </w:tcPr>
          <w:p w14:paraId="1200607F" w14:textId="77777777">
            <w:r>
              <w:rPr>
                <w:sz w:val="18"/>
              </w:rPr>
              <w:t>[Describe any reimbursable expenses for this Order Form, including travel, equipment, or third-party costs. All expenses are subject to Section 3.2 of the Agreement. Delete this row if no reimbursable expenses apply.]</w:t>
            </w:r>
          </w:p>
        </w:tc>
      </w:tr>
      <w:tr w14:paraId="577FF353" w14:textId="77777777">
        <w:trPr>
          <w:hidden w:val="0"/>
          <w:jc w:val="center"/>
        </w:trPr>
        <w:tc>
          <w:tcPr>
            <w:tcW w:w="2880" w:type="dxa"/>
            <w:tcMar>
              <w:left w:w="108" w:type="dxa"/>
              <w:right w:w="108" w:type="dxa"/>
              <w:top w:w="0" w:type="dxa"/>
              <w:bottom w:w="0" w:type="dxa"/>
            </w:tcMar>
            <w:tcBorders>
              <w:bottom w:val="single" w:sz="4" w:space="0"/>
              <w:left w:val="single" w:sz="4" w:space="0"/>
              <w:right w:val="single" w:sz="4" w:space="0"/>
            </w:tcBorders>
          </w:tcPr>
          <w:p w14:paraId="34060E4E" w14:textId="77777777">
            <w:r>
              <w:rPr>
                <w:sz w:val="18"/>
              </w:rPr>
              <w:t>Technical Support</w:t>
            </w:r>
          </w:p>
        </w:tc>
        <w:tc>
          <w:tcPr>
            <w:tcW w:w="6480" w:type="dxa"/>
            <w:tcMar>
              <w:left w:w="108" w:type="dxa"/>
              <w:right w:w="108" w:type="dxa"/>
              <w:top w:w="0" w:type="dxa"/>
              <w:bottom w:w="0" w:type="dxa"/>
            </w:tcMar>
            <w:tcBorders>
              <w:bottom w:val="single" w:sz="4" w:space="0"/>
              <w:right w:val="single" w:sz="4" w:space="0"/>
            </w:tcBorders>
          </w:tcPr>
          <w:p w14:paraId="675F8BB8" w14:textId="77777777">
            <w:r>
              <w:rPr>
                <w:i/>
                <w:color w:val="FF0000"/>
                <w:sz w:val="18"/>
              </w:rPr>
              <w:t>[AGENT: Select one tier and delete the others]</w:t>
            </w:r>
            <w:r>
              <w:rPr>
                <w:i/>
                <w:color w:val="FF0000"/>
                <w:sz w:val="18"/>
              </w:rPr>
              <w:br/>
            </w:r>
            <w:r>
              <w:rPr>
                <w:i/>
                <w:color w:val="FF0000"/>
                <w:sz w:val="18"/>
              </w:rPr>
              <w:t>Option A — Standard: Email support (9am-5pm PT, weekdays). Response: 1 business day.</w:t>
            </w:r>
            <w:r>
              <w:rPr>
                <w:i/>
                <w:color w:val="FF0000"/>
                <w:sz w:val="18"/>
              </w:rPr>
              <w:br/>
            </w:r>
            <w:r>
              <w:rPr>
                <w:i/>
                <w:color w:val="FF0000"/>
                <w:sz w:val="18"/>
              </w:rPr>
              <w:t>Option B — Priority: Email and phone support. Response: 4 business hours.</w:t>
            </w:r>
            <w:r>
              <w:rPr>
                <w:i/>
                <w:color w:val="FF0000"/>
                <w:sz w:val="18"/>
              </w:rPr>
              <w:br/>
            </w:r>
            <w:r>
              <w:rPr>
                <w:i/>
                <w:color w:val="FF0000"/>
                <w:sz w:val="18"/>
              </w:rPr>
              <w:t>Option C — Enterprise: Email, phone, shared Slack channel. P1: 1hr/24x7; P2: 4hrs; P3: 1 business day. Dedicated CSM.</w:t>
            </w:r>
            <w:r>
              <w:rPr>
                <w:i/>
                <w:color w:val="FF0000"/>
                <w:sz w:val="18"/>
              </w:rPr>
              <w:br/>
            </w:r>
            <w:r>
              <w:rPr>
                <w:i/>
                <w:color w:val="FF0000"/>
                <w:sz w:val="18"/>
              </w:rPr>
              <w:t>Option D — Per Exhibit A (SLA).</w:t>
            </w:r>
          </w:p>
        </w:tc>
      </w:tr>
    </w:tbl>
    <w:p w14:paraId="62A69D0E" w14:textId="77777777"/>
    <w:p w14:paraId="2CE3FD20" w14:textId="77777777">
      <w:pPr>
        <w:pStyle w:val="Heading2"/>
      </w:pPr>
      <w:r>
        <w:rPr>
          <w:color w:val="000000"/>
        </w:rPr>
        <w:t>Additional Terms</w:t>
      </w:r>
    </w:p>
    <w:p w14:paraId="417282B3" w14:textId="77777777">
      <w:pPr>
        <w:spacing w:after="120"/>
      </w:pPr>
      <w:r>
        <w:t xml:space="preserve">1.  Invoicing and Payment.  Company will invoice Customer the Fees as specified above, and Customer will pay such invoice within the timeframe set forth above.  Customer will pay Company's invoice upon receipt </w:t>
      </w:r>
      <w:r>
        <w:t>through electronic funds transfer using wire transfer or Automated Clearing House (ACH).  All payments pursuant to this Agreement: (a) are nonrefundable unless otherwise expressly stated in the Agreement; (b) will be made in U.S. Dollars; and (c) are exclusive of taxes and duties, which will be paid solely by Customer (other than taxes based on Company's net income).</w:t>
      </w:r>
    </w:p>
    <w:p w14:paraId="47E869EB" w14:textId="4617D0D1">
      <w:pPr>
        <w:spacing w:after="120"/>
      </w:pPr>
      <w:r>
        <w:t>2.  Confidentiality.  This Order Form and all information contained herein (including any information regarding pricing of the Services) are Company's Confidential Information.</w:t>
      </w:r>
    </w:p>
    <w:p w14:paraId="3A3434DD" w14:textId="77777777"/>
    <w:p w14:paraId="7FDCC99D" w14:textId="77777777">
      <w:pPr>
        <w:spacing w:after="120"/>
        <w:jc w:val="center"/>
        <w:rPr>
          <w:rFonts w:ascii="Calibri" w:hAnsi="Calibri" w:eastAsia="Calibri" w:cs="Calibri"/>
        </w:rPr>
      </w:pPr>
      <w:r>
        <w:rPr>
          <w:rFonts w:ascii="Calibri" w:hAnsi="Calibri" w:eastAsia="Calibri" w:cs="Calibri"/>
        </w:rPr>
        <w:t xml:space="preserve">[Signatures </w:t>
      </w:r>
      <w:r>
        <w:rPr>
          <w:rFonts w:ascii="Calibri" w:hAnsi="Calibri" w:eastAsia="Calibri" w:cs="Calibri"/>
        </w:rPr>
        <w:t>below</w:t>
      </w:r>
      <w:r>
        <w:rPr>
          <w:rFonts w:ascii="Calibri" w:hAnsi="Calibri" w:eastAsia="Calibri" w:cs="Calibri"/>
        </w:rPr>
        <w:t>]</w:t>
      </w:r>
    </w:p>
    <w:p w14:paraId="542F893D" w14:textId="77777777"/>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4320"/>
        <w:gridCol w:w="4320"/>
      </w:tblGrid>
      <w:tr w14:paraId="7D4B8291" w14:textId="77777777">
        <w:trPr>
          <w:hidden w:val="0"/>
          <w:jc w:val="center"/>
        </w:trPr>
        <w:tc>
          <w:tcPr>
            <w:tcW w:w="4320" w:type="dxa"/>
            <w:tcMar>
              <w:left w:w="108" w:type="dxa"/>
              <w:right w:w="108" w:type="dxa"/>
              <w:top w:w="0" w:type="dxa"/>
              <w:bottom w:w="0" w:type="dxa"/>
            </w:tcMar>
            <w:tcBorders>
              <w:top w:val="single" w:sz="4" w:space="0"/>
              <w:bottom w:val="single" w:sz="4" w:space="0"/>
              <w:left w:val="single" w:sz="4" w:space="0"/>
              <w:right w:val="single" w:sz="4" w:space="0"/>
            </w:tcBorders>
          </w:tcPr>
          <w:p w14:paraId="3EB0D715" w14:textId="77777777">
            <w:r>
              <w:rPr>
                <w:b/>
              </w:rPr>
              <w:t>Customer:</w:t>
            </w:r>
          </w:p>
        </w:tc>
        <w:tc>
          <w:tcPr>
            <w:tcW w:w="4320" w:type="dxa"/>
            <w:tcMar>
              <w:left w:w="108" w:type="dxa"/>
              <w:right w:w="108" w:type="dxa"/>
              <w:top w:w="0" w:type="dxa"/>
              <w:bottom w:w="0" w:type="dxa"/>
            </w:tcMar>
            <w:tcBorders>
              <w:top w:val="single" w:sz="4" w:space="0"/>
              <w:bottom w:val="single" w:sz="4" w:space="0"/>
              <w:right w:val="single" w:sz="4" w:space="0"/>
            </w:tcBorders>
          </w:tcPr>
          <w:p w14:paraId="21380604" w14:textId="77777777">
            <w:r>
              <w:rPr>
                <w:b/>
              </w:rPr>
              <w:t>Company:</w:t>
            </w:r>
          </w:p>
        </w:tc>
      </w:tr>
      <w:tr w14:paraId="0B4286EF"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54DD00F1" w14:textId="77777777">
            <w:r>
              <w:t>By: ___________________</w:t>
            </w:r>
          </w:p>
        </w:tc>
        <w:tc>
          <w:tcPr>
            <w:tcW w:w="4320" w:type="dxa"/>
            <w:tcMar>
              <w:left w:w="108" w:type="dxa"/>
              <w:right w:w="108" w:type="dxa"/>
              <w:top w:w="0" w:type="dxa"/>
              <w:bottom w:w="0" w:type="dxa"/>
            </w:tcMar>
            <w:tcBorders>
              <w:bottom w:val="single" w:sz="4" w:space="0"/>
              <w:right w:val="single" w:sz="4" w:space="0"/>
            </w:tcBorders>
          </w:tcPr>
          <w:p w14:paraId="3D79F897" w14:textId="77777777">
            <w:r>
              <w:t>By: ___________________</w:t>
            </w:r>
          </w:p>
        </w:tc>
      </w:tr>
      <w:tr w14:paraId="4BFDF93E"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123F3CA5" w14:textId="77777777">
            <w:r>
              <w:t>Name: ___________________</w:t>
            </w:r>
          </w:p>
        </w:tc>
        <w:tc>
          <w:tcPr>
            <w:tcW w:w="4320" w:type="dxa"/>
            <w:tcMar>
              <w:left w:w="108" w:type="dxa"/>
              <w:right w:w="108" w:type="dxa"/>
              <w:top w:w="0" w:type="dxa"/>
              <w:bottom w:w="0" w:type="dxa"/>
            </w:tcMar>
            <w:tcBorders>
              <w:bottom w:val="single" w:sz="4" w:space="0"/>
              <w:right w:val="single" w:sz="4" w:space="0"/>
            </w:tcBorders>
          </w:tcPr>
          <w:p w14:paraId="1F0633CD" w14:textId="77777777">
            <w:r>
              <w:t>Name: ___________________</w:t>
            </w:r>
          </w:p>
        </w:tc>
      </w:tr>
      <w:tr w14:paraId="6F442360"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694F9B15" w14:textId="77777777">
            <w:r>
              <w:t>Title: ___________________</w:t>
            </w:r>
          </w:p>
        </w:tc>
        <w:tc>
          <w:tcPr>
            <w:tcW w:w="4320" w:type="dxa"/>
            <w:tcMar>
              <w:left w:w="108" w:type="dxa"/>
              <w:right w:w="108" w:type="dxa"/>
              <w:top w:w="0" w:type="dxa"/>
              <w:bottom w:w="0" w:type="dxa"/>
            </w:tcMar>
            <w:tcBorders>
              <w:bottom w:val="single" w:sz="4" w:space="0"/>
              <w:right w:val="single" w:sz="4" w:space="0"/>
            </w:tcBorders>
          </w:tcPr>
          <w:p w14:paraId="2DFD737C" w14:textId="77777777">
            <w:r>
              <w:t>Title: ___________________</w:t>
            </w:r>
          </w:p>
        </w:tc>
      </w:tr>
      <w:tr w14:paraId="2C161ED3"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240E1715" w14:textId="77777777">
            <w:r>
              <w:t>Date: ___________________</w:t>
            </w:r>
          </w:p>
        </w:tc>
        <w:tc>
          <w:tcPr>
            <w:tcW w:w="4320" w:type="dxa"/>
            <w:tcMar>
              <w:left w:w="108" w:type="dxa"/>
              <w:right w:w="108" w:type="dxa"/>
              <w:top w:w="0" w:type="dxa"/>
              <w:bottom w:w="0" w:type="dxa"/>
            </w:tcMar>
            <w:tcBorders>
              <w:bottom w:val="single" w:sz="4" w:space="0"/>
              <w:right w:val="single" w:sz="4" w:space="0"/>
            </w:tcBorders>
          </w:tcPr>
          <w:p w14:paraId="4B98482F" w14:textId="77777777">
            <w:r>
              <w:t>Date: ___________________</w:t>
            </w:r>
          </w:p>
        </w:tc>
      </w:tr>
    </w:tbl>
    <w:p w14:paraId="67A93FC5" w14:textId="77777777">
      <w:r>
        <w:br w:type="page"/>
      </w:r>
    </w:p>
    <w:p w14:paraId="63004E78" w14:textId="77777777">
      <w:pPr>
        <w:jc w:val="center"/>
      </w:pPr>
      <w:r>
        <w:rPr>
          <w:b/>
          <w:sz w:val="28"/>
        </w:rPr>
        <w:t>[COMPANY NAME]</w:t>
      </w:r>
    </w:p>
    <w:p w14:paraId="1DCF2CA2" w14:textId="77777777">
      <w:pPr>
        <w:spacing w:after="240"/>
        <w:jc w:val="center"/>
      </w:pPr>
      <w:r>
        <w:rPr>
          <w:b/>
          <w:sz w:val="28"/>
        </w:rPr>
        <w:t>MASTER SERVICES AGREEMENT</w:t>
      </w:r>
    </w:p>
    <w:p w14:paraId="2FF010EE" w14:textId="77777777">
      <w:pPr>
        <w:spacing w:after="120"/>
      </w:pPr>
      <w:r>
        <w:t>This Master Services Agreement (this "Agreement") is between [Company Name], a [State] corporation ("Company"), and the customer identified on the applicable Order Form ("Customer").  This Agreement governs all Order Forms entered into by the Parties.  The "Effective Date" of this Agreement is the effective date of the initial Order Form executed by the Parties.</w:t>
      </w:r>
    </w:p>
    <w:p w14:paraId="27C63847" w14:textId="77777777">
      <w:pPr>
        <w:spacing w:after="120"/>
      </w:pPr>
      <w:r>
        <w:t>Company has developed and makes available a cloud-based software platform that [brief description of services] (the "Product") and provides related professional services.  Customer desires to use the Product for its internal business purposes and engage Company for related services.</w:t>
      </w:r>
    </w:p>
    <w:p w14:paraId="7A69D002" w14:textId="77777777">
      <w:pPr>
        <w:spacing w:after="80"/>
      </w:pPr>
      <w:r>
        <w:rPr>
          <w:i/>
          <w:color w:val="FF0000"/>
          <w:sz w:val="18"/>
        </w:rPr>
        <w:t>[Drafting Note: Insert a brief, generic description of the SaaS product/services. If this is a SaaS-only deal with no professional services, delete "and provides related professional services" and "and engage Company for related services" from the preamble above.]</w:t>
      </w:r>
    </w:p>
    <w:p w14:paraId="485DE339" w14:textId="77777777">
      <w:pPr>
        <w:pStyle w:val="Heading2"/>
      </w:pPr>
      <w:r>
        <w:rPr>
          <w:color w:val="000000"/>
        </w:rPr>
        <w:t>1.  Definitions</w:t>
      </w:r>
    </w:p>
    <w:p w14:paraId="54E2DD58" w14:textId="77777777">
      <w:pPr>
        <w:spacing w:after="120"/>
      </w:pPr>
      <w:r>
        <w:t>The following terms, when used in this Agreement will have the following meanings:</w:t>
      </w:r>
    </w:p>
    <w:p w14:paraId="1E52586E" w14:textId="77777777">
      <w:pPr>
        <w:spacing w:after="120"/>
      </w:pPr>
      <w:r>
        <w:t>"Affiliates" means an entity that directly or indirectly Controls, is Controlled by, or is under common Control with another entity, so long as such Control exists.  For the purposes of this definition, "Control" means beneficial ownership of 50% or more of the voting power or equity in an entity.</w:t>
      </w:r>
    </w:p>
    <w:p w14:paraId="5817372C" w14:textId="77777777">
      <w:pPr>
        <w:spacing w:after="120"/>
      </w:pPr>
      <w:r>
        <w:t>"Confidential Information" means any information or data disclosed by either party that is marked or otherwise designated as confidential or proprietary or that should otherwise be reasonably understood to be confidential in light of the nature of the information and the circumstances surrounding disclosure.  However, "Confidential Information" will not include any information which (a) is in the public domain through no fault of receiving party; (b) was properly known to receiving party, without restriction, prior to disclosure by the disclosing party; (c) was properly disclosed to receiving party, without restriction, by another person with the legal authority to do so; or (d) is independently developed by the receiving party without use of or reference to the disclosing party's Confidential Information.</w:t>
      </w:r>
    </w:p>
    <w:p w14:paraId="0DAC6A34" w14:textId="77777777">
      <w:pPr>
        <w:spacing w:after="120"/>
      </w:pPr>
      <w:r>
        <w:t>"Deliverables" means the work product, materials, reports, configurations, customizations, or other items to be created by Company and delivered to Customer as specified in an applicable Order Form.</w:t>
      </w:r>
    </w:p>
    <w:p w14:paraId="2A7310DA" w14:textId="77777777">
      <w:pPr>
        <w:spacing w:after="120"/>
      </w:pPr>
      <w:r>
        <w:t>"Documentation" means the printed and digital instructions, on-line help files, technical documentation and user manuals made available by Company for the Product.</w:t>
      </w:r>
    </w:p>
    <w:p w14:paraId="1B5A4B5F" w14:textId="77777777">
      <w:pPr>
        <w:spacing w:after="120"/>
      </w:pPr>
      <w:r>
        <w:t>"Order Form" means an order form, quote or other similar document that sets forth the specific Product, Professional Services (if any), Deliverables (if any), and pricing therefor, and that references this Agreement and is mutually executed by the parties.</w:t>
      </w:r>
    </w:p>
    <w:p w14:paraId="720A3C9F" w14:textId="77777777">
      <w:pPr>
        <w:spacing w:after="120"/>
      </w:pPr>
      <w:r>
        <w:t>"Pre-Existing Materials" means any intellectual property, tools, frameworks, methodologies, code, content, or materials owned by or licensed to Company prior to the Effective Date of an Order Form, or developed by Company independently of its performance under an Order Form.</w:t>
      </w:r>
    </w:p>
    <w:p w14:paraId="0DC49A0C" w14:textId="77777777">
      <w:pPr>
        <w:spacing w:after="120"/>
      </w:pPr>
      <w:r>
        <w:t>"Professional Services" means the implementation, configuration, customization, training, consulting, or other professional services to be provided by Company to Customer as described in an applicable Order Form.</w:t>
      </w:r>
    </w:p>
    <w:p w14:paraId="4A56829E" w14:textId="77777777">
      <w:pPr>
        <w:spacing w:after="120"/>
      </w:pPr>
      <w:r>
        <w:t>"Third-Party Materials" means any third-party software, content, data, or other materials that are incorporated into or required for the use of any Deliverables.</w:t>
      </w:r>
    </w:p>
    <w:p w14:paraId="73DDD371" w14:textId="77777777">
      <w:pPr>
        <w:spacing w:after="80"/>
      </w:pPr>
      <w:r>
        <w:rPr>
          <w:i/>
          <w:color w:val="FF0000"/>
          <w:sz w:val="18"/>
        </w:rPr>
        <w:t>[Drafting Note: AGENT DECISION POINT — Definitions Scope: For SaaS-Only deals, delete the definitions for Deliverables, Pre-Existing Materials, Professional Services, and Third-Party Materials. These are only needed when the Agreement covers professional services engagements.]</w:t>
      </w:r>
    </w:p>
    <w:p w14:paraId="20059368" w14:textId="77777777">
      <w:pPr>
        <w:pStyle w:val="Heading2"/>
      </w:pPr>
      <w:r>
        <w:rPr>
          <w:color w:val="000000"/>
        </w:rPr>
        <w:t>2.  Product and Services</w:t>
      </w:r>
    </w:p>
    <w:p w14:paraId="10F4D247" w14:textId="77777777">
      <w:pPr>
        <w:spacing w:after="120"/>
      </w:pPr>
      <w:r>
        <w:rPr>
          <w:b/>
        </w:rPr>
        <w:t>2.1  Provision of Product.</w:t>
      </w:r>
    </w:p>
    <w:p w14:paraId="1B33AAF0" w14:textId="77777777">
      <w:pPr>
        <w:spacing w:after="120"/>
      </w:pPr>
      <w:r>
        <w:t>Subject to the terms and conditions of this Agreement, Company will make the Product available to Customer pursuant to this Agreement, the SLA attached in Exhibit A and the applicable Order Form, and hereby grants Customer a non-exclusive right to access and use the Product for its internal business purposes.</w:t>
      </w:r>
    </w:p>
    <w:p w14:paraId="2831750F" w14:textId="77777777">
      <w:pPr>
        <w:spacing w:after="120"/>
      </w:pPr>
      <w:r>
        <w:rPr>
          <w:b/>
        </w:rPr>
        <w:t>2.2  Professional Services.</w:t>
      </w:r>
    </w:p>
    <w:p w14:paraId="0C6478F3" w14:textId="77777777">
      <w:pPr>
        <w:spacing w:after="80"/>
      </w:pPr>
      <w:r>
        <w:rPr>
          <w:i/>
          <w:color w:val="FF0000"/>
          <w:sz w:val="18"/>
        </w:rPr>
        <w:t>[Drafting Note: AGENT DECISION POINT — Professional Services: For SaaS-Only deals, delete Section 2.2 entirely and renumber subsequent sections. For SaaS + PS or PS-Only deals, retain and customize the acceptance period and cure period in Section 2.2(c) to match the Order Form.]</w:t>
      </w:r>
    </w:p>
    <w:p w14:paraId="0580B41C" w14:textId="77777777">
      <w:pPr>
        <w:spacing w:after="120"/>
      </w:pPr>
      <w:r>
        <w:t>(a)  Scope.  Company will provide the Professional Services described in each applicable Order Form.  Professional Services will be performed in a professional and workmanlike manner consistent with generally accepted industry standards.</w:t>
      </w:r>
    </w:p>
    <w:p w14:paraId="358A41A2" w14:textId="77777777">
      <w:pPr>
        <w:spacing w:after="120"/>
      </w:pPr>
      <w:r>
        <w:t>(b)  Staffing.  Company will assign qualified personnel to perform the Professional Services.  Company may substitute personnel of equivalent or greater qualifications upon reasonable notice to Customer.</w:t>
      </w:r>
    </w:p>
    <w:p w14:paraId="1404A4D1" w14:textId="77777777">
      <w:pPr>
        <w:spacing w:after="120"/>
      </w:pPr>
      <w:r>
        <w:t>(c)  Acceptance.  Unless otherwise specified in an Order Form, Customer will have [10] business days following delivery of any Deliverable to review and accept or reject such Deliverable.  If Customer does not provide written notice of rejection within such period, the Deliverable will be deemed accepted.  If Customer rejects a Deliverable, Customer will provide reasonable detail of the non-conformance, and Company will use commercially reasonable efforts to correct the Deliverable and redeliver it within [10] business days.</w:t>
      </w:r>
    </w:p>
    <w:p w14:paraId="1133ABE9" w14:textId="77777777">
      <w:pPr>
        <w:spacing w:after="80"/>
      </w:pPr>
      <w:r>
        <w:rPr>
          <w:i/>
          <w:color w:val="FF0000"/>
          <w:sz w:val="18"/>
        </w:rPr>
        <w:t>[Drafting Note: Adjust both bracketed acceptance periods based on deal terms. Standard is 10 business days review / 10 business days cure. For complex implementations, consider adding a detailed acceptance testing protocol as an Order Form exhibit. For T&amp;M engagements, acceptance provisions typically apply only to fixed-fee Deliverables.]</w:t>
      </w:r>
    </w:p>
    <w:p w14:paraId="0656D626" w14:textId="77777777">
      <w:pPr>
        <w:spacing w:after="120"/>
      </w:pPr>
      <w:r>
        <w:t>(d)  Change Orders.  Any changes to the scope, timeline, or fees for Professional Services must be documented in a written change order signed by both Parties (each, a "Change Order").</w:t>
      </w:r>
    </w:p>
    <w:p w14:paraId="4C6234BD" w14:textId="77777777">
      <w:pPr>
        <w:spacing w:after="120"/>
      </w:pPr>
      <w:r>
        <w:t>(e)  Dependencies.  Company's performance of Professional Services may be dependent on Customer's timely performance of its obligations under Section 2.5 and the applicable Order Form.  Company will not be liable for delays to the extent caused by Customer's failure to perform such obligations.</w:t>
      </w:r>
    </w:p>
    <w:p w14:paraId="6E8E14B1" w14:textId="77777777">
      <w:pPr>
        <w:spacing w:after="120"/>
      </w:pPr>
      <w:r>
        <w:rPr>
          <w:b/>
        </w:rPr>
        <w:t>2.3  Data Security.</w:t>
      </w:r>
    </w:p>
    <w:p w14:paraId="5BBCC8EE" w14:textId="1D248535">
      <w:pPr>
        <w:spacing w:after="120"/>
      </w:pPr>
      <w:r>
        <w:t xml:space="preserve">(a)  </w:t>
      </w:r>
      <w:r>
        <w:t xml:space="preserve">Company will maintain a security program materially in accordance with industry standards that is designed to (i) ensure the security and integrity of Customer data uploaded by or on behalf of Customer to the Product ("Customer Data"); (ii) protect against threats or hazards to the security or integrity of Customer Data; and (iii) prevent unauthorized access to Customer Data.  In furtherance of the foregoing, Company will use appropriate technical and organizational measures designed to prevent unauthorized access, use, alteration or disclosure of Customer Data.  Company's security safeguards include measures </w:t>
      </w:r>
      <w:r>
        <w:t>for preventing access, use, modification or disclosure of Customer Data by Company personnel except (a) to provide the Product and prevent or address service or technical problems, (b) as required by applicable law, or (c) as Customer expressly permits in writing or under this Agreement.  Company will not materially diminish the protections provided in this Section during the term of this Agreement.</w:t>
      </w:r>
    </w:p>
    <w:p w14:paraId="74752B66" w14:textId="77777777">
      <w:pPr>
        <w:spacing w:after="120"/>
      </w:pPr>
      <w:r>
        <w:t>(b)  To the extent that Company processes any Personal Data (as defined in the DPA referenced below) contained in Customer Data that is subject to applicable data protection laws, on Customer's behalf in the provision of the Product, the parties will execute a Data Processing Addendum ("DPA") and attach such DPA to this Agreement.</w:t>
      </w:r>
    </w:p>
    <w:p w14:paraId="4E0ED932" w14:textId="212ED50F">
      <w:pPr>
        <w:spacing w:after="80"/>
      </w:pPr>
      <w:r>
        <w:rPr>
          <w:i/>
          <w:color w:val="FF0000"/>
          <w:sz w:val="18"/>
        </w:rPr>
        <w:t>[Drafting Note: AGENT DECISION POINT — DPA: Ask whether Customer Personal Data subject to GDPR, UK GDPR, CCPA, or Swiss FADP is processed. If yes, attach a DPA. If the engagement is PS-only and does not involve processing personal data, Section 2.3(b) may be deleted.]</w:t>
      </w:r>
    </w:p>
    <w:p w14:paraId="2AAF37CB" w14:textId="77777777">
      <w:pPr>
        <w:spacing w:after="120"/>
      </w:pPr>
      <w:r>
        <w:rPr>
          <w:b/>
        </w:rPr>
        <w:t>2.4  Customer Limitations.</w:t>
      </w:r>
    </w:p>
    <w:p w14:paraId="1EFC3E6A" w14:textId="77777777">
      <w:pPr>
        <w:spacing w:after="120"/>
      </w:pPr>
      <w:r>
        <w:t>The rights granted herein are subject to the following restrictions (the "License Restrictions").  Customer will not directly or indirectly:</w:t>
      </w:r>
    </w:p>
    <w:p w14:paraId="4DF32FEA" w14:textId="77777777">
      <w:pPr>
        <w:pStyle w:val="ListBullet"/>
        <w:spacing w:after="80"/>
        <w:ind w:left="720"/>
      </w:pPr>
      <w:r>
        <w:t>reverse engineer, decompile, disassemble, modify, create derivative works of or otherwise create, attempt to create or derive, or permit or assist any third party to create or derive, the source code underlying the Product;</w:t>
      </w:r>
    </w:p>
    <w:p w14:paraId="058201D2" w14:textId="77777777">
      <w:pPr>
        <w:pStyle w:val="ListBullet"/>
        <w:spacing w:after="80"/>
        <w:ind w:left="720"/>
      </w:pPr>
      <w:r>
        <w:t>attempt to probe, scan or test the vulnerability of the Product, breach the security or authentication measures of the Product without proper authorization or wilfully render any part of the Product unusable;</w:t>
      </w:r>
    </w:p>
    <w:p w14:paraId="678C98A6" w14:textId="77777777">
      <w:pPr>
        <w:pStyle w:val="ListBullet"/>
        <w:spacing w:after="80"/>
        <w:ind w:left="720"/>
      </w:pPr>
      <w:r>
        <w:t>use or access the Product to develop a product or service that is competitive with Company's products or engage in competitive analysis or benchmarking;</w:t>
      </w:r>
    </w:p>
    <w:p w14:paraId="17C8FD76" w14:textId="77777777">
      <w:pPr>
        <w:pStyle w:val="ListBullet"/>
        <w:spacing w:after="80"/>
        <w:ind w:left="720"/>
      </w:pPr>
      <w:r>
        <w:t>transfer, distribute, resell, lease, license, or assign the Product or otherwise offer the Product on a standalone basis; or</w:t>
      </w:r>
    </w:p>
    <w:p w14:paraId="14B05397" w14:textId="77777777">
      <w:pPr>
        <w:pStyle w:val="ListBullet"/>
        <w:spacing w:after="80"/>
        <w:ind w:left="720"/>
      </w:pPr>
      <w:r>
        <w:t>otherwise use the Product outside the scope expressly permitted hereunder and in the applicable Order Form.</w:t>
      </w:r>
    </w:p>
    <w:p w14:paraId="4B83726A" w14:textId="77777777">
      <w:pPr>
        <w:spacing w:after="120"/>
      </w:pPr>
      <w:r>
        <w:rPr>
          <w:b/>
        </w:rPr>
        <w:t>2.5  Customer Responsibilities.</w:t>
      </w:r>
    </w:p>
    <w:p w14:paraId="0CC92CF2" w14:textId="77777777">
      <w:pPr>
        <w:spacing w:after="120"/>
      </w:pPr>
      <w:r>
        <w:t>(a)  Customer acknowledges that Company's provision of the Product and Professional Services is dependent on Customer providing all reasonably required cooperation (including the prompt provision of access to Customer's applications, software systems, data, facilities, personnel, cooperation and materials as reasonably required and any other access as may be specified in the applicable Order Form), and Customer will provide all such cooperation in a diligent and timely manner.</w:t>
      </w:r>
    </w:p>
    <w:p w14:paraId="1CCDEAA0" w14:textId="77777777">
      <w:pPr>
        <w:spacing w:after="120"/>
      </w:pPr>
      <w:r>
        <w:t>(b)  Customer will (i) be responsible for all use of the Product under its account (whether or not authorized), (ii) use commercially reasonable efforts to prevent unauthorized access to or use of the Product and notify Company promptly of any such unauthorized access or use and (iii) be responsible for obtaining and maintaining any equipment, software and ancillary services needed to connect to, access or otherwise use the Product, including as set forth in the Documentation.</w:t>
      </w:r>
    </w:p>
    <w:p w14:paraId="22AEC422" w14:textId="77777777">
      <w:pPr>
        <w:spacing w:after="120"/>
      </w:pPr>
      <w:r>
        <w:t>(c)  Customer will not use the Product to transmit or provide to Company any financial or medical information of any nature, or any sensitive personal data (e.g., social security numbers, driver's license numbers, birth dates, personal bank account numbers, passport or visa numbers and credit card numbers).</w:t>
      </w:r>
    </w:p>
    <w:p w14:paraId="25A7152F" w14:textId="026EB518">
      <w:pPr>
        <w:spacing w:after="80"/>
      </w:pPr>
      <w:r>
        <w:rPr>
          <w:i/>
          <w:color w:val="FF0000"/>
          <w:sz w:val="18"/>
        </w:rPr>
        <w:t>[Drafting Note: AGENT DECISION POINT — Data Restrictions: Adjust Section 2.5(c) to match the Product. If the Product is designed to handle financial, health, or other sensitive data, delete or narrow this restriction and ensure the DPA reflect appropriate handling. For PS engagements, consider whether Customer may need to provide sensitive data to enable the services — if so, restrict to what is reasonably necessary.]</w:t>
      </w:r>
    </w:p>
    <w:p w14:paraId="15E474D5" w14:textId="77777777">
      <w:pPr>
        <w:spacing w:after="120"/>
      </w:pPr>
      <w:r>
        <w:rPr>
          <w:b/>
        </w:rPr>
        <w:t>2.6  Affiliates.</w:t>
      </w:r>
    </w:p>
    <w:p w14:paraId="7862D12A" w14:textId="77777777">
      <w:pPr>
        <w:spacing w:after="120"/>
      </w:pPr>
      <w:r>
        <w:t>Any Affiliate of Customer will have the right to enter into an Order Form executed by such Affiliate and Company and this Agreement will apply to each such Order Form as if such Affiliate were a signatory to this Agreement.  With respect to such Order Forms, such Affiliate becomes a party to this Agreement and references to Customer in this Agreement are deemed to be references to such Affiliate.  Each Order Form is a separate obligation of the Customer entity that executes such Order Form, and no other Customer entity has any liability or obligation under such Order Form.</w:t>
      </w:r>
    </w:p>
    <w:p w14:paraId="01FF2489" w14:textId="77777777">
      <w:pPr>
        <w:pStyle w:val="Heading2"/>
      </w:pPr>
      <w:r>
        <w:rPr>
          <w:color w:val="000000"/>
        </w:rPr>
        <w:t>3.  Fees</w:t>
      </w:r>
    </w:p>
    <w:p w14:paraId="34293B04" w14:textId="77777777">
      <w:pPr>
        <w:spacing w:after="120"/>
      </w:pPr>
      <w:r>
        <w:rPr>
          <w:b/>
        </w:rPr>
        <w:t>3.1  Fees.</w:t>
      </w:r>
    </w:p>
    <w:p w14:paraId="2CC9D87B" w14:textId="77777777">
      <w:pPr>
        <w:spacing w:after="120"/>
      </w:pPr>
      <w:r>
        <w:t>Customer will pay Company the fees set forth in the Order Form.  Except as otherwise specified herein or in any applicable Order Form, (a) fees are quoted and payable in United States dollars and (b) payment obligations are non-cancelable and non-pro-ratable for partial months, and fees paid are non-refundable.</w:t>
      </w:r>
    </w:p>
    <w:p w14:paraId="5682B0DD" w14:textId="77777777">
      <w:pPr>
        <w:spacing w:after="120"/>
      </w:pPr>
      <w:r>
        <w:rPr>
          <w:b/>
        </w:rPr>
        <w:t>3.2  Expenses.</w:t>
      </w:r>
    </w:p>
    <w:p w14:paraId="6EC7E161" w14:textId="77777777">
      <w:pPr>
        <w:spacing w:after="120"/>
      </w:pPr>
      <w:r>
        <w:t>If an Order Form includes reimbursable expenses, Company will invoice Customer for reasonable, pre-approved, out-of-pocket expenses incurred in connection with the performance of Professional Services.  All expenses require Customer's prior written approval unless otherwise specified in the Order Form.  Company will provide reasonable documentation of expenses with each invoice.</w:t>
      </w:r>
    </w:p>
    <w:p w14:paraId="051E30F1" w14:textId="77777777">
      <w:pPr>
        <w:spacing w:after="80"/>
      </w:pPr>
      <w:r>
        <w:rPr>
          <w:i/>
          <w:color w:val="FF0000"/>
          <w:sz w:val="18"/>
        </w:rPr>
        <w:t>[Drafting Note: AGENT DECISION POINT — Expenses: For SaaS-Only deals, delete Section 3.2 entirely. For PS deals with significant travel, consider adding an expense policy exhibit or incorporating Customer's travel and expense policy by reference. Common cap: expenses not to exceed [15-20]% of the applicable PS fees without prior written approval.]</w:t>
      </w:r>
    </w:p>
    <w:p w14:paraId="724833D6" w14:textId="77777777">
      <w:pPr>
        <w:spacing w:after="120"/>
      </w:pPr>
      <w:r>
        <w:rPr>
          <w:b/>
        </w:rPr>
        <w:t>3.3  Late Payment.</w:t>
      </w:r>
    </w:p>
    <w:p w14:paraId="56F991FA" w14:textId="77777777">
      <w:pPr>
        <w:spacing w:after="80"/>
      </w:pPr>
      <w:r>
        <w:rPr>
          <w:i/>
          <w:color w:val="FF0000"/>
          <w:sz w:val="18"/>
        </w:rPr>
        <w:t>[Drafting Note: AGENT DECISION POINT — Late Payment: Select one option and delete the others.]</w:t>
      </w:r>
    </w:p>
    <w:p w14:paraId="3F61F9C3" w14:textId="77777777">
      <w:pPr>
        <w:spacing w:after="40"/>
      </w:pPr>
      <w:r>
        <w:rPr>
          <w:b/>
          <w:color w:val="00467F"/>
        </w:rPr>
        <w:t>Option A — 14-Day Suspension (Standard):</w:t>
      </w:r>
    </w:p>
    <w:p w14:paraId="2CB794CB" w14:textId="77777777">
      <w:pPr>
        <w:spacing w:after="40"/>
        <w:ind w:left="360"/>
      </w:pPr>
      <w:r>
        <w:t>Company may suspend access to the Product and performance of Professional Services upon notice if Customer fails to pay any amounts hereunder at least fourteen (14) days past the applicable due date, provided that Company has first given Customer written notice of such non-payment.</w:t>
      </w:r>
    </w:p>
    <w:p w14:paraId="19D3F941" w14:textId="77777777">
      <w:pPr>
        <w:spacing w:after="120"/>
        <w:ind w:left="360"/>
      </w:pPr>
      <w:r>
        <w:rPr>
          <w:i/>
          <w:color w:val="FF0000"/>
          <w:sz w:val="18"/>
        </w:rPr>
        <w:t>[Select when: Standard provider position]</w:t>
      </w:r>
    </w:p>
    <w:p w14:paraId="740DED5B" w14:textId="77777777">
      <w:pPr>
        <w:spacing w:after="40"/>
      </w:pPr>
      <w:r>
        <w:rPr>
          <w:b/>
          <w:color w:val="00467F"/>
        </w:rPr>
        <w:t>Option B — 30-Day Cure Period (Customer-Favorable):</w:t>
      </w:r>
    </w:p>
    <w:p w14:paraId="5557A57B" w14:textId="77777777">
      <w:pPr>
        <w:spacing w:after="40"/>
        <w:ind w:left="360"/>
      </w:pPr>
      <w:r>
        <w:t>Company may suspend access to the Product and performance of Professional Services upon notice if Customer fails to pay any amounts hereunder and such non-payment remains uncured for thirty (30) days after Customer's receipt of written notice from Company specifying the overdue amount.</w:t>
      </w:r>
    </w:p>
    <w:p w14:paraId="1E744F67" w14:textId="77777777">
      <w:pPr>
        <w:spacing w:after="120"/>
        <w:ind w:left="360"/>
      </w:pPr>
      <w:r>
        <w:rPr>
          <w:i/>
          <w:color w:val="FF0000"/>
          <w:sz w:val="18"/>
        </w:rPr>
        <w:t>[Select when: Enterprise customers with complex AP processes; common in large deals]</w:t>
      </w:r>
    </w:p>
    <w:p w14:paraId="6F16F596" w14:textId="77777777">
      <w:pPr>
        <w:spacing w:after="120"/>
      </w:pPr>
      <w:r>
        <w:rPr>
          <w:b/>
        </w:rPr>
        <w:t>3.4  Taxes.</w:t>
      </w:r>
    </w:p>
    <w:p w14:paraId="5ED86D28" w14:textId="77777777">
      <w:pPr>
        <w:spacing w:after="120"/>
      </w:pPr>
      <w:r>
        <w:t>All amounts payable hereunder are exclusive of any sales, use and other taxes or duties, however designated (collectively "Taxes").  Customer will be solely responsible for payment of all Taxes, except for those taxes based on the income of Company.  Customer will not withhold any taxes from any amounts due to Company.</w:t>
      </w:r>
    </w:p>
    <w:p w14:paraId="2FE08680" w14:textId="77777777">
      <w:pPr>
        <w:pStyle w:val="Heading2"/>
      </w:pPr>
      <w:r>
        <w:rPr>
          <w:color w:val="000000"/>
        </w:rPr>
        <w:t>4.  Proprietary Rights and Confidentiality</w:t>
      </w:r>
    </w:p>
    <w:p w14:paraId="5394B6B6" w14:textId="77777777">
      <w:pPr>
        <w:spacing w:after="120"/>
      </w:pPr>
      <w:r>
        <w:rPr>
          <w:b/>
        </w:rPr>
        <w:t>4.1  Proprietary Rights.</w:t>
      </w:r>
    </w:p>
    <w:p w14:paraId="0B3258A2" w14:textId="77777777">
      <w:pPr>
        <w:spacing w:after="80"/>
      </w:pPr>
      <w:r>
        <w:rPr>
          <w:i/>
          <w:color w:val="FF0000"/>
          <w:sz w:val="18"/>
        </w:rPr>
        <w:t>[Drafting Note: AGENT DECISION POINT — IP Ownership of Deliverables: The default position is assignment of Deliverables to Customer with a license-back of Pre-Existing Materials (Option A below). If Company prefers to retain ownership and grant a license instead, use Option B. Align with what was discussed during deal negotiation — customers generally expect to own custom work product they paid for.]</w:t>
      </w:r>
    </w:p>
    <w:p w14:paraId="257F03A3" w14:textId="77777777">
      <w:pPr>
        <w:spacing w:after="120"/>
      </w:pPr>
      <w:r>
        <w:t>(a)  Company IP.  As between the Parties, Company retains all right, title, and interest in and to the Product, the Documentation, all Pre-Existing Materials, and all improvements, modifications, and derivative works thereof, including all intellectual property rights therein.</w:t>
      </w:r>
    </w:p>
    <w:p w14:paraId="14BB5451" w14:textId="77777777">
      <w:pPr>
        <w:spacing w:after="120"/>
      </w:pPr>
      <w:r>
        <w:t>(b)  Customer IP.  As between the Parties, Customer retains all right, title, and interest in and to Customer Data and any materials provided by Customer to Company for use in connection with the Professional Services, including all intellectual property rights therein.</w:t>
      </w:r>
    </w:p>
    <w:p w14:paraId="719E6191" w14:textId="77777777">
      <w:pPr>
        <w:spacing w:after="40"/>
      </w:pPr>
      <w:r>
        <w:rPr>
          <w:b/>
          <w:color w:val="00467F"/>
        </w:rPr>
        <w:t>Option A — Deliverables Assignment to Customer (Default):</w:t>
      </w:r>
    </w:p>
    <w:p w14:paraId="6411F614" w14:textId="77777777">
      <w:pPr>
        <w:spacing w:after="40"/>
        <w:ind w:left="360"/>
      </w:pPr>
      <w:r>
        <w:t>(c)  Deliverables.  Subject to Customer's payment of all applicable fees, Company hereby assigns to Customer all right, title, and interest in and to the Deliverables, excluding any Pre-Existing Materials and Third-Party Materials incorporated therein.  Company will identify any Pre-Existing Materials and Third-Party Materials incorporated into Deliverables.</w:t>
      </w:r>
      <w:r>
        <w:br/>
      </w:r>
      <w:r>
        <w:br/>
      </w:r>
      <w:r>
        <w:t>(d)  Pre-Existing Materials License.  To the extent any Pre-Existing Materials are incorporated into any Deliverables, Company hereby grants to Customer a non-exclusive, perpetual, irrevocable, worldwide, fully paid-up license to use, reproduce, modify, and create derivative works of such Pre-Existing Materials solely as part of and to the extent necessary to use the Deliverables for Customer's internal business purposes.</w:t>
      </w:r>
      <w:r>
        <w:br/>
      </w:r>
      <w:r>
        <w:br/>
      </w:r>
      <w:r>
        <w:t>(e)  Third-Party Materials.  Any Third-Party Materials incorporated into Deliverables will be identified in the applicable Order Form or Deliverable documentation and will be subject to the applicable third-party license terms.  Company will obtain all necessary licenses for Third-Party Materials incorporated into Deliverables.</w:t>
      </w:r>
    </w:p>
    <w:p w14:paraId="201A4797" w14:textId="77777777">
      <w:pPr>
        <w:spacing w:after="120"/>
        <w:ind w:left="360"/>
      </w:pPr>
      <w:r>
        <w:rPr>
          <w:i/>
          <w:color w:val="FF0000"/>
          <w:sz w:val="18"/>
        </w:rPr>
        <w:t>[Select when: Customer is paying for custom work product and expects to own it; standard for implementation, configuration, and custom development engagements]</w:t>
      </w:r>
    </w:p>
    <w:p w14:paraId="2B393C08" w14:textId="77777777">
      <w:pPr>
        <w:spacing w:after="40"/>
      </w:pPr>
      <w:r>
        <w:rPr>
          <w:b/>
          <w:color w:val="00467F"/>
        </w:rPr>
        <w:t>Option B — Deliverables License to Customer (Company Retains IP):</w:t>
      </w:r>
    </w:p>
    <w:p w14:paraId="4DC0C005" w14:textId="77777777">
      <w:pPr>
        <w:spacing w:after="40"/>
        <w:ind w:left="360"/>
      </w:pPr>
      <w:r>
        <w:t>(c)  Deliverables License.  Subject to Customer's payment of all applicable fees, Company hereby grants Customer a non-exclusive, perpetual, irrevocable, worldwide, fully paid-up license to use, reproduce, and modify the Deliverables for Customer's internal business purposes.  Company retains all right, title, and interest in and to the Deliverables, including all intellectual property rights therein.</w:t>
      </w:r>
      <w:r>
        <w:br/>
      </w:r>
      <w:r>
        <w:br/>
      </w:r>
      <w:r>
        <w:t>(d)  Third-Party Materials.  Any Third-Party Materials incorporated into Deliverables will be identified in the applicable Order Form or Deliverable documentation and will be subject to the applicable third-party license terms.</w:t>
      </w:r>
    </w:p>
    <w:p w14:paraId="769353BC" w14:textId="77777777">
      <w:pPr>
        <w:spacing w:after="120"/>
        <w:ind w:left="360"/>
      </w:pPr>
      <w:r>
        <w:rPr>
          <w:i/>
          <w:color w:val="FF0000"/>
          <w:sz w:val="18"/>
        </w:rPr>
        <w:t>[Select when: Company builds reusable IP (frameworks, templates, methodologies) and cannot assign ownership; or Deliverables are built on Company's proprietary platform in a way that makes assignment impractical]</w:t>
      </w:r>
    </w:p>
    <w:p w14:paraId="0D003DEC" w14:textId="77777777">
      <w:pPr>
        <w:spacing w:after="120"/>
      </w:pPr>
      <w:r>
        <w:rPr>
          <w:b/>
        </w:rPr>
        <w:t>4.2  Feedback.</w:t>
      </w:r>
    </w:p>
    <w:p w14:paraId="5D544C7E" w14:textId="77777777">
      <w:pPr>
        <w:spacing w:after="120"/>
      </w:pPr>
      <w:r>
        <w:t>Customer may from time to time provide Company suggestions or comments for enhancements or improvements, new features or functionality or other feedback ("Feedback") with respect to the Product.  Company will have full discretion to determine whether or not to proceed with the development of any requested enhancements, new features or functionality.  Company will have the full, unencumbered right, without any obligation to compensate or reimburse Customer, to use, incorporate and otherwise fully exercise and exploit any such Feedback in connection with its products and services.</w:t>
      </w:r>
    </w:p>
    <w:p w14:paraId="06075BBD" w14:textId="77777777">
      <w:pPr>
        <w:spacing w:after="120"/>
      </w:pPr>
      <w:r>
        <w:rPr>
          <w:b/>
        </w:rPr>
        <w:t>4.3  Confidentiality.</w:t>
      </w:r>
    </w:p>
    <w:p w14:paraId="63570C98" w14:textId="77777777">
      <w:pPr>
        <w:spacing w:after="120"/>
      </w:pPr>
      <w:r>
        <w:t>Each party agrees that it will use the Confidential Information of the other party solely in accordance with the provisions of this Agreement and it will not disclose, or permit to be disclosed, the same directly or indirectly, to any third party without the other party's prior written consent, except as otherwise permitted hereunder.  However, either party may disclose Confidential Information (a) to its employees, officers, directors, attorneys, auditors, financial advisors and other representatives who have a need to know and are legally bound to keep such information confidential by confidentiality obligations consistent with those of this Agreement; and (b) as required by law (in which case the receiving party will provide the disclosing party with prior written notification thereof, will provide the disclosing party with the opportunity to contest such disclosure, and will use its reasonable efforts to minimize such disclosure to the extent permitted by applicable law).  Neither party will disclose the terms of this Agreement to any third party, except that either party may confidentially disclose such terms to actual or potential lenders, investors or acquirers.  Each party agrees to exercise due care in protecting the Confidential Information from unauthorized use and disclosure.  In the event of actual or threatened breach of the provisions of this Section or the License Restrictions, the non-breaching party will be entitled to seek immediate injunctive and other equitable relief, without waiving any other rights or remedies available to it.</w:t>
      </w:r>
    </w:p>
    <w:p w14:paraId="1E9E606C" w14:textId="77777777">
      <w:pPr>
        <w:spacing w:after="120"/>
        <w:rPr>
          <w:b/>
        </w:rPr>
      </w:pPr>
      <w:r>
        <w:rPr>
          <w:b/>
        </w:rPr>
        <w:t>4.4  Usage Data.</w:t>
      </w:r>
    </w:p>
    <w:p w14:paraId="3CE5D5AB" w14:textId="77777777">
      <w:pPr>
        <w:spacing w:after="120"/>
      </w:pPr>
      <w:r>
        <w:t>Customer agrees that Company has the right to aggregate, collect and analyze data and other information relating to the performance of the Product and shall be free (during and after the term hereof) to (i) use such data and other information to improve Company's products and services, and (ii) disclose such data and other information solely in an aggregated and anonymized format that does not identify Customer or any individual.</w:t>
      </w:r>
    </w:p>
    <w:p w14:paraId="5842D112" w14:textId="77777777">
      <w:pPr>
        <w:spacing w:after="40"/>
        <w:rPr>
          <w:i/>
          <w:color w:val="FF0000"/>
          <w:sz w:val="18"/>
        </w:rPr>
      </w:pPr>
      <w:r>
        <w:rPr>
          <w:i/>
          <w:color w:val="FF0000"/>
          <w:sz w:val="18"/>
        </w:rPr>
        <w:t>[Drafting Note: AGENT DECISION POINT — The baseline above covers telemetry, performance metrics, feature usage patterns, and similar operational data.  It does not reference Customer Data and does not require a "Usage Data" definition.  If no option below is added, the baseline stands alone — this is appropriate for most general-purpose SaaS products where the Company does not need Customer Data content for product improvement.</w:t>
      </w:r>
    </w:p>
    <w:p w14:paraId="165B721D" w14:textId="77777777">
      <w:pPr>
        <w:spacing w:after="40"/>
        <w:rPr>
          <w:i/>
          <w:color w:val="FF0000"/>
          <w:sz w:val="18"/>
        </w:rPr>
      </w:pPr>
      <w:r>
        <w:rPr>
          <w:i/>
          <w:color w:val="FF0000"/>
          <w:sz w:val="18"/>
        </w:rPr>
        <w:t>KEY QUESTION: Does the deal require either (a) an expansion of data rights to Customer Data or (b) an explicit restriction on ML/AI training?  If neither, add nothing.</w:t>
      </w:r>
    </w:p>
    <w:p w14:paraId="4D357C74" w14:textId="77777777">
      <w:pPr>
        <w:spacing w:after="40"/>
        <w:rPr>
          <w:i/>
          <w:color w:val="FF0000"/>
          <w:sz w:val="18"/>
        </w:rPr>
      </w:pPr>
      <w:r>
        <w:rPr>
          <w:rFonts w:hint="eastAsia"/>
          <w:i/>
          <w:color w:val="FF0000"/>
          <w:sz w:val="18"/>
        </w:rPr>
        <w:t>•</w:t>
      </w:r>
      <w:r>
        <w:rPr>
          <w:rFonts w:hint="eastAsia"/>
          <w:i/>
          <w:color w:val="FF0000"/>
          <w:sz w:val="18"/>
        </w:rPr>
        <w:t xml:space="preserve"> If the Company needs Customer Data to improve the product </w:t>
      </w:r>
      <w:r>
        <w:rPr>
          <w:rFonts w:hint="eastAsia"/>
          <w:i/>
          <w:color w:val="FF0000"/>
          <w:sz w:val="18"/>
        </w:rPr>
        <w:t>→</w:t>
      </w:r>
      <w:r>
        <w:rPr>
          <w:rFonts w:hint="eastAsia"/>
          <w:i/>
          <w:color w:val="FF0000"/>
          <w:sz w:val="18"/>
        </w:rPr>
        <w:t xml:space="preserve"> add Option A</w:t>
      </w:r>
    </w:p>
    <w:p w14:paraId="17F457A4" w14:textId="77777777">
      <w:pPr>
        <w:spacing w:after="40"/>
        <w:rPr>
          <w:i/>
          <w:color w:val="FF0000"/>
          <w:sz w:val="18"/>
        </w:rPr>
      </w:pPr>
      <w:r>
        <w:rPr>
          <w:rFonts w:hint="eastAsia"/>
          <w:i/>
          <w:color w:val="FF0000"/>
          <w:sz w:val="18"/>
        </w:rPr>
        <w:t>•</w:t>
      </w:r>
      <w:r>
        <w:rPr>
          <w:rFonts w:hint="eastAsia"/>
          <w:i/>
          <w:color w:val="FF0000"/>
          <w:sz w:val="18"/>
        </w:rPr>
        <w:t xml:space="preserve"> If the Customer has strict data sensitivity concerns or requires an explicit ML restriction </w:t>
      </w:r>
      <w:r>
        <w:rPr>
          <w:rFonts w:hint="eastAsia"/>
          <w:i/>
          <w:color w:val="FF0000"/>
          <w:sz w:val="18"/>
        </w:rPr>
        <w:t>→</w:t>
      </w:r>
      <w:r>
        <w:rPr>
          <w:rFonts w:hint="eastAsia"/>
          <w:i/>
          <w:color w:val="FF0000"/>
          <w:sz w:val="18"/>
        </w:rPr>
        <w:t xml:space="preserve"> add Option B</w:t>
      </w:r>
    </w:p>
    <w:p w14:paraId="13D2FED4" w14:textId="77777777">
      <w:pPr>
        <w:spacing w:after="40"/>
        <w:rPr>
          <w:i/>
          <w:color w:val="FF0000"/>
          <w:sz w:val="18"/>
        </w:rPr>
      </w:pPr>
      <w:r>
        <w:rPr>
          <w:rFonts w:hint="eastAsia"/>
          <w:i/>
          <w:color w:val="FF0000"/>
          <w:sz w:val="18"/>
        </w:rPr>
        <w:t>•</w:t>
      </w:r>
      <w:r>
        <w:rPr>
          <w:rFonts w:hint="eastAsia"/>
          <w:i/>
          <w:color w:val="FF0000"/>
          <w:sz w:val="18"/>
        </w:rPr>
        <w:t xml:space="preserve"> If neither applies </w:t>
      </w:r>
      <w:r>
        <w:rPr>
          <w:rFonts w:hint="eastAsia"/>
          <w:i/>
          <w:color w:val="FF0000"/>
          <w:sz w:val="18"/>
        </w:rPr>
        <w:t>→</w:t>
      </w:r>
      <w:r>
        <w:rPr>
          <w:rFonts w:hint="eastAsia"/>
          <w:i/>
          <w:color w:val="FF0000"/>
          <w:sz w:val="18"/>
        </w:rPr>
        <w:t xml:space="preserve"> add nothing; the baseline is sufficient]</w:t>
      </w:r>
    </w:p>
    <w:p w14:paraId="2086D319" w14:textId="77777777">
      <w:pPr>
        <w:spacing w:after="40"/>
      </w:pPr>
      <w:r>
        <w:rPr>
          <w:b/>
          <w:color w:val="00467F"/>
        </w:rPr>
        <w:t>Option A — Full ML Training Rights (Anonymized Customer Data):</w:t>
      </w:r>
    </w:p>
    <w:p w14:paraId="6F5D35E1" w14:textId="77777777">
      <w:pPr>
        <w:spacing w:after="40"/>
        <w:ind w:left="720"/>
      </w:pPr>
      <w:r>
        <w:t xml:space="preserve">Company may additionally use Customer Data submitted to the Product to develop, improve and enhance Company's products and services; provided that (a) Company will anonymize and de-identify all Customer Data prior to such use such that it cannot reasonably be used to identify Customer, any individual, or any User; (b) Company will not attempt to re-identify any anonymized data derived from Customer Data; (c) such rights survive termination solely with respect to improvements already derived during the term, but Company may not use Customer </w:t>
      </w:r>
      <w:r>
        <w:t>Data for new development after termination; and (d) nothing in this Section reduces Company's obligations regarding Personal Data under applicable data protection laws or the DPA, if any.</w:t>
      </w:r>
    </w:p>
    <w:p w14:paraId="65E8E3BC" w14:textId="77777777">
      <w:pPr>
        <w:spacing w:after="40"/>
        <w:rPr>
          <w:i/>
          <w:iCs/>
        </w:rPr>
      </w:pPr>
      <w:r>
        <w:rPr>
          <w:i/>
          <w:iCs/>
          <w:color w:val="EE0000"/>
          <w:sz w:val="18"/>
          <w:szCs w:val="20"/>
        </w:rPr>
        <w:t>[Select Option A when: AI/ML is core to the Product and the Company's value proposition depends on training models on customer interactions (e.g., NLP, recommendation engines, computer vision). The anonymization requirement is the primary customer protection. Note: the baseline paragraph already covers operational and performance data — Option A adds the right to use the substance of Customer Data itself.]</w:t>
      </w:r>
    </w:p>
    <w:p w14:paraId="32758BD3" w14:textId="77777777">
      <w:pPr>
        <w:spacing w:after="40"/>
      </w:pPr>
      <w:r>
        <w:rPr>
          <w:b/>
          <w:color w:val="00467F"/>
        </w:rPr>
        <w:t>Option B — Usage Data Only (No Customer Data Training):</w:t>
      </w:r>
    </w:p>
    <w:p w14:paraId="6281E009" w14:textId="77777777">
      <w:pPr>
        <w:spacing w:after="120"/>
        <w:ind w:left="360"/>
      </w:pPr>
      <w:r>
        <w:t xml:space="preserve">For the avoidance of doubt, Company will not use Customer Data or data and other information relating to the provision, use, and performance of the Product ("Usage Data") to develop, train, or improve any machine learning models or algorithms.  This restriction does not prevent Company from using machine learning models that were trained on Company's own data or third-party data to provide the Product, so long as no Customer Data or Usage Data is used as training input. </w:t>
      </w:r>
      <w:r>
        <w:rPr>
          <w:i/>
          <w:color w:val="FF0000"/>
          <w:sz w:val="18"/>
        </w:rPr>
        <w:t>[Select Option B when: Customer has strong data sensitivity concerns (regulated industries, government contracts, trade-secret-heavy use cases) or requires an explicit ML/AI prohibition.  This is the only option that names "machine learning" — appropriately, since the customer wants to see the restriction stated explicitly.  Note: the baseline data rights for aggregated and anonymized performance metrics remain intact; this option restricts ML training specifically.]</w:t>
      </w:r>
    </w:p>
    <w:p w14:paraId="42ED728E" w14:textId="77777777">
      <w:pPr>
        <w:spacing w:after="120"/>
        <w:rPr>
          <w:b/>
          <w:rFonts w:ascii="Calibri" w:hAnsi="Calibri" w:eastAsia="Calibri" w:cs="Calibri"/>
        </w:rPr>
      </w:pPr>
      <w:r>
        <w:rPr>
          <w:b/>
          <w:rFonts w:ascii="Calibri" w:hAnsi="Calibri" w:eastAsia="Calibri" w:cs="Calibri"/>
        </w:rPr>
        <w:t>4.</w:t>
      </w:r>
      <w:r>
        <w:rPr>
          <w:b/>
          <w:rFonts w:ascii="Calibri" w:hAnsi="Calibri" w:eastAsia="Calibri" w:cs="Calibri"/>
        </w:rPr>
        <w:t>5</w:t>
      </w:r>
      <w:r>
        <w:rPr>
          <w:b/>
          <w:rFonts w:ascii="Calibri" w:hAnsi="Calibri" w:eastAsia="Calibri" w:cs="Calibri"/>
        </w:rPr>
        <w:t xml:space="preserve">  Data Export and Deletion.</w:t>
      </w:r>
    </w:p>
    <w:p w14:paraId="2A5087E8" w14:textId="77777777">
      <w:pPr>
        <w:spacing w:after="120"/>
      </w:pPr>
      <w:r>
        <w:t>Upon termination or expiration of this Agreement, Company will make Customer Data available to Customer for export in a standard machine-readable format for a period of sixty (60) days.  Following such sixty (60) day period, Company will delete all Customer Data in its possession or control in accordance with its standard data deletion practices, and upon Customer's written request, certify such deletion in writing; provided, however, that Company may retain copies of Customer Data to the extent required by applicable law or contained in routine backup archives maintained in the ordinary course of business, subject to the confidentiality and security obligations of this Agreement.</w:t>
      </w:r>
    </w:p>
    <w:p w14:paraId="6E7A8C58" w14:textId="77777777">
      <w:pPr>
        <w:pStyle w:val="Heading2"/>
      </w:pPr>
      <w:r>
        <w:rPr>
          <w:color w:val="000000"/>
        </w:rPr>
        <w:t>5.  Warranties and Disclaimers</w:t>
      </w:r>
    </w:p>
    <w:p w14:paraId="6E670D98" w14:textId="77777777">
      <w:pPr>
        <w:spacing w:after="120"/>
      </w:pPr>
      <w:r>
        <w:rPr>
          <w:b/>
        </w:rPr>
        <w:t>5.1  Company.</w:t>
      </w:r>
    </w:p>
    <w:p w14:paraId="0281635A" w14:textId="77777777">
      <w:pPr>
        <w:spacing w:after="120"/>
      </w:pPr>
      <w:r>
        <w:t>(a)  Product Warranty.  Company warrants that it will, consistent with prevailing industry standards, perform the Product in a professional and workmanlike manner and the Product will conform in all material respects with the Documentation.  For material breach of the foregoing express warranty, Customer's exclusive remedy shall be the re-performance of the deficient Product or, if Company cannot re-perform such deficient Product as warranted, Customer shall be entitled to terminate the applicable Order Form in accordance with Section 8.2(a) and recover a pro-rata portion of the fees paid to Company for such deficient Product.</w:t>
      </w:r>
    </w:p>
    <w:p w14:paraId="38CD3329" w14:textId="77777777">
      <w:pPr>
        <w:spacing w:after="120"/>
      </w:pPr>
      <w:r>
        <w:t>(b)  Services Warranty.  Company warrants that (i) the Professional Services will be performed in a professional and workmanlike manner consistent with generally accepted industry standards, and (ii) the Deliverables will materially conform to the specifications set forth in the applicable Order Form for a period of [30] days following acceptance (the "Services Warranty Period").  If Customer notifies Company of a breach of this warranty during the Services Warranty Period, Company will, at its own expense, re-perform the applicable Professional Services or correct the non-conforming Deliverable.  This is Customer's sole and exclusive remedy for breach of this Section 5.1(b).</w:t>
      </w:r>
    </w:p>
    <w:p w14:paraId="33307FF8" w14:textId="77777777">
      <w:pPr>
        <w:spacing w:after="80"/>
      </w:pPr>
      <w:r>
        <w:rPr>
          <w:i/>
          <w:color w:val="FF0000"/>
          <w:sz w:val="18"/>
        </w:rPr>
        <w:t xml:space="preserve">[Drafting Note: AGENT DECISION POINT — Services Warranty: For SaaS-Only deals, delete Section 5.1(b). For PS deals, the [30] day warranty period is standard; enterprise customers may push for 60-90 days. Do not extend beyond 90 </w:t>
      </w:r>
      <w:r>
        <w:rPr>
          <w:i/>
          <w:color w:val="FF0000"/>
          <w:sz w:val="18"/>
        </w:rPr>
        <w:t>days without engineering/PS team approval. For complex implementations, consider whether re-performance is sufficient or whether a fee credit should be an alternative remedy.]</w:t>
      </w:r>
    </w:p>
    <w:p w14:paraId="66AA0FEE" w14:textId="77777777">
      <w:pPr>
        <w:spacing w:after="120"/>
      </w:pPr>
      <w:r>
        <w:rPr>
          <w:b/>
        </w:rPr>
        <w:t>5.2  Customer.</w:t>
      </w:r>
    </w:p>
    <w:p w14:paraId="2531F833" w14:textId="77777777">
      <w:pPr>
        <w:spacing w:after="120"/>
      </w:pPr>
      <w:r>
        <w:t>Customer warrants that it has all rights necessary to provide any information, data or other materials that it provides hereunder, and to permit Company to use the same as contemplated hereunder.</w:t>
      </w:r>
    </w:p>
    <w:p w14:paraId="090B9519" w14:textId="77777777">
      <w:pPr>
        <w:spacing w:after="120"/>
      </w:pPr>
      <w:r>
        <w:rPr>
          <w:b/>
        </w:rPr>
        <w:t>5.3  DISCLAIMERS.</w:t>
      </w:r>
    </w:p>
    <w:p w14:paraId="1C638805" w14:textId="77777777">
      <w:pPr>
        <w:spacing w:after="120"/>
      </w:pPr>
      <w:r>
        <w:t>EXCEPT AS EXPRESSLY SET FORTH HEREIN, EACH PARTY DISCLAIMS ANY AND ALL WARRANTIES, EXPRESS OR IMPLIED, INCLUDING WARRANTIES OF MERCHANTABILITY, TITLE, NON-INFRINGEMENT, AND FITNESS FOR A PARTICULAR PURPOSE.  THE PRODUCT IS PROVIDED ON AN "AS IS" BASIS AND COMPANY DOES NOT WARRANT THAT THE PRODUCT WILL BE UNINTERRUPTED OR ERROR FREE.  COMPANY DOES NOT REPRESENT OR WARRANT THAT ANY PARTICULAR RESULTS WILL BE OBTAINED FROM USE OF THE PRODUCT OR PROFESSIONAL SERVICES.</w:t>
      </w:r>
    </w:p>
    <w:p w14:paraId="3165FA8A" w14:textId="77777777">
      <w:pPr>
        <w:spacing w:after="120"/>
      </w:pPr>
      <w:r>
        <w:rPr>
          <w:b/>
        </w:rPr>
        <w:t>5.4  BETA PRODUCTS.</w:t>
      </w:r>
    </w:p>
    <w:p w14:paraId="304947FE" w14:textId="77777777">
      <w:pPr>
        <w:spacing w:after="120"/>
      </w:pPr>
      <w:r>
        <w:t>FROM TIME TO TIME, CUSTOMER MAY HAVE THE OPTION TO PARTICIPATE IN A PROGRAM WITH COMPANY WHERE CUSTOMER GETS TO USE ALPHA OR BETA PRODUCTS, FEATURES OR DOCUMENTATION (COLLECTIVELY, "BETA PRODUCTS") OFFERED BY COMPANY.  THE BETA PRODUCTS ARE NOT GENERALLY AVAILABLE AND ARE PROVIDED "AS IS".  COMPANY DOES NOT PROVIDE ANY INDEMNITIES, SERVICE LEVEL COMMITMENTS OR WARRANTIES, EXPRESS OR IMPLIED, INCLUDING WARRANTIES OF MERCHANTABILITY, TITLE, NON-INFRINGEMENT, AND FITNESS FOR A PARTICULAR PURPOSE, IN RELATION THERETO.  CUSTOMER OR COMPANY MAY TERMINATE CUSTOMER'S ACCESS TO THE BETA PRODUCTS AT ANY TIME.</w:t>
      </w:r>
    </w:p>
    <w:p w14:paraId="065B962C" w14:textId="77777777">
      <w:pPr>
        <w:pStyle w:val="Heading2"/>
      </w:pPr>
      <w:r>
        <w:rPr>
          <w:color w:val="000000"/>
        </w:rPr>
        <w:t>6.  Indemnification</w:t>
      </w:r>
    </w:p>
    <w:p w14:paraId="029CC09F" w14:textId="77777777">
      <w:pPr>
        <w:spacing w:after="120"/>
      </w:pPr>
      <w:r>
        <w:rPr>
          <w:b/>
        </w:rPr>
        <w:t>6.1  Indemnity by Company.</w:t>
      </w:r>
    </w:p>
    <w:p w14:paraId="529654CC" w14:textId="77777777">
      <w:pPr>
        <w:spacing w:after="120"/>
      </w:pPr>
      <w:r>
        <w:t xml:space="preserve">Company will defend Customer against any claim, demand, suit, or proceeding ("Claim") made or brought against Customer by a third party alleging that the use of the Product or Deliverables as permitted hereunder infringes or misappropriates any patent, copyright, trade secret or other intellectual property right and will indemnify Customer for any damages finally awarded against (or any settlement approved by Company) Customer in connection with any such Claim; provided that (a) Customer will promptly notify Company of such Claim, (b) Company will have the sole and exclusive authority to defend and/or settle any such Claim (provided that Company may not settle any Claim without Customer's prior written consent, which will not be unreasonably withheld, unless it unconditionally releases Customer of all related liability) and (c) Customer reasonably cooperates with Company in connection therewith.  If the use of the Product or Deliverables by Customer has become, or in Company's opinion is likely to become, the subject of any claim of infringement, Company may at its option and expense (i) procure for Customer the right to continue using and receiving the Product or Deliverables; (ii) replace or modify the Product or Deliverables to make them non-infringing (with comparable functionality); or (iii) if the options in clauses (i) or (ii) are not reasonably practicable, terminate this Agreement and provide a pro rata refund of any prepaid fees corresponding to the terminated portion of the applicable subscription term.  Company will have no liability or obligation with respect to any Claim if such Claim is caused in whole or in part by (A) compliance with designs, guidelines, plans or specifications provided by Customer; (B) use of the Product or Deliverables not in accordance with this Agreement; (C) modification of the Product or Deliverables by any party other than Company without Company's express consent; (D) Customer Confidential Information; (E) the combination of the Product or Deliverables with other products where the Product or </w:t>
      </w:r>
      <w:r>
        <w:t>Deliverables would not by itself be infringing; (F) materials provided by Customer and incorporated into Deliverables at Customer's direction; or (G) Third-Party Materials procured by or at the direction of Customer (clauses (A) through (G), "Excluded Claims").  This Section states Company's sole and exclusive liability and obligation, and Customer's exclusive remedy, for any claim of any nature related to infringement or misappropriation of intellectual property.</w:t>
      </w:r>
    </w:p>
    <w:p w14:paraId="6C40096D" w14:textId="77777777">
      <w:pPr>
        <w:spacing w:after="120"/>
      </w:pPr>
      <w:r>
        <w:rPr>
          <w:b/>
        </w:rPr>
        <w:t>6.2  Indemnification by Customer.</w:t>
      </w:r>
    </w:p>
    <w:p w14:paraId="6FB679FB" w14:textId="77777777">
      <w:pPr>
        <w:spacing w:after="120"/>
      </w:pPr>
      <w:r>
        <w:t>Customer will defend Company against any Claim made or brought against Company by a third party arising out of the Excluded Claims, and Customer will indemnify Company for any damages finally awarded against (or any settlement approved by Customer) Company in connection with any such Claim; provided that (a) Company will promptly notify Customer of such Claim, (b) Customer will have the sole and exclusive authority to defend and/or settle any such Claim (provided that Customer may not settle any Claim without Company's prior written consent, which will not be unreasonably withheld, unless it unconditionally releases Company of all liability) and (c) Company reasonably cooperates with Customer in connection therewith.</w:t>
      </w:r>
    </w:p>
    <w:p w14:paraId="467274DD" w14:textId="77777777">
      <w:pPr>
        <w:spacing w:after="80"/>
      </w:pPr>
      <w:r>
        <w:rPr>
          <w:i/>
          <w:color w:val="FF0000"/>
          <w:sz w:val="18"/>
        </w:rPr>
        <w:t>[Drafting Note: AGENT DECISION POINT — Data Breach Indemnity: The IP indemnity above is standard. Some enterprise customers in regulated industries require a separate data breach indemnity. If requested, add:</w:t>
      </w:r>
      <w:r>
        <w:rPr>
          <w:i/>
          <w:color w:val="FF0000"/>
          <w:sz w:val="18"/>
        </w:rPr>
        <w:br/>
      </w:r>
      <w:r>
        <w:rPr>
          <w:i/>
          <w:color w:val="FF0000"/>
          <w:sz w:val="18"/>
        </w:rPr>
        <w:t>"6.3 Data Breach Indemnity. Company will defend Customer against any Claim by a third party arising directly from Company's gross negligence or willful misconduct in connection with a Security Incident affecting Customer Data, subject to Section 7. The DPA governs all data protection obligations; this Section supplements the DPA."</w:t>
      </w:r>
      <w:r>
        <w:rPr>
          <w:i/>
          <w:color w:val="FF0000"/>
          <w:sz w:val="18"/>
        </w:rPr>
        <w:br/>
      </w:r>
      <w:r>
        <w:rPr>
          <w:i/>
          <w:color w:val="FF0000"/>
          <w:sz w:val="18"/>
        </w:rPr>
        <w:t>Add only if explicitly required. Push back by pointing to the DPA as the primary data protection framework.]</w:t>
      </w:r>
    </w:p>
    <w:p w14:paraId="2FFA24AB" w14:textId="77777777">
      <w:pPr>
        <w:pStyle w:val="Heading2"/>
      </w:pPr>
      <w:r>
        <w:rPr>
          <w:color w:val="000000"/>
        </w:rPr>
        <w:t>7.  Limitation of Liability</w:t>
      </w:r>
    </w:p>
    <w:p w14:paraId="2A5D7A8E" w14:textId="77777777">
      <w:pPr>
        <w:spacing w:after="80"/>
      </w:pPr>
      <w:r>
        <w:rPr>
          <w:i/>
          <w:color w:val="FF0000"/>
          <w:sz w:val="18"/>
        </w:rPr>
        <w:t>[Drafting Note: AGENT DECISION POINT — Liability Cap: Standard is 12 months of fees (Option A). Enterprise customers frequently push for higher caps for data breach and IP claims. The PS super-cap in Option B accounts for the fact that PS deals often involve significant upfront payments that make a 12-month lookback inadequate.]</w:t>
      </w:r>
    </w:p>
    <w:p w14:paraId="5F336988" w14:textId="77777777">
      <w:pPr>
        <w:spacing w:after="40"/>
      </w:pPr>
      <w:r>
        <w:rPr>
          <w:b/>
          <w:color w:val="00467F"/>
        </w:rPr>
        <w:t>Option A — Standard 12-Month Cap:</w:t>
      </w:r>
    </w:p>
    <w:p w14:paraId="52647F57" w14:textId="77777777">
      <w:pPr>
        <w:spacing w:after="40"/>
        <w:ind w:left="360"/>
      </w:pPr>
      <w:r>
        <w:t>EXCEPT FOR A PARTY'S INDEMNIFICATION OBLIGATIONS OR A BREACH OF CONFIDENTIALITY OR THE LICENSE RESTRICTIONS, UNDER NO LEGAL THEORY, WHETHER IN TORT, CONTRACT, OR OTHERWISE, WILL EITHER PARTY BE LIABLE TO THE OTHER UNDER THIS AGREEMENT FOR (A) ANY INDIRECT, SPECIAL, INCIDENTAL, CONSEQUENTIAL OR PUNITIVE DAMAGES OF ANY CHARACTER, INCLUDING DAMAGES FOR LOSS OF GOODWILL, LOST PROFITS, LOST SALES OR BUSINESS, WORK STOPPAGE, COMPUTER FAILURE OR MALFUNCTION, LOST CONTENT OR DATA, EVEN IF A REPRESENTATIVE OF SUCH PARTY HAS BEEN ADVISED, KNEW OR SHOULD HAVE KNOWN OF THE POSSIBILITY OF SUCH DAMAGES, OR (B) EXCLUDING CUSTOMER'S PAYMENT OBLIGATIONS, ANY DIRECT DAMAGES, COSTS, OR LIABILITIES IN EXCESS OF THE TOTAL AMOUNTS PAID BY CUSTOMER UNDER THE APPLICABLE ORDER FORM DURING THE TWELVE (12) MONTHS PRECEDING THE INCIDENT OR CLAIM.</w:t>
      </w:r>
    </w:p>
    <w:p w14:paraId="74760CE3" w14:textId="77777777">
      <w:pPr>
        <w:spacing w:after="120"/>
        <w:ind w:left="360"/>
      </w:pPr>
      <w:r>
        <w:rPr>
          <w:i/>
          <w:color w:val="FF0000"/>
          <w:sz w:val="18"/>
        </w:rPr>
        <w:t>[Select when: Standard SaaS + PS deal; no heightened data or IP risk]</w:t>
      </w:r>
    </w:p>
    <w:p w14:paraId="6FD949F6" w14:textId="77777777">
      <w:pPr>
        <w:spacing w:after="40"/>
      </w:pPr>
      <w:r>
        <w:rPr>
          <w:b/>
          <w:color w:val="00467F"/>
        </w:rPr>
        <w:t>Option B — Enhanced Cap (Data/IP Super-Cap + PS Total Fees Floor):</w:t>
      </w:r>
    </w:p>
    <w:p w14:paraId="7DF758FA" w14:textId="77777777">
      <w:pPr>
        <w:spacing w:after="40"/>
        <w:ind w:left="360"/>
      </w:pPr>
      <w:r>
        <w:t>EXCEPT FOR A PARTY'S INDEMNIFICATION OBLIGATIONS OR A BREACH OF CONFIDENTIALITY OR THE LICENSE RESTRICTIONS:</w:t>
      </w:r>
      <w:r>
        <w:br/>
      </w:r>
      <w:r>
        <w:t>(A) UNDER NO LEGAL THEORY WILL EITHER PARTY BE LIABLE FOR INDIRECT, SPECIAL, INCIDENTAL, CONSEQUENTIAL OR PUNITIVE DAMAGES OF ANY CHARACTER; AND</w:t>
      </w:r>
      <w:r>
        <w:br/>
      </w:r>
      <w:r>
        <w:t xml:space="preserve">(B) EACH PARTY'S TOTAL LIABILITY FOR DIRECT DAMAGES WILL NOT EXCEED THE GREATER OF (I) THE AMOUNTS PAID BY CUSTOMER DURING THE TWELVE (12) MONTHS PRECEDING THE CLAIM, OR (II) </w:t>
      </w:r>
      <w:r>
        <w:t>THE TOTAL FEES PAID UNDER THE APPLICABLE ORDER FORM; PROVIDED THAT FOR CLAIMS ARISING FROM A SECURITY INCIDENT OR BREACH OF SECTION 4.3 (CONFIDENTIALITY), THE CAP WILL BE [TWO (2)X / THREE (3)X] THE AMOUNTS PAID BY CUSTOMER DURING THE TWELVE (12) MONTHS PRECEDING THE CLAIM.</w:t>
      </w:r>
    </w:p>
    <w:p w14:paraId="151D5D58" w14:textId="77777777">
      <w:pPr>
        <w:spacing w:after="120"/>
        <w:ind w:left="360"/>
      </w:pPr>
      <w:r>
        <w:rPr>
          <w:i/>
          <w:color w:val="FF0000"/>
          <w:sz w:val="18"/>
        </w:rPr>
        <w:t>[Select when: Large PS engagements where 12-month lookback may undercount total deal value; or enterprise customer requiring heightened protection for data breach/confidentiality claims]</w:t>
      </w:r>
    </w:p>
    <w:p w14:paraId="2292A973" w14:textId="77777777">
      <w:pPr>
        <w:pStyle w:val="Heading2"/>
      </w:pPr>
      <w:r>
        <w:rPr>
          <w:color w:val="000000"/>
        </w:rPr>
        <w:t>8.  Termination</w:t>
      </w:r>
    </w:p>
    <w:p w14:paraId="6F7B6842" w14:textId="77777777">
      <w:pPr>
        <w:spacing w:after="120"/>
      </w:pPr>
      <w:r>
        <w:rPr>
          <w:b/>
        </w:rPr>
        <w:t>8.1  Term.</w:t>
      </w:r>
    </w:p>
    <w:p w14:paraId="6C5B90C1" w14:textId="77777777">
      <w:pPr>
        <w:spacing w:after="80"/>
      </w:pPr>
      <w:r>
        <w:rPr>
          <w:i/>
          <w:color w:val="FF0000"/>
          <w:sz w:val="18"/>
        </w:rPr>
        <w:t>[Drafting Note: AGENT DECISION POINT — Auto-Renewal: Select one option.]</w:t>
      </w:r>
    </w:p>
    <w:p w14:paraId="0FCD21CB" w14:textId="77777777">
      <w:pPr>
        <w:spacing w:after="40"/>
      </w:pPr>
      <w:r>
        <w:rPr>
          <w:b/>
          <w:color w:val="00467F"/>
        </w:rPr>
        <w:t>Option A — Auto-Renewal (Standard):</w:t>
      </w:r>
    </w:p>
    <w:p w14:paraId="4B962EF4" w14:textId="77777777">
      <w:pPr>
        <w:spacing w:after="40"/>
        <w:ind w:left="360"/>
      </w:pPr>
      <w:r>
        <w:t>The term of this Agreement will commence on the Effective Date of the initial Order Form and continue until terminated as set forth below.  Except as set forth in such Order Form, the term of such Order Form will automatically renew for successive renewal terms equal to the length of the initial term of such Order Form, unless either party provides the other party with written notice of non-renewal at least thirty (30) days prior to the end of the then-current term.</w:t>
      </w:r>
    </w:p>
    <w:p w14:paraId="5B94280C" w14:textId="77777777">
      <w:pPr>
        <w:spacing w:after="120"/>
        <w:ind w:left="360"/>
      </w:pPr>
      <w:r>
        <w:rPr>
          <w:i/>
          <w:color w:val="FF0000"/>
          <w:sz w:val="18"/>
        </w:rPr>
        <w:t>[Select when: Standard for SaaS subscription; preserves revenue continuity]</w:t>
      </w:r>
    </w:p>
    <w:p w14:paraId="5DD1334B" w14:textId="77777777">
      <w:pPr>
        <w:spacing w:after="40"/>
      </w:pPr>
      <w:r>
        <w:rPr>
          <w:b/>
          <w:color w:val="00467F"/>
        </w:rPr>
        <w:t>Option B — No Auto-Renewal:</w:t>
      </w:r>
    </w:p>
    <w:p w14:paraId="3DA9A368" w14:textId="77777777">
      <w:pPr>
        <w:spacing w:after="40"/>
        <w:ind w:left="360"/>
      </w:pPr>
      <w:r>
        <w:t>The term of this Agreement will commence on the Effective Date of the initial Order Form and continue until terminated as set forth below.  Each Order Form will expire at the end of its stated term unless the Parties execute a renewal Order Form prior to expiration.  Company will provide Customer with written notice of upcoming Order Form expiration at least sixty (60) days prior to the expiration date.</w:t>
      </w:r>
    </w:p>
    <w:p w14:paraId="2FEE9A7C" w14:textId="77777777">
      <w:pPr>
        <w:spacing w:after="120"/>
        <w:ind w:left="360"/>
      </w:pPr>
      <w:r>
        <w:rPr>
          <w:i/>
          <w:color w:val="FF0000"/>
          <w:sz w:val="18"/>
        </w:rPr>
        <w:t>[Select when: Enterprise customers with strict procurement controls; or PS-only engagements where auto-renewal makes no sense]</w:t>
      </w:r>
    </w:p>
    <w:p w14:paraId="6FA94862" w14:textId="77777777">
      <w:pPr>
        <w:spacing w:after="120"/>
      </w:pPr>
      <w:r>
        <w:rPr>
          <w:b/>
        </w:rPr>
        <w:t>8.2  Termination.</w:t>
      </w:r>
    </w:p>
    <w:p w14:paraId="4C4AC06D" w14:textId="77777777">
      <w:pPr>
        <w:spacing w:after="120"/>
      </w:pPr>
      <w:r>
        <w:t>Each party may terminate this Agreement upon written notice to the other party if there are no Order Forms then in effect.  Each party may also terminate this Agreement or the applicable Order Form upon written notice in the event (a) the other party commits any material breach of this Agreement or the applicable Order Form and fails to remedy such breach within thirty (30) days after written notice of such breach or (b) subject to applicable law, upon the other party's liquidation, commencement of dissolution proceedings or assignment of substantially all its assets for the benefit of creditors, or if the other party becomes the subject of bankruptcy or similar proceeding that is not dismissed within sixty (60) days.</w:t>
      </w:r>
    </w:p>
    <w:p w14:paraId="6AC4F3EE" w14:textId="77777777">
      <w:pPr>
        <w:spacing w:after="120"/>
      </w:pPr>
      <w:r>
        <w:t>Upon termination or expiration of this Agreement or any Order Form, Company will (i) promptly deliver to Customer all completed and in-progress Deliverables (in their then-current state), (ii) return or destroy all Customer-provided materials, and (iii) cooperate with Customer in the orderly transition of any in-progress Professional Services.  Termination will not affect Customer's rights in any Deliverables that have been accepted and fully paid for prior to the effective date of termination.</w:t>
      </w:r>
    </w:p>
    <w:p w14:paraId="20CEE59A" w14:textId="77777777">
      <w:pPr>
        <w:spacing w:after="80"/>
      </w:pPr>
      <w:r>
        <w:rPr>
          <w:i/>
          <w:color w:val="FF0000"/>
          <w:sz w:val="18"/>
        </w:rPr>
        <w:t>[Drafting Note: AGENT DECISION POINT — Termination Wind-Down: For SaaS-Only deals, the delivery obligation paragraph above may be simplified to remove Deliverables references. For large PS engagements, consider adding a transition assistance period (e.g., 30-60 days of transition services at standard rates) to protect Customer.]</w:t>
      </w:r>
    </w:p>
    <w:p w14:paraId="3C4B0D67" w14:textId="77777777">
      <w:pPr>
        <w:spacing w:after="120"/>
      </w:pPr>
      <w:r>
        <w:rPr>
          <w:b/>
        </w:rPr>
        <w:t>8.3  Survival.</w:t>
      </w:r>
    </w:p>
    <w:p w14:paraId="264DF4B2" w14:textId="77777777">
      <w:pPr>
        <w:spacing w:after="120"/>
      </w:pPr>
      <w:r>
        <w:t>Upon termination of this Agreement all rights and obligations will immediately terminate except that any terms or conditions that by their nature should survive such termination will survive, including Sections 1, 3 (with respect to amounts accrued prior to termination), 4.1 (with respect to ownership of and licenses in accepted Deliverables), 5.2, 6, 7, 8.2, 8.3, and 9.</w:t>
      </w:r>
    </w:p>
    <w:p w14:paraId="17B1270F" w14:textId="77777777">
      <w:pPr>
        <w:pStyle w:val="Heading2"/>
      </w:pPr>
      <w:r>
        <w:rPr>
          <w:color w:val="000000"/>
        </w:rPr>
        <w:t>9.  General</w:t>
      </w:r>
    </w:p>
    <w:p w14:paraId="02342E7D" w14:textId="77777777">
      <w:pPr>
        <w:spacing w:after="120"/>
      </w:pPr>
      <w:r>
        <w:rPr>
          <w:b/>
        </w:rPr>
        <w:t>9.1  Insurance.</w:t>
      </w:r>
    </w:p>
    <w:p w14:paraId="26E82231" w14:textId="77777777">
      <w:pPr>
        <w:spacing w:after="80"/>
      </w:pPr>
      <w:r>
        <w:rPr>
          <w:i/>
          <w:color w:val="FF0000"/>
          <w:sz w:val="18"/>
        </w:rPr>
        <w:t>[Drafting Note: AGENT DECISION POINT — Insurance: Include only if required by the customer. If not required, delete Section 9.1. If required, select coverages by deal profile:</w:t>
      </w:r>
      <w:r>
        <w:rPr>
          <w:i/>
          <w:color w:val="FF0000"/>
          <w:sz w:val="18"/>
        </w:rPr>
        <w:br/>
      </w:r>
      <w:r>
        <w:rPr>
          <w:i/>
          <w:color w:val="FF0000"/>
          <w:sz w:val="18"/>
        </w:rPr>
        <w:t>Tier 1 — SaaS-Only (no sensitive data): (a) Workers Comp + (c) E&amp;O.</w:t>
      </w:r>
      <w:r>
        <w:rPr>
          <w:i/>
          <w:color w:val="FF0000"/>
          <w:sz w:val="18"/>
        </w:rPr>
        <w:br/>
      </w:r>
      <w:r>
        <w:rPr>
          <w:i/>
          <w:color w:val="FF0000"/>
          <w:sz w:val="18"/>
        </w:rPr>
        <w:t>Tier 2 — SaaS + PS (standard): (a) + (b) CGL + (c) E&amp;O + (d) Professional Liability.</w:t>
      </w:r>
      <w:r>
        <w:rPr>
          <w:i/>
          <w:color w:val="FF0000"/>
          <w:sz w:val="18"/>
        </w:rPr>
        <w:br/>
      </w:r>
      <w:r>
        <w:rPr>
          <w:i/>
          <w:color w:val="FF0000"/>
          <w:sz w:val="18"/>
        </w:rPr>
        <w:t>Tier 3 — Enterprise (personal data processed): (a) + (b) + (c) + (d) + (e) Cyber.</w:t>
      </w:r>
      <w:r>
        <w:rPr>
          <w:i/>
          <w:color w:val="FF0000"/>
          <w:sz w:val="18"/>
        </w:rPr>
        <w:br/>
      </w:r>
      <w:r>
        <w:rPr>
          <w:i/>
          <w:color w:val="FF0000"/>
          <w:sz w:val="18"/>
        </w:rPr>
        <w:t>Tier 4 — Large Enterprise / Regulated: All of (a)-(f).</w:t>
      </w:r>
      <w:r>
        <w:rPr>
          <w:i/>
          <w:color w:val="FF0000"/>
          <w:sz w:val="18"/>
        </w:rPr>
        <w:br/>
      </w:r>
      <w:r>
        <w:rPr>
          <w:i/>
          <w:color w:val="FF0000"/>
          <w:sz w:val="18"/>
        </w:rPr>
        <w:t>Note: For PS engagements, (d) Professional Liability is essential.]</w:t>
      </w:r>
    </w:p>
    <w:p w14:paraId="32746ECC" w14:textId="77777777">
      <w:pPr>
        <w:spacing w:after="120"/>
      </w:pPr>
      <w:r>
        <w:t>Company shall, during the term of this Agreement, maintain in force the following insurance coverage at its own cost and expense:</w:t>
      </w:r>
    </w:p>
    <w:p w14:paraId="37CB4D0B" w14:textId="77777777">
      <w:pPr>
        <w:spacing w:after="120"/>
      </w:pPr>
      <w:r>
        <w:t>(a)  Workers' Compensation and Employer's Liability.  Statutory Workers' Compensation as required by state law, with limits of not less than [$1,000,000] each accident / [$1,000,000] each disease / [$1,000,000] policy limit.</w:t>
      </w:r>
    </w:p>
    <w:p w14:paraId="0D577D09" w14:textId="77777777">
      <w:pPr>
        <w:spacing w:after="120"/>
      </w:pPr>
      <w:r>
        <w:t>(b)  Commercial General Liability.  On an occurrence basis, with a minimum combined single limit of [$1,000,000] per occurrence / [$2,000,000] general aggregate, naming Customer as an additional insured.</w:t>
      </w:r>
    </w:p>
    <w:p w14:paraId="7064742B" w14:textId="77777777">
      <w:pPr>
        <w:spacing w:after="120"/>
      </w:pPr>
      <w:r>
        <w:t>(c)  Professional Errors and Omissions (Product).  Covering the Product, with limits of not less than [$2,000,000] per claim / [$2,000,000] aggregate.</w:t>
      </w:r>
    </w:p>
    <w:p w14:paraId="58C994C6" w14:textId="77777777">
      <w:pPr>
        <w:spacing w:after="120"/>
      </w:pPr>
      <w:r>
        <w:t>(d)  Professional Liability (Services).  Covering acts, errors, and omissions arising from the performance of Professional Services, with limits of not less than [$1,000,000] per claim / [$2,000,000] aggregate.</w:t>
      </w:r>
    </w:p>
    <w:p w14:paraId="485D5336" w14:textId="77777777">
      <w:pPr>
        <w:spacing w:after="120"/>
      </w:pPr>
      <w:r>
        <w:t>(e)  Technology E&amp;O / Cyber Liability.  Covering data breaches, network security failures, and technology professional services, with limits of not less than [$2,000,000] per claim / [$2,000,000] aggregate.  Policy shall include coverage for regulatory defense, notification costs, and credit monitoring expenses.</w:t>
      </w:r>
    </w:p>
    <w:p w14:paraId="3F4E0BF2" w14:textId="77777777">
      <w:pPr>
        <w:spacing w:after="120"/>
      </w:pPr>
      <w:r>
        <w:t>(f)  Umbrella / Excess Liability.  With limits of not less than [$5,000,000] per occurrence and aggregate, in excess of the coverages described above.</w:t>
      </w:r>
    </w:p>
    <w:p w14:paraId="302D07C6" w14:textId="77777777">
      <w:pPr>
        <w:spacing w:after="120"/>
      </w:pPr>
      <w:r>
        <w:rPr>
          <w:b/>
        </w:rPr>
        <w:t>9.2  Independent Contractor.</w:t>
      </w:r>
    </w:p>
    <w:p w14:paraId="4A900DFF" w14:textId="77777777">
      <w:pPr>
        <w:spacing w:after="120"/>
      </w:pPr>
      <w:r>
        <w:t>Company is an independent contractor, and nothing in this Agreement creates an employment, agency, joint venture, or partnership relationship between the Parties.  Company's personnel performing Professional Services are not employees of Customer, and Company is solely responsible for all compensation, benefits, taxes, and insurance for its personnel.</w:t>
      </w:r>
    </w:p>
    <w:p w14:paraId="1375CC07" w14:textId="77777777">
      <w:pPr>
        <w:spacing w:after="120"/>
      </w:pPr>
      <w:r>
        <w:rPr>
          <w:b/>
        </w:rPr>
        <w:t>9.3  Export Compliance.</w:t>
      </w:r>
    </w:p>
    <w:p w14:paraId="2920DA99" w14:textId="77777777">
      <w:pPr>
        <w:spacing w:after="120"/>
      </w:pPr>
      <w:r>
        <w:t>Each party will comply with the export laws and regulations of the United States, European Union and other applicable jurisdictions in providing and using the Product.</w:t>
      </w:r>
    </w:p>
    <w:p w14:paraId="6C6EDFF1" w14:textId="77777777">
      <w:pPr>
        <w:spacing w:after="120"/>
      </w:pPr>
      <w:r>
        <w:rPr>
          <w:b/>
        </w:rPr>
        <w:t>9.4  Publicity.</w:t>
      </w:r>
    </w:p>
    <w:p w14:paraId="749221E0" w14:textId="77777777">
      <w:pPr>
        <w:spacing w:after="80"/>
      </w:pPr>
      <w:r>
        <w:rPr>
          <w:i/>
          <w:color w:val="FF0000"/>
          <w:sz w:val="18"/>
        </w:rPr>
        <w:t>[Drafting Note: AGENT DECISION POINT — Publicity: Select one option.]</w:t>
      </w:r>
    </w:p>
    <w:p w14:paraId="252A7BFF" w14:textId="77777777">
      <w:pPr>
        <w:spacing w:after="40"/>
      </w:pPr>
      <w:r>
        <w:rPr>
          <w:b/>
          <w:color w:val="00467F"/>
        </w:rPr>
        <w:t>Option A — Logo Use Only (Standard):</w:t>
      </w:r>
    </w:p>
    <w:p w14:paraId="69E3B595" w14:textId="77777777">
      <w:pPr>
        <w:spacing w:after="40"/>
        <w:ind w:left="360"/>
      </w:pPr>
      <w:r>
        <w:t>Customer agrees that Company may refer to Customer's name and trademarks in Company's marketing materials and website.  Company will not use Customer's name or trademarks in any other publicity (e.g., press releases, customer references and case studies) without Customer's prior written consent (which may be by email).</w:t>
      </w:r>
    </w:p>
    <w:p w14:paraId="5FBA0E10" w14:textId="77777777">
      <w:pPr>
        <w:spacing w:after="120"/>
        <w:ind w:left="360"/>
      </w:pPr>
      <w:r>
        <w:rPr>
          <w:i/>
          <w:color w:val="FF0000"/>
          <w:sz w:val="18"/>
        </w:rPr>
        <w:t>[Select when: Standard; allows logo use for social proof without requiring Customer involvement]</w:t>
      </w:r>
    </w:p>
    <w:p w14:paraId="7FBA5C17" w14:textId="77777777">
      <w:pPr>
        <w:spacing w:after="40"/>
      </w:pPr>
      <w:r>
        <w:rPr>
          <w:b/>
          <w:color w:val="00467F"/>
        </w:rPr>
        <w:t>Option B — Logo Use + Mutual Press Release:</w:t>
      </w:r>
    </w:p>
    <w:p w14:paraId="2B6BEE38" w14:textId="77777777">
      <w:pPr>
        <w:spacing w:after="40"/>
        <w:ind w:left="360"/>
      </w:pPr>
      <w:r>
        <w:t>Customer agrees that Company may refer to Customer's name and trademarks in Company's marketing materials and website.  Company will not use Customer's name or trademarks in any other publicity without Customer's prior written consent (which may be by email).  The parties shall work together in good faith to issue at least one mutually agreed upon press release within ninety (90) days of the Effective Date.</w:t>
      </w:r>
    </w:p>
    <w:p w14:paraId="669EAA97" w14:textId="77777777">
      <w:pPr>
        <w:spacing w:after="120"/>
        <w:ind w:left="360"/>
      </w:pPr>
      <w:r>
        <w:rPr>
          <w:i/>
          <w:color w:val="FF0000"/>
          <w:sz w:val="18"/>
        </w:rPr>
        <w:t>[Select when: Strategic partnership with joint go-to-market value; include only with explicit agreement from customer marketing contact]</w:t>
      </w:r>
    </w:p>
    <w:p w14:paraId="7003514C" w14:textId="77777777">
      <w:pPr>
        <w:spacing w:after="40"/>
      </w:pPr>
      <w:r>
        <w:rPr>
          <w:b/>
          <w:color w:val="00467F"/>
        </w:rPr>
        <w:t>Option C — No Publicity Without Written Consent:</w:t>
      </w:r>
    </w:p>
    <w:p w14:paraId="4A52C6C5" w14:textId="77777777">
      <w:pPr>
        <w:spacing w:after="40"/>
        <w:ind w:left="360"/>
      </w:pPr>
      <w:r>
        <w:t>Neither party will use the other party's name, logo, or trademarks in any marketing materials, press releases, case studies, or other public communications without the prior written consent of the other party.</w:t>
      </w:r>
    </w:p>
    <w:p w14:paraId="64A05EA3" w14:textId="77777777">
      <w:pPr>
        <w:spacing w:after="120"/>
        <w:ind w:left="360"/>
      </w:pPr>
      <w:r>
        <w:rPr>
          <w:i/>
          <w:color w:val="FF0000"/>
          <w:sz w:val="18"/>
        </w:rPr>
        <w:t>[Select when: Stealth-mode customer, regulated entity with strict marketing policies, or government customer]</w:t>
      </w:r>
    </w:p>
    <w:p w14:paraId="775B82B5" w14:textId="77777777">
      <w:pPr>
        <w:spacing w:after="120"/>
      </w:pPr>
      <w:r>
        <w:rPr>
          <w:b/>
        </w:rPr>
        <w:t>9.5  Assignment; Delegation.</w:t>
      </w:r>
    </w:p>
    <w:p w14:paraId="0CB23E63" w14:textId="77777777">
      <w:pPr>
        <w:spacing w:after="120"/>
      </w:pPr>
      <w:r>
        <w:t>Neither party hereto may assign or otherwise transfer this Agreement, in whole or in part, without the other party's prior written consent, except that either party may assign this Agreement without consent to a successor to all or substantially all of its assets or business related to this Agreement.  Any attempted assignment, delegation, or transfer by either party in violation hereof will be null and void.  Subject to the foregoing, this Agreement will be binding on the parties and their successors and assigns.</w:t>
      </w:r>
    </w:p>
    <w:p w14:paraId="2D100D58" w14:textId="77777777">
      <w:pPr>
        <w:spacing w:after="120"/>
      </w:pPr>
      <w:r>
        <w:rPr>
          <w:b/>
        </w:rPr>
        <w:t>9.6  Amendment; Waiver.</w:t>
      </w:r>
    </w:p>
    <w:p w14:paraId="5BDCB758" w14:textId="77777777">
      <w:pPr>
        <w:spacing w:after="120"/>
      </w:pPr>
      <w:r>
        <w:t>No amendment or modification to this Agreement, nor any waiver of any rights hereunder, will be effective unless assented to in writing by both parties.  Any such waiver will be only to the specific provision and under the specific circumstances for which it was given, and will not apply with respect to any repeated or continued violation of the same provision or any other provision.  Failure or delay by either party to enforce any provision of this Agreement will not be deemed a waiver of future enforcement of that or any other provision.</w:t>
      </w:r>
    </w:p>
    <w:p w14:paraId="3D7284A9" w14:textId="77777777">
      <w:pPr>
        <w:spacing w:after="120"/>
      </w:pPr>
      <w:r>
        <w:rPr>
          <w:b/>
        </w:rPr>
        <w:t>9.7  Relationship.</w:t>
      </w:r>
    </w:p>
    <w:p w14:paraId="6D580B21" w14:textId="77777777">
      <w:pPr>
        <w:spacing w:after="120"/>
      </w:pPr>
      <w:r>
        <w:t>Nothing contained herein will in any way constitute any association, partnership, agency, employment or joint venture between the parties hereto, or be construed to evidence the intention of the parties to establish any such relationship.  Neither party will have the authority to obligate or bind the other in any manner, and nothing herein contained will give rise or is intended to give rise to any rights of any kind to any third parties.</w:t>
      </w:r>
    </w:p>
    <w:p w14:paraId="65AFD29E" w14:textId="77777777">
      <w:pPr>
        <w:spacing w:after="120"/>
      </w:pPr>
      <w:r>
        <w:rPr>
          <w:b/>
        </w:rPr>
        <w:t>9.8  Unenforceability.</w:t>
      </w:r>
    </w:p>
    <w:p w14:paraId="252FEB51" w14:textId="77777777">
      <w:pPr>
        <w:spacing w:after="120"/>
      </w:pPr>
      <w:r>
        <w:t xml:space="preserve">If a court of competent jurisdiction determines that any provision of this Agreement is invalid, illegal, or otherwise unenforceable, such provision will be enforced as nearly as possible in accordance with the </w:t>
      </w:r>
      <w:r>
        <w:t>stated intention of the parties, while the remainder of this Agreement will remain in full force and effect and bind the parties according to its terms.</w:t>
      </w:r>
    </w:p>
    <w:p w14:paraId="03159A91" w14:textId="252F078E">
      <w:pPr>
        <w:spacing w:after="120"/>
      </w:pPr>
      <w:r>
        <w:rPr>
          <w:b/>
        </w:rPr>
        <w:t>9.9  Governing Law.</w:t>
      </w:r>
    </w:p>
    <w:p w14:paraId="6ED75895" w14:textId="77777777">
      <w:pPr>
        <w:spacing w:after="80"/>
      </w:pPr>
      <w:r>
        <w:rPr>
          <w:i/>
          <w:color w:val="FF0000"/>
          <w:sz w:val="18"/>
        </w:rPr>
        <w:t>[Drafting Note: AGENT DECISION POINT — Governing Law: Select the appropriate state, generally where the Company’s principal place of business is, the below is defaulted to California, remove the brackets and insert the state based on the intake information.</w:t>
      </w:r>
    </w:p>
    <w:p w14:paraId="566E36E7" w14:textId="77777777">
      <w:pPr>
        <w:spacing w:after="40"/>
      </w:pPr>
      <w:r>
        <w:t xml:space="preserve">This Agreement will be governed by the laws of the State of [California], exclusive of its rules governing choice of law and conflict of laws.  </w:t>
      </w:r>
    </w:p>
    <w:p w14:paraId="4136A14B" w14:textId="77777777">
      <w:pPr>
        <w:spacing w:after="120"/>
      </w:pPr>
      <w:r>
        <w:rPr>
          <w:b/>
        </w:rPr>
        <w:t>9.10  Notices.</w:t>
      </w:r>
    </w:p>
    <w:p w14:paraId="67D67ECE" w14:textId="77777777">
      <w:pPr>
        <w:spacing w:after="120"/>
      </w:pPr>
      <w:r>
        <w:t>Any notice required or permitted to be given hereunder will be given in writing by personal delivery, certified mail, return receipt requested, or by overnight delivery.  Notices to the parties must be sent to the respective address set forth in the signature blocks below, or such other address designated pursuant to this Section.</w:t>
      </w:r>
    </w:p>
    <w:p w14:paraId="2ACB8665" w14:textId="77777777">
      <w:pPr>
        <w:spacing w:after="120"/>
      </w:pPr>
      <w:r>
        <w:rPr>
          <w:b/>
        </w:rPr>
        <w:t>9.11  Entire Agreement.</w:t>
      </w:r>
    </w:p>
    <w:p w14:paraId="5CEF9733" w14:textId="77777777">
      <w:pPr>
        <w:spacing w:after="120"/>
      </w:pPr>
      <w:r>
        <w:t>This Agreement comprises the entire agreement between Customer and Company with respect to the Product, Professional Services, and Deliverables, and supersedes all prior and contemporaneous proposals, statements, sales materials or presentations and agreements (oral and written).  No oral or written information or advice given by Company, its agents or employees will create a warranty or in any way increase the scope of the warranties in this Agreement.</w:t>
      </w:r>
    </w:p>
    <w:p w14:paraId="6E885671" w14:textId="77777777">
      <w:pPr>
        <w:spacing w:after="120"/>
      </w:pPr>
      <w:r>
        <w:rPr>
          <w:b/>
        </w:rPr>
        <w:t>9.12  Force Majeure.</w:t>
      </w:r>
    </w:p>
    <w:p w14:paraId="7F6921DC" w14:textId="77777777">
      <w:pPr>
        <w:spacing w:after="120"/>
      </w:pPr>
      <w:r>
        <w:t>Neither Party will be deemed in breach hereunder for any cessation, interruption or delay in the performance of its obligations due to causes beyond its reasonable control ("Force Majeure Event"), including earthquake, flood, or other natural disaster, act of God, labor controversy, civil disturbance, terrorism, war (whether or not officially declared), cyber attacks (e.g., denial of service attacks), or the inability to obtain sufficient supplies, transportation, or other essential commodity or service required in the conduct of its business, or any change in or the adoption of any law, regulation, judgment or decree.</w:t>
      </w:r>
    </w:p>
    <w:p w14:paraId="7F44FC04" w14:textId="77777777">
      <w:pPr>
        <w:spacing w:after="120"/>
      </w:pPr>
      <w:r>
        <w:rPr>
          <w:b/>
        </w:rPr>
        <w:t>9.13  Government Terms.</w:t>
      </w:r>
    </w:p>
    <w:p w14:paraId="1485127A" w14:textId="77777777">
      <w:pPr>
        <w:spacing w:after="120"/>
      </w:pPr>
      <w:r>
        <w:t>Company provides the Product, including related software and technology, for ultimate federal government end use solely in accordance with the terms of this Agreement.  If Customer (or any of its customers) is an agency, department, or other entity of any government, the use, duplication, reproduction, release, modification, disclosure, or transfer of the Product, or any related documentation of any kind, including technical data, software, and manuals, is restricted by the terms of this Agreement.  All other use is prohibited and no rights than those provided in this Agreement are conferred.  The Product was developed fully at private expense.</w:t>
      </w:r>
    </w:p>
    <w:p w14:paraId="502290E3" w14:textId="77777777">
      <w:pPr>
        <w:spacing w:after="120"/>
      </w:pPr>
      <w:r>
        <w:rPr>
          <w:b/>
        </w:rPr>
        <w:t>9.14  Anti-Bribery.</w:t>
      </w:r>
    </w:p>
    <w:p w14:paraId="591D21A4" w14:textId="77777777">
      <w:pPr>
        <w:spacing w:after="120"/>
      </w:pPr>
      <w:r>
        <w:t>Neither Party will take any action in connection with this Agreement that would violate any applicable anti-corruption or anti-bribery laws, including the U.S. Foreign Corrupt Practices Act and the UK Bribery Act 2010.</w:t>
      </w:r>
    </w:p>
    <w:p w14:paraId="4DA06DDD" w14:textId="77777777">
      <w:pPr>
        <w:spacing w:after="120"/>
      </w:pPr>
      <w:r>
        <w:rPr>
          <w:b/>
        </w:rPr>
        <w:t>9.15  Interpretation.</w:t>
      </w:r>
    </w:p>
    <w:p w14:paraId="0E8C4C02" w14:textId="2310603C">
      <w:pPr>
        <w:spacing w:after="120"/>
      </w:pPr>
      <w:r>
        <w:t>For purposes hereof, "including" means "including without limitation".</w:t>
      </w:r>
      <w:r>
        <w:br w:type="page"/>
      </w:r>
    </w:p>
    <w:p w14:paraId="7F5A5104" w14:textId="77777777">
      <w:pPr>
        <w:pStyle w:val="Heading1"/>
        <w:jc w:val="center"/>
      </w:pPr>
      <w:r>
        <w:rPr>
          <w:color w:val="000000"/>
        </w:rPr>
        <w:t>Exhibit A</w:t>
      </w:r>
    </w:p>
    <w:p w14:paraId="46E2F007" w14:textId="77777777">
      <w:pPr>
        <w:pStyle w:val="Heading2"/>
        <w:jc w:val="center"/>
      </w:pPr>
      <w:r>
        <w:rPr>
          <w:color w:val="000000"/>
        </w:rPr>
        <w:t>Service Level Agreement</w:t>
      </w:r>
    </w:p>
    <w:p w14:paraId="0B1F13D7" w14:textId="77777777">
      <w:pPr>
        <w:spacing w:after="80"/>
      </w:pPr>
      <w:r>
        <w:rPr>
          <w:i/>
          <w:color w:val="FF0000"/>
          <w:sz w:val="18"/>
        </w:rPr>
        <w:t>[Drafting Note: AGENT DECISION POINT — SLA Scope: This SLA applies to the Product (SaaS platform) only. Service delivery standards, response times, and performance metrics for Professional Services should be defined in the applicable Order Form or a separate Statement of Work. Do not commingle SaaS uptime commitments with PS delivery standards.]</w:t>
      </w:r>
    </w:p>
    <w:p w14:paraId="4248C3AC" w14:textId="77777777">
      <w:pPr>
        <w:spacing w:after="120"/>
      </w:pPr>
      <w:r>
        <w:rPr>
          <w:b/>
        </w:rPr>
        <w:t>Availability Commitment.</w:t>
      </w:r>
    </w:p>
    <w:p w14:paraId="7C876989" w14:textId="77777777">
      <w:pPr>
        <w:spacing w:after="120"/>
      </w:pPr>
      <w:r>
        <w:t>The Product will be Available 99.9% of the time, measured on a calendar monthly basis (the "Availability Commitment").  "Availability" means that the Product is available to Customer's employees or other personnel.  Availability measures will not include downtime resulting from:</w:t>
      </w:r>
    </w:p>
    <w:p w14:paraId="71E8949E" w14:textId="77777777">
      <w:pPr>
        <w:spacing w:after="80"/>
      </w:pPr>
      <w:r>
        <w:rPr>
          <w:i/>
          <w:color w:val="FF0000"/>
          <w:sz w:val="18"/>
        </w:rPr>
        <w:t>[Drafting Note: AGENT DECISION POINT — Availability Tier: 99.9% is standard (~8.7 hours/year). Enterprise customers may require 99.95% (~4.4 hours/year) or 99.99% (~52 min/year). Confirm with engineering before agreeing to anything above 99.9%.]</w:t>
      </w:r>
    </w:p>
    <w:p w14:paraId="029A6850" w14:textId="77777777">
      <w:pPr>
        <w:pStyle w:val="ListBullet"/>
        <w:spacing w:after="80"/>
        <w:ind w:left="720"/>
      </w:pPr>
      <w:r>
        <w:t>Upgrades: Customer will receive prior notice by email of Company's upgrade windows, which will be scheduled between 5pm and midnight Pacific Time to the extent feasible.  Downtime due to upgrades will not exceed 2 hours per month.</w:t>
      </w:r>
    </w:p>
    <w:p w14:paraId="78A082BA" w14:textId="77777777">
      <w:pPr>
        <w:pStyle w:val="ListBullet"/>
        <w:spacing w:after="80"/>
        <w:ind w:left="720"/>
      </w:pPr>
      <w:r>
        <w:t>Pre-scheduled maintenance periods: Customer will receive at least 24 hours prior notification by email.  Maintenance shall be scheduled between 5pm and midnight Pacific Time.  Downtime due to pre-scheduled maintenance will not exceed 2 hours per month.</w:t>
      </w:r>
    </w:p>
    <w:p w14:paraId="40C40638" w14:textId="77777777">
      <w:pPr>
        <w:pStyle w:val="ListBullet"/>
        <w:spacing w:after="80"/>
        <w:ind w:left="720"/>
      </w:pPr>
      <w:r>
        <w:t>Emergency maintenance periods: Customer will receive prior notification by email on a commercially reasonable efforts basis.</w:t>
      </w:r>
    </w:p>
    <w:p w14:paraId="3B2F6B6F" w14:textId="77777777">
      <w:pPr>
        <w:spacing w:after="120"/>
      </w:pPr>
      <w:r>
        <w:t>The Availability Commitment does not apply to downtime resulting from:</w:t>
      </w:r>
    </w:p>
    <w:p w14:paraId="25395A0B" w14:textId="77777777">
      <w:pPr>
        <w:pStyle w:val="ListBullet"/>
        <w:spacing w:after="80"/>
        <w:ind w:left="720"/>
      </w:pPr>
      <w:r>
        <w:t>Account suspension or termination due to Customer's breach of the Agreement;</w:t>
      </w:r>
    </w:p>
    <w:p w14:paraId="24400DDF" w14:textId="77777777">
      <w:pPr>
        <w:pStyle w:val="ListBullet"/>
        <w:spacing w:after="80"/>
        <w:ind w:left="720"/>
      </w:pPr>
      <w:r>
        <w:t>Disengagement of functionality of the Product due to Customer's request;</w:t>
      </w:r>
    </w:p>
    <w:p w14:paraId="4860EE7E" w14:textId="77777777">
      <w:pPr>
        <w:pStyle w:val="ListBullet"/>
        <w:spacing w:after="80"/>
        <w:ind w:left="720"/>
      </w:pPr>
      <w:r>
        <w:t>Force Majeure Events; or</w:t>
      </w:r>
    </w:p>
    <w:p w14:paraId="49AA2061" w14:textId="77777777">
      <w:pPr>
        <w:pStyle w:val="ListBullet"/>
        <w:spacing w:after="80"/>
        <w:ind w:left="720"/>
      </w:pPr>
      <w:r>
        <w:t>Customer's or its third-party service provider's equipment, software or other technology.</w:t>
      </w:r>
    </w:p>
    <w:p w14:paraId="1EA90374" w14:textId="77777777">
      <w:pPr>
        <w:spacing w:after="120"/>
      </w:pPr>
      <w:r>
        <w:t>Company will provide Customer with reports on Availability upon request.</w:t>
      </w:r>
    </w:p>
    <w:p w14:paraId="54F6474A" w14:textId="77777777">
      <w:pPr>
        <w:spacing w:after="120"/>
      </w:pPr>
      <w:r>
        <w:rPr>
          <w:b/>
        </w:rPr>
        <w:t>Credit.</w:t>
      </w:r>
    </w:p>
    <w:p w14:paraId="0719CD09" w14:textId="77777777">
      <w:pPr>
        <w:spacing w:after="120"/>
      </w:pPr>
      <w:r>
        <w:t>If Company fails to achieve the above Availability, Customer may claim a credit based on a monthly pro-rated amount of the annual subscription fee, as provided below.</w:t>
      </w:r>
    </w:p>
    <w:p w14:paraId="03DB7C02" w14:textId="77777777"/>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4320"/>
        <w:gridCol w:w="4320"/>
      </w:tblGrid>
      <w:tr w14:paraId="6DA055F8" w14:textId="77777777">
        <w:trPr>
          <w:hidden w:val="0"/>
          <w:jc w:val="center"/>
        </w:trPr>
        <w:tc>
          <w:tcPr>
            <w:tcW w:w="4320" w:type="dxa"/>
            <w:shd w:color="auto" w:fill="D9D9D9" w:val="clear"/>
            <w:tcMar>
              <w:left w:w="108" w:type="dxa"/>
              <w:right w:w="108" w:type="dxa"/>
              <w:top w:w="0" w:type="dxa"/>
              <w:bottom w:w="0" w:type="dxa"/>
            </w:tcMar>
            <w:tcBorders>
              <w:top w:val="single" w:sz="4" w:space="0"/>
              <w:bottom w:val="single" w:sz="4" w:space="0"/>
              <w:left w:val="single" w:sz="4" w:space="0"/>
              <w:right w:val="single" w:sz="4" w:space="0"/>
            </w:tcBorders>
          </w:tcPr>
          <w:p w14:paraId="163112E0" w14:textId="77777777">
            <w:r>
              <w:t>Percentage Availability Per Month</w:t>
            </w:r>
          </w:p>
        </w:tc>
        <w:tc>
          <w:tcPr>
            <w:tcW w:w="4320" w:type="dxa"/>
            <w:shd w:color="auto" w:fill="D9D9D9" w:val="clear"/>
            <w:tcMar>
              <w:left w:w="108" w:type="dxa"/>
              <w:right w:w="108" w:type="dxa"/>
              <w:top w:w="0" w:type="dxa"/>
              <w:bottom w:w="0" w:type="dxa"/>
            </w:tcMar>
            <w:tcBorders>
              <w:top w:val="single" w:sz="4" w:space="0"/>
              <w:bottom w:val="single" w:sz="4" w:space="0"/>
              <w:right w:val="single" w:sz="4" w:space="0"/>
            </w:tcBorders>
          </w:tcPr>
          <w:p w14:paraId="73ADCD0D" w14:textId="77777777">
            <w:r>
              <w:t>Credit</w:t>
            </w:r>
          </w:p>
        </w:tc>
      </w:tr>
      <w:tr w14:paraId="752F6778"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3B0EFAD0" w14:textId="77777777">
            <w:r>
              <w:rPr>
                <w:sz w:val="18"/>
              </w:rPr>
              <w:t>99.9 - 100.0%</w:t>
            </w:r>
          </w:p>
        </w:tc>
        <w:tc>
          <w:tcPr>
            <w:tcW w:w="4320" w:type="dxa"/>
            <w:tcMar>
              <w:left w:w="108" w:type="dxa"/>
              <w:right w:w="108" w:type="dxa"/>
              <w:top w:w="0" w:type="dxa"/>
              <w:bottom w:w="0" w:type="dxa"/>
            </w:tcMar>
            <w:tcBorders>
              <w:bottom w:val="single" w:sz="4" w:space="0"/>
              <w:right w:val="single" w:sz="4" w:space="0"/>
            </w:tcBorders>
          </w:tcPr>
          <w:p w14:paraId="48B8D0CF" w14:textId="77777777">
            <w:r>
              <w:rPr>
                <w:sz w:val="18"/>
              </w:rPr>
              <w:t>0%</w:t>
            </w:r>
          </w:p>
        </w:tc>
      </w:tr>
      <w:tr w14:paraId="5EFF722F"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36A1515E" w14:textId="77777777">
            <w:r>
              <w:rPr>
                <w:sz w:val="18"/>
              </w:rPr>
              <w:t>99.0 - 99.89%</w:t>
            </w:r>
          </w:p>
        </w:tc>
        <w:tc>
          <w:tcPr>
            <w:tcW w:w="4320" w:type="dxa"/>
            <w:tcMar>
              <w:left w:w="108" w:type="dxa"/>
              <w:right w:w="108" w:type="dxa"/>
              <w:top w:w="0" w:type="dxa"/>
              <w:bottom w:w="0" w:type="dxa"/>
            </w:tcMar>
            <w:tcBorders>
              <w:bottom w:val="single" w:sz="4" w:space="0"/>
              <w:right w:val="single" w:sz="4" w:space="0"/>
            </w:tcBorders>
          </w:tcPr>
          <w:p w14:paraId="65BB56D7" w14:textId="77777777">
            <w:r>
              <w:rPr>
                <w:sz w:val="18"/>
              </w:rPr>
              <w:t>5%</w:t>
            </w:r>
          </w:p>
        </w:tc>
      </w:tr>
      <w:tr w14:paraId="475007FE"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08CC6D7D" w14:textId="77777777">
            <w:r>
              <w:rPr>
                <w:sz w:val="18"/>
              </w:rPr>
              <w:t>97.0 - 98.99%</w:t>
            </w:r>
          </w:p>
        </w:tc>
        <w:tc>
          <w:tcPr>
            <w:tcW w:w="4320" w:type="dxa"/>
            <w:tcMar>
              <w:left w:w="108" w:type="dxa"/>
              <w:right w:w="108" w:type="dxa"/>
              <w:top w:w="0" w:type="dxa"/>
              <w:bottom w:w="0" w:type="dxa"/>
            </w:tcMar>
            <w:tcBorders>
              <w:bottom w:val="single" w:sz="4" w:space="0"/>
              <w:right w:val="single" w:sz="4" w:space="0"/>
            </w:tcBorders>
          </w:tcPr>
          <w:p w14:paraId="259103EB" w14:textId="77777777">
            <w:r>
              <w:rPr>
                <w:sz w:val="18"/>
              </w:rPr>
              <w:t>10%</w:t>
            </w:r>
          </w:p>
        </w:tc>
      </w:tr>
      <w:tr w14:paraId="7C7B7D76"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644F68E6" w14:textId="77777777">
            <w:r>
              <w:rPr>
                <w:sz w:val="18"/>
              </w:rPr>
              <w:t>94.0 - 96.99%</w:t>
            </w:r>
          </w:p>
        </w:tc>
        <w:tc>
          <w:tcPr>
            <w:tcW w:w="4320" w:type="dxa"/>
            <w:tcMar>
              <w:left w:w="108" w:type="dxa"/>
              <w:right w:w="108" w:type="dxa"/>
              <w:top w:w="0" w:type="dxa"/>
              <w:bottom w:w="0" w:type="dxa"/>
            </w:tcMar>
            <w:tcBorders>
              <w:bottom w:val="single" w:sz="4" w:space="0"/>
              <w:right w:val="single" w:sz="4" w:space="0"/>
            </w:tcBorders>
          </w:tcPr>
          <w:p w14:paraId="55782049" w14:textId="77777777">
            <w:r>
              <w:rPr>
                <w:sz w:val="18"/>
              </w:rPr>
              <w:t>20%</w:t>
            </w:r>
          </w:p>
        </w:tc>
      </w:tr>
      <w:tr w14:paraId="7288F2F8" w14:textId="77777777">
        <w:trPr>
          <w:hidden w:val="0"/>
          <w:jc w:val="center"/>
        </w:trPr>
        <w:tc>
          <w:tcPr>
            <w:tcW w:w="4320" w:type="dxa"/>
            <w:tcMar>
              <w:left w:w="108" w:type="dxa"/>
              <w:right w:w="108" w:type="dxa"/>
              <w:top w:w="0" w:type="dxa"/>
              <w:bottom w:w="0" w:type="dxa"/>
            </w:tcMar>
            <w:tcBorders>
              <w:bottom w:val="single" w:sz="4" w:space="0"/>
              <w:left w:val="single" w:sz="4" w:space="0"/>
              <w:right w:val="single" w:sz="4" w:space="0"/>
            </w:tcBorders>
          </w:tcPr>
          <w:p w14:paraId="28891C1E" w14:textId="77777777">
            <w:r>
              <w:rPr>
                <w:sz w:val="18"/>
              </w:rPr>
              <w:t>Below 94.0%</w:t>
            </w:r>
          </w:p>
        </w:tc>
        <w:tc>
          <w:tcPr>
            <w:tcW w:w="4320" w:type="dxa"/>
            <w:tcMar>
              <w:left w:w="108" w:type="dxa"/>
              <w:right w:w="108" w:type="dxa"/>
              <w:top w:w="0" w:type="dxa"/>
              <w:bottom w:w="0" w:type="dxa"/>
            </w:tcMar>
            <w:tcBorders>
              <w:bottom w:val="single" w:sz="4" w:space="0"/>
              <w:right w:val="single" w:sz="4" w:space="0"/>
            </w:tcBorders>
          </w:tcPr>
          <w:p w14:paraId="2F08754E" w14:textId="77777777">
            <w:r>
              <w:rPr>
                <w:sz w:val="18"/>
              </w:rPr>
              <w:t>50%</w:t>
            </w:r>
          </w:p>
        </w:tc>
      </w:tr>
    </w:tbl>
    <w:p w14:paraId="0ADE18CC" w14:textId="77777777"/>
    <w:p w14:paraId="0569F19A" w14:textId="77777777">
      <w:pPr>
        <w:spacing w:after="80"/>
      </w:pPr>
      <w:r>
        <w:rPr>
          <w:i/>
          <w:color w:val="FF0000"/>
          <w:sz w:val="18"/>
        </w:rPr>
        <w:t>[Drafting Note: Credits begin immediately below 99.9% (no gap). Credits are Customer's sole and exclusive remedy for availability failures. Do not agree to termination rights for SLA failures without separate approval.]</w:t>
      </w:r>
    </w:p>
    <w:p w14:paraId="4C6649DB" w14:textId="77777777">
      <w:pPr>
        <w:spacing w:after="120"/>
      </w:pPr>
      <w:r>
        <w:t>Customer will not be entitled to a credit if it is in breach of its Agreement with Company, including payment obligations.  To receive a credit, Customer must file a claim within five (5) days following the end of the applicable month by contacting Company at [support@company.com] with a complete description of the downtime.</w:t>
      </w:r>
    </w:p>
    <w:p w14:paraId="0B2C3725" w14:textId="77777777">
      <w:pPr>
        <w:spacing w:after="120"/>
      </w:pPr>
      <w:r>
        <w:t>The credit remedy set forth in this Service Level Agreement is Customer's sole and exclusive remedy for the unavailability of the Product.</w:t>
      </w:r>
    </w:p>
    <w:p w14:paraId="3A4C3F16" w14:textId="77777777">
      <w:pPr>
        <w:spacing w:after="120"/>
      </w:pPr>
      <w:r>
        <w:rPr>
          <w:b/>
        </w:rPr>
        <w:t>Customer Support.</w:t>
      </w:r>
    </w:p>
    <w:p w14:paraId="1A1D151F" w14:textId="77777777">
      <w:pPr>
        <w:spacing w:after="120"/>
      </w:pPr>
      <w:r>
        <w:t>Company live technical support business hours will start at 9:00 am Pacific Time and run until 5:00 pm Pacific Time on weekdays.  Technical support can be contacted via email at [support@company.com] or via shared channels in the customer communication platform.</w:t>
      </w:r>
    </w:p>
    <w:p w14:paraId="68C00FD7" w14:textId="77777777">
      <w:pPr>
        <w:spacing w:after="120"/>
      </w:pPr>
      <w:r>
        <w:rPr>
          <w:b/>
        </w:rPr>
        <w:t>Communication Channels:</w:t>
      </w:r>
    </w:p>
    <w:p w14:paraId="2B2C932F" w14:textId="77777777"/>
    <w:tbl>
      <w:tblPr>
        <w:tblStyle w:val="TableGrid"/>
        <w:tblW w:w="0" w:type="auto"/>
        <w:tblLook w:firstColumn="1" w:firstRow="1" w:lastColumn="0" w:lastRow="0" w:noHBand="0" w:noVBand="1" w:val="04A0"/>
        <w:tblCellMar>
          <w:top w:w="0" w:type="dxa"/>
          <w:left w:w="108" w:type="dxa"/>
          <w:bottom w:w="0" w:type="dxa"/>
          <w:right w:w="108" w:type="dxa"/>
        </w:tblCellMar>
      </w:tblPr>
      <w:tblGrid>
        <w:gridCol w:w="2880"/>
        <w:gridCol w:w="2880"/>
        <w:gridCol w:w="2880"/>
      </w:tblGrid>
      <w:tr w14:paraId="7BCA0E60" w14:textId="77777777">
        <w:tc>
          <w:tcPr>
            <w:tcW w:w="2880" w:type="dxa"/>
            <w:shd w:color="auto" w:fill="D9D9D9" w:val="clear"/>
            <w:tcMar>
              <w:left w:w="108" w:type="dxa"/>
              <w:right w:w="108" w:type="dxa"/>
              <w:top w:w="0" w:type="dxa"/>
              <w:bottom w:w="0" w:type="dxa"/>
            </w:tcMar>
            <w:tcBorders>
              <w:top w:val="single" w:sz="4" w:space="0"/>
              <w:bottom w:val="single" w:sz="4" w:space="0"/>
              <w:left w:val="single" w:sz="4" w:space="0"/>
              <w:right w:val="single" w:sz="4" w:space="0"/>
            </w:tcBorders>
          </w:tcPr>
          <w:p w14:paraId="68173103" w14:textId="77777777">
            <w:r>
              <w:t>EMAIL</w:t>
            </w:r>
          </w:p>
        </w:tc>
        <w:tc>
          <w:tcPr>
            <w:tcW w:w="2880" w:type="dxa"/>
            <w:shd w:color="auto" w:fill="D9D9D9" w:val="clear"/>
            <w:tcMar>
              <w:left w:w="108" w:type="dxa"/>
              <w:right w:w="108" w:type="dxa"/>
              <w:top w:w="0" w:type="dxa"/>
              <w:bottom w:w="0" w:type="dxa"/>
            </w:tcMar>
            <w:tcBorders>
              <w:top w:val="single" w:sz="4" w:space="0"/>
              <w:bottom w:val="single" w:sz="4" w:space="0"/>
              <w:right w:val="single" w:sz="4" w:space="0"/>
            </w:tcBorders>
          </w:tcPr>
          <w:p w14:paraId="5CC0301B" w14:textId="77777777">
            <w:r>
              <w:t>PHONE</w:t>
            </w:r>
          </w:p>
        </w:tc>
        <w:tc>
          <w:tcPr>
            <w:tcW w:w="2880" w:type="dxa"/>
            <w:shd w:color="auto" w:fill="D9D9D9" w:val="clear"/>
            <w:tcMar>
              <w:left w:w="108" w:type="dxa"/>
              <w:right w:w="108" w:type="dxa"/>
              <w:top w:w="0" w:type="dxa"/>
              <w:bottom w:w="0" w:type="dxa"/>
            </w:tcMar>
            <w:tcBorders>
              <w:top w:val="single" w:sz="4" w:space="0"/>
              <w:bottom w:val="single" w:sz="4" w:space="0"/>
              <w:right w:val="single" w:sz="4" w:space="0"/>
            </w:tcBorders>
          </w:tcPr>
          <w:p w14:paraId="54026ADA" w14:textId="77777777">
            <w:r>
              <w:t>COMMUNICATION TOOL</w:t>
            </w:r>
          </w:p>
        </w:tc>
      </w:tr>
      <w:tr w14:paraId="404B1E35" w14:textId="77777777">
        <w:tc>
          <w:tcPr>
            <w:tcW w:w="2880" w:type="dxa"/>
            <w:tcMar>
              <w:left w:w="108" w:type="dxa"/>
              <w:right w:w="108" w:type="dxa"/>
              <w:top w:w="0" w:type="dxa"/>
              <w:bottom w:w="0" w:type="dxa"/>
            </w:tcMar>
            <w:tcBorders>
              <w:bottom w:val="single" w:sz="4" w:space="0"/>
              <w:left w:val="single" w:sz="4" w:space="0"/>
              <w:right w:val="single" w:sz="4" w:space="0"/>
            </w:tcBorders>
          </w:tcPr>
          <w:p w14:paraId="11966945" w14:textId="77777777">
            <w:r>
              <w:rPr>
                <w:sz w:val="18"/>
              </w:rPr>
              <w:t>[support@company.com]</w:t>
            </w:r>
          </w:p>
        </w:tc>
        <w:tc>
          <w:tcPr>
            <w:tcW w:w="2880" w:type="dxa"/>
            <w:tcMar>
              <w:left w:w="108" w:type="dxa"/>
              <w:right w:w="108" w:type="dxa"/>
              <w:top w:w="0" w:type="dxa"/>
              <w:bottom w:w="0" w:type="dxa"/>
            </w:tcMar>
            <w:tcBorders>
              <w:bottom w:val="single" w:sz="4" w:space="0"/>
              <w:right w:val="single" w:sz="4" w:space="0"/>
            </w:tcBorders>
          </w:tcPr>
          <w:p w14:paraId="52514139" w14:textId="77777777">
            <w:r>
              <w:rPr>
                <w:sz w:val="18"/>
              </w:rPr>
              <w:t>[phone number]</w:t>
            </w:r>
          </w:p>
        </w:tc>
        <w:tc>
          <w:tcPr>
            <w:tcW w:w="2880" w:type="dxa"/>
            <w:tcMar>
              <w:left w:w="108" w:type="dxa"/>
              <w:right w:w="108" w:type="dxa"/>
              <w:top w:w="0" w:type="dxa"/>
              <w:bottom w:w="0" w:type="dxa"/>
            </w:tcMar>
            <w:tcBorders>
              <w:bottom w:val="single" w:sz="4" w:space="0"/>
              <w:right w:val="single" w:sz="4" w:space="0"/>
            </w:tcBorders>
          </w:tcPr>
          <w:p w14:paraId="12401AA6" w14:textId="77777777">
            <w:r>
              <w:rPr>
                <w:sz w:val="18"/>
              </w:rPr>
              <w:t>Shared Company channel</w:t>
            </w:r>
          </w:p>
        </w:tc>
      </w:tr>
    </w:tbl>
    <w:p w14:paraId="1CD2B12C" w14:textId="77777777"/>
    <w:p w14:paraId="59E39743" w14:textId="77777777">
      <w:pPr>
        <w:spacing w:after="120"/>
      </w:pPr>
      <w:r>
        <w:t>Live technical support will not be available on Christmas Day (December 25) and New Year's Day (January 1).  Company holidays include:</w:t>
      </w:r>
    </w:p>
    <w:p w14:paraId="0B2EBA9D" w14:textId="77777777">
      <w:pPr>
        <w:pStyle w:val="ListBullet"/>
        <w:spacing w:after="80"/>
        <w:ind w:left="720"/>
      </w:pPr>
      <w:r>
        <w:t>Presidents Day (third Monday of February)</w:t>
      </w:r>
    </w:p>
    <w:p w14:paraId="1AB9C146" w14:textId="77777777">
      <w:pPr>
        <w:pStyle w:val="ListBullet"/>
        <w:spacing w:after="80"/>
        <w:ind w:left="720"/>
      </w:pPr>
      <w:r>
        <w:t>Memorial Day (last Monday of May)</w:t>
      </w:r>
    </w:p>
    <w:p w14:paraId="633862A9" w14:textId="77777777">
      <w:pPr>
        <w:pStyle w:val="ListBullet"/>
        <w:spacing w:after="80"/>
        <w:ind w:left="720"/>
      </w:pPr>
      <w:r>
        <w:t>Independence Day (July 4)</w:t>
      </w:r>
    </w:p>
    <w:p w14:paraId="052DCB22" w14:textId="77777777">
      <w:pPr>
        <w:pStyle w:val="ListBullet"/>
        <w:spacing w:after="80"/>
        <w:ind w:left="720"/>
      </w:pPr>
      <w:r>
        <w:t>Labor Day (first Monday of September)</w:t>
      </w:r>
    </w:p>
    <w:p w14:paraId="48D693BE" w14:textId="77777777">
      <w:pPr>
        <w:pStyle w:val="ListBullet"/>
        <w:spacing w:after="80"/>
        <w:ind w:left="720"/>
      </w:pPr>
      <w:r>
        <w:t>Thanksgiving Day (fourth Thursday in November)</w:t>
      </w:r>
    </w:p>
    <w:p w14:paraId="6AEEC94C" w14:textId="77777777">
      <w:pPr>
        <w:pStyle w:val="ListBullet"/>
        <w:spacing w:after="80"/>
        <w:ind w:left="720"/>
      </w:pPr>
      <w:r>
        <w:t>Christmas Eve (December 24)</w:t>
      </w:r>
    </w:p>
    <w:p w14:paraId="65AD4A50" w14:textId="77777777">
      <w:pPr>
        <w:pStyle w:val="ListBullet"/>
        <w:spacing w:after="80"/>
        <w:ind w:left="720"/>
      </w:pPr>
      <w:r>
        <w:t>New Year's Eve (December 31)</w:t>
      </w:r>
    </w:p>
    <w:p w14:paraId="586F922F" w14:textId="493782EC"/>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263417">
    <w:abstractNumId w:val="8"/>
  </w:num>
  <w:num w:numId="2" w16cid:durableId="686641274">
    <w:abstractNumId w:val="6"/>
  </w:num>
  <w:num w:numId="3" w16cid:durableId="1531452627">
    <w:abstractNumId w:val="5"/>
  </w:num>
  <w:num w:numId="4" w16cid:durableId="364260162">
    <w:abstractNumId w:val="4"/>
  </w:num>
  <w:num w:numId="5" w16cid:durableId="788478590">
    <w:abstractNumId w:val="7"/>
  </w:num>
  <w:num w:numId="6" w16cid:durableId="1467577654">
    <w:abstractNumId w:val="3"/>
  </w:num>
  <w:num w:numId="7" w16cid:durableId="1054502382">
    <w:abstractNumId w:val="2"/>
  </w:num>
  <w:num w:numId="8" w16cid:durableId="1172918775">
    <w:abstractNumId w:val="1"/>
  </w:num>
  <w:num w:numId="9" w16cid:durableId="989557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6A5"/>
    <w:rsid w:val="0015074B"/>
    <w:rsid w:val="0029639D"/>
    <w:rsid w:val="00326F90"/>
    <w:rsid w:val="00767083"/>
    <w:rsid w:val="00895160"/>
    <w:rsid w:val="00AA1D8D"/>
    <w:rsid w:val="00AF7282"/>
    <w:rsid w:val="00B47730"/>
    <w:rsid w:val="00BF677A"/>
    <w:rsid w:val="00CB0664"/>
    <w:rsid w:val="00DB7975"/>
    <w:rsid w:val="00FC693F"/>
    <w:rsid w:val="00FF45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49C4A"/>
  <w14:defaultImageDpi w14:val="300"/>
  <w15:docId w15:val="{A2936B32-AF00-40EC-B93B-24F646BAB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8134</Words>
  <Characters>46364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5</cp:revision>
  <dcterms:created xsi:type="dcterms:W3CDTF">2013-12-23T23:15:00Z</dcterms:created>
  <dcterms:modified xsi:type="dcterms:W3CDTF">2026-05-27T05:17:00Z</dcterms:modified>
  <cp:category/>
</cp:coreProperties>
</file>