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284C7"/>
          <w:sz w:val="17"/>
        </w:rPr>
        <w:t>FLUTTER ARCHITECTURE &amp; BENCHMARKS • RELEASE DEEP DIVE</w:t>
      </w:r>
    </w:p>
    <w:p>
      <w:pPr>
        <w:spacing w:before="0" w:after="160" w:line="264" w:lineRule="auto"/>
      </w:pPr>
      <w:r>
        <w:rPr>
          <w:rFonts w:ascii="Arial" w:hAnsi="Arial"/>
          <w:b/>
          <w:color w:val="0F172A"/>
          <w:sz w:val="48"/>
        </w:rPr>
        <w:t>SINT 1.6.0: Turbocharging Flutter Dependency Injection and Reactive State Management</w:t>
      </w:r>
    </w:p>
    <w:p>
      <w:pPr>
        <w:spacing w:after="280" w:line="288" w:lineRule="auto"/>
      </w:pPr>
      <w:r>
        <w:rPr>
          <w:rFonts w:ascii="Georgia" w:hAnsi="Georgia"/>
          <w:color w:val="475569"/>
          <w:sz w:val="26"/>
        </w:rPr>
        <w:t>How Type-Keyed Injection (O5a) and Reactive Engine Hardening delivered a 10× speedup in dependency lookup without breaking a single line of code.</w:t>
      </w:r>
    </w:p>
    <w:p>
      <w:pPr>
        <w:spacing w:after="400"/>
      </w:pPr>
      <w:r>
        <w:rPr>
          <w:rFonts w:ascii="Arial" w:hAnsi="Arial"/>
          <w:color w:val="64748B"/>
          <w:sz w:val="19"/>
        </w:rPr>
        <w:t>By Open Neom Engineering Team  •  6 min read  •  Published on pub.dev (v1.6.0)</w:t>
      </w:r>
    </w:p>
    <w:p>
      <w:pPr>
        <w:spacing w:after="320"/>
      </w:pPr>
      <w:r>
        <w:rPr>
          <w:color w:val="CBD5E1"/>
        </w:rPr>
        <w:t>――――――――――――――――――――――――――――――――――――――――</w:t>
      </w:r>
    </w:p>
    <w:p>
      <w:pPr>
        <w:pStyle w:val="Heading1"/>
        <w:spacing w:before="320" w:after="160"/>
      </w:pPr>
      <w:r>
        <w:rPr>
          <w:rFonts w:ascii="Arial" w:hAnsi="Arial"/>
          <w:b/>
          <w:color w:val="0F172A"/>
          <w:sz w:val="32"/>
        </w:rPr>
        <w:t>The Relentless Pursuit of High-Fidelity Performance</w:t>
      </w:r>
    </w:p>
    <w:p>
      <w:r>
        <w:t>In the fast-evolving Flutter ecosystem, architectural frameworks are often forced to choose between two extremes: sprawling monolithic libraries that accumulate technical debt, or fragmented mini-packages that require endless boilerplate. SINT was born from a clear, unapologetic vision: to strip away the noise and engineer the absolute highest-fidelity infrastructure focused strictly on the Four Pillars of modern Flutter development:</w:t>
      </w:r>
    </w:p>
    <w:p>
      <w:pPr>
        <w:pStyle w:val="ListBullet"/>
        <w:spacing w:after="80"/>
      </w:pPr>
      <w:r>
        <w:rPr>
          <w:b/>
          <w:color w:val="0284C7"/>
        </w:rPr>
        <w:t xml:space="preserve">State Management (S): </w:t>
      </w:r>
      <w:r>
        <w:t>Zero-overhead reactive primitives (.obs, RxList, RxMap), granular widget updates, and unified lifecycle management.</w:t>
      </w:r>
    </w:p>
    <w:p>
      <w:pPr>
        <w:pStyle w:val="ListBullet"/>
        <w:spacing w:after="80"/>
      </w:pPr>
      <w:r>
        <w:rPr>
          <w:b/>
          <w:color w:val="0284C7"/>
        </w:rPr>
        <w:t xml:space="preserve">Dependency Injection (I): </w:t>
      </w:r>
      <w:r>
        <w:t>Smart-managed singleton registries, lazy factories, and automatic route-coupled memory disposal.</w:t>
      </w:r>
    </w:p>
    <w:p>
      <w:pPr>
        <w:pStyle w:val="ListBullet"/>
        <w:spacing w:after="80"/>
      </w:pPr>
      <w:r>
        <w:rPr>
          <w:b/>
          <w:color w:val="0284C7"/>
        </w:rPr>
        <w:t xml:space="preserve">Navigation (N): </w:t>
      </w:r>
      <w:r>
        <w:t>O(k) segment-indexed routing, regex-constrained pattern matching, wildcard captures, and true bi-directional browser history sync.</w:t>
      </w:r>
    </w:p>
    <w:p>
      <w:pPr>
        <w:pStyle w:val="ListBullet"/>
        <w:spacing w:after="80"/>
      </w:pPr>
      <w:r>
        <w:rPr>
          <w:b/>
          <w:color w:val="0284C7"/>
        </w:rPr>
        <w:t xml:space="preserve">Translation (T): </w:t>
      </w:r>
      <w:r>
        <w:t>Dynamic parameter interpolation, locale switching, and canonical path internationalization.</w:t>
      </w:r>
    </w:p>
    <w:p>
      <w:r>
        <w:t>While SINT 1.5.0 revolutionized navigation with segment route indexing and slug normalization, SINT 1.6.0 turns its high-performance lens onto Pillar I (Dependency Injection) and Pillar S (Reactivity). The result? A massive 10× speedup in dependency resolution, zero minification collision risks on Flutter Web, and intelligent conditional reactive collections—all delivered as a 100% backwards-compatible minor release.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0284C7"/>
              <w:bottom w:val="none"/>
              <w:right w:val="none"/>
            </w:tcBorders>
          </w:tcPr>
          <w:p>
            <w:pPr>
              <w:spacing w:before="40" w:after="40"/>
            </w:pPr>
            <w:r>
              <w:rPr>
                <w:rFonts w:ascii="Georgia" w:hAnsi="Georgia"/>
                <w:i/>
                <w:color w:val="334155"/>
                <w:sz w:val="22"/>
              </w:rPr>
              <w:t>“The four pillars do not need breaking changes to evolve. The entire 1.x line is additive evolution—performance, web readiness, and telemetry—with zero breaking changes.”</w:t>
            </w:r>
          </w:p>
          <w:p>
            <w:pPr>
              <w:spacing w:before="80" w:after="0"/>
              <w:jc w:val="right"/>
            </w:pPr>
            <w:r>
              <w:rPr>
                <w:rFonts w:ascii="Arial" w:hAnsi="Arial"/>
                <w:b/>
                <w:color w:val="0284C7"/>
                <w:sz w:val="19"/>
              </w:rPr>
              <w:t>— SINT Architecture Philosophy</w:t>
            </w:r>
          </w:p>
        </w:tc>
      </w:tr>
    </w:tbl>
    <w:p/>
    <w:p>
      <w:pPr>
        <w:pStyle w:val="Heading1"/>
        <w:spacing w:before="360" w:after="160"/>
      </w:pPr>
      <w:r>
        <w:rPr>
          <w:rFonts w:ascii="Arial" w:hAnsi="Arial"/>
          <w:b/>
          <w:color w:val="0F172A"/>
          <w:sz w:val="32"/>
        </w:rPr>
        <w:t>Pillar I: The 10× Leap in Dependency Resolution (O5a)</w:t>
      </w:r>
    </w:p>
    <w:p>
      <w:r>
        <w:t>For years, legacy service locators and injection engines relied on string concatenation keys to map dependencies. In SINT 1.5.0 and prior, calling Sint.find&lt;UserController&gt;(tag: 'auth') internally evaluated an interpolated string like 'UserControllerauth' to query a flat hashmap.</w:t>
      </w:r>
    </w:p>
    <w:p>
      <w:r>
        <w:t>While fast enough for small applications, profiling under heavy production load revealed two critical limitations:</w:t>
      </w:r>
    </w:p>
    <w:p>
      <w:pPr>
        <w:pStyle w:val="ListBullet"/>
        <w:spacing w:after="60"/>
      </w:pPr>
      <w:r>
        <w:rPr>
          <w:b/>
        </w:rPr>
        <w:t xml:space="preserve">String Allocation Churn: </w:t>
      </w:r>
      <w:r>
        <w:t>In animation loops, high-frequency stream events, and deeply nested widget trees, calling Sint.find repeatedly created hundreds of ephemeral string instances.</w:t>
      </w:r>
    </w:p>
    <w:p>
      <w:pPr>
        <w:pStyle w:val="ListBullet"/>
        <w:spacing w:after="120"/>
      </w:pPr>
      <w:r>
        <w:rPr>
          <w:b/>
        </w:rPr>
        <w:t xml:space="preserve">Web Minification Risks (dart2js / WASM): </w:t>
      </w:r>
      <w:r>
        <w:t>In release builds with hundreds of controllers, minifiers compress distinct class names into identical short strings (e.g. 'minified:a'), risking catastrophic collision bugs.</w:t>
      </w:r>
    </w:p>
    <w:p>
      <w:r>
        <w:t>SINT 1.6.0 completely re-architects the internal registry into a Two-Tiered Type-Indexed Map:</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40" w:after="40" w:line="276" w:lineRule="auto"/>
            </w:pPr>
            <w:r>
              <w:rPr>
                <w:rFonts w:ascii="Consolas" w:hAnsi="Consolas"/>
                <w:color w:val="0F172A"/>
                <w:sz w:val="19"/>
              </w:rPr>
              <w:t>// SINT 1.6.0: Two-Tiered Type-Indexed Registry</w:t>
              <w:br/>
              <w:t>static final Map&lt;Type, Map&lt;String?, _InstanceBuilderFactory&gt;&gt; _typeSingl = {};</w:t>
              <w:br/>
              <w:br/>
              <w:t>// O(1) Type-Identity Resolution: Zero string allocations!</w:t>
              <w:br/>
              <w:t>S find&lt;S&gt;({String? tag}) {</w:t>
              <w:br/>
              <w:t xml:space="preserve">  final dep = _typeSingl[S]?[tag] ?? _singl[_getKey(S, tag)];</w:t>
              <w:br/>
              <w:t xml:space="preserve">  if (dep == null) {</w:t>
              <w:br/>
              <w:t xml:space="preserve">    throw '"$S" not found. Call Sint.put($S()) or Sint.lazyPut(()=&gt;$S())';</w:t>
              <w:br/>
              <w:t xml:space="preserve">  }</w:t>
              <w:br/>
              <w:t xml:space="preserve">  final i = _initDependencies&lt;S&gt;(name: tag);</w:t>
              <w:br/>
              <w:t xml:space="preserve">  return (i ?? dep.getDependency()) as S;</w:t>
              <w:br/>
              <w:t>}</w:t>
            </w:r>
          </w:p>
        </w:tc>
      </w:tr>
    </w:tbl>
    <w:p/>
    <w:p>
      <w:r>
        <w:t>By utilizing Dart's native Type object identity, lookups bypass string hashing entirely. In our benchmark suite executing 20,000 tagged resolutions, median latency plummeted from 0.6777 µs down to 0.0683 µs—an astonishing 89.9% reduction in execution time.</w:t>
      </w:r>
    </w:p>
    <w:p>
      <w:pPr>
        <w:pStyle w:val="Heading1"/>
        <w:spacing w:before="360" w:after="160"/>
      </w:pPr>
      <w:r>
        <w:rPr>
          <w:rFonts w:ascii="Arial" w:hAnsi="Arial"/>
          <w:b/>
          <w:color w:val="0F172A"/>
          <w:sz w:val="32"/>
        </w:rPr>
        <w:t>Pillar S: Smarter Collections with Conditional Refresh</w:t>
      </w:r>
    </w:p>
    <w:p>
      <w:r>
        <w:t>Reactivity is only as good as its discipline. In traditional state management, calling myRxList.remove('item') or myRxMap['key'] = value unconditionally notifies every listening Obx widget—even if the item didn't exist or the assigned value was identical.</w:t>
      </w:r>
    </w:p>
    <w:p>
      <w:r>
        <w:t>SINT 1.6.0 introduces strict conditional dirty-checking across RxList and RxMap. Notifications are dispatched if and only if real data mutations occur: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40" w:after="40" w:line="276" w:lineRule="auto"/>
            </w:pPr>
            <w:r>
              <w:rPr>
                <w:rFonts w:ascii="Consolas" w:hAnsi="Consolas"/>
                <w:color w:val="0F172A"/>
                <w:sz w:val="19"/>
              </w:rPr>
              <w:t>// RxList: Intelligent dirty checks</w:t>
              <w:br/>
              <w:t>@override</w:t>
              <w:br/>
              <w:t>bool remove(Object? element) {</w:t>
              <w:br/>
              <w:t xml:space="preserve">  final removed = value.remove(element);</w:t>
              <w:br/>
              <w:t xml:space="preserve">  if (removed) refresh(); // Only notifies if an element was actually removed!</w:t>
              <w:br/>
              <w:t xml:space="preserve">  return removed;</w:t>
              <w:br/>
              <w:t>}</w:t>
              <w:br/>
              <w:br/>
              <w:t>@override</w:t>
              <w:br/>
              <w:t>void operator []=(int index, E val) {</w:t>
              <w:br/>
              <w:t xml:space="preserve">  if (value[index] != val) {</w:t>
              <w:br/>
              <w:t xml:space="preserve">    value[index] = val;</w:t>
              <w:br/>
              <w:t xml:space="preserve">    refresh(); // Skips rebuild if replacing with identical value</w:t>
              <w:br/>
              <w:t xml:space="preserve">  }</w:t>
              <w:br/>
              <w:t>}</w:t>
            </w:r>
          </w:p>
        </w:tc>
      </w:tr>
    </w:tbl>
    <w:p/>
    <w:p>
      <w:r>
        <w:t>This optimization drastically reduces redundant microtask scheduling and eliminates unnecessary layout passes in complex Flutter dashboards and data-dense views.</w:t>
      </w:r>
    </w:p>
    <w:p>
      <w:pPr>
        <w:pStyle w:val="Heading1"/>
        <w:spacing w:before="360" w:after="160"/>
      </w:pPr>
      <w:r>
        <w:rPr>
          <w:rFonts w:ascii="Arial" w:hAnsi="Arial"/>
          <w:b/>
          <w:color w:val="0F172A"/>
          <w:sz w:val="32"/>
        </w:rPr>
        <w:t>Obx Hygiene &amp; Synapse State Hardening</w:t>
      </w:r>
    </w:p>
    <w:p>
      <w:r>
        <w:t>Beyond raw speed, SINT 1.6.0 hardens the underlying reactivity engine (The 'Synapse') with three key architectural improvements:</w:t>
      </w:r>
    </w:p>
    <w:p>
      <w:pPr>
        <w:pStyle w:val="ListBullet"/>
        <w:spacing w:after="80"/>
      </w:pPr>
      <w:r>
        <w:rPr>
          <w:b/>
        </w:rPr>
        <w:t xml:space="preserve">Elimination of Phantom Rebuilds in Obx: </w:t>
      </w:r>
      <w:r>
        <w:t>When an Obx widget toggles conditional UI branches (e.g. if (showDetails.value) Text(userName.value)), previous versions retained subscriptions to branches no longer visible. In 1.6.0, ObxReactiveElement cleans stale frame subscriptions before recording active observables.</w:t>
      </w:r>
    </w:p>
    <w:p>
      <w:pPr>
        <w:pStyle w:val="ListBullet"/>
        <w:spacing w:after="80"/>
      </w:pPr>
      <w:r>
        <w:rPr>
          <w:b/>
        </w:rPr>
        <w:t xml:space="preserve">Guaranteed Synapse Reset with try...finally: </w:t>
      </w:r>
      <w:r>
        <w:t>If a widget builder throws an unhandled error during build(), Notifier.append guarantees that global tracking variables are safely restored, preventing cascade corruption in subsequent widget builds.</w:t>
      </w:r>
    </w:p>
    <w:p>
      <w:pPr>
        <w:pStyle w:val="ListBullet"/>
        <w:spacing w:after="120"/>
      </w:pPr>
      <w:r>
        <w:rPr>
          <w:b/>
        </w:rPr>
        <w:t xml:space="preserve">First-Class ObxError: </w:t>
      </w:r>
      <w:r>
        <w:t>Formalized as a native subclass of Dart's Error, enabling seamless diagnostics and stack inspections in Flutter DevTools and automated testing harnesses.</w:t>
      </w:r>
    </w:p>
    <w:p>
      <w:pPr>
        <w:pStyle w:val="Heading1"/>
        <w:spacing w:before="360" w:after="160"/>
      </w:pPr>
      <w:r>
        <w:rPr>
          <w:rFonts w:ascii="Arial" w:hAnsi="Arial"/>
          <w:b/>
          <w:color w:val="0F172A"/>
          <w:sz w:val="32"/>
        </w:rPr>
        <w:t>Telemetry &amp; Microbenchmark Telemetry</w:t>
      </w:r>
    </w:p>
    <w:p>
      <w:r>
        <w:t>The following telemetry was captured on macOS (darwin-arm64, Dart VM JIT, 7 rounds × 1k/20k ops) running SINT's comprehensive benchmark test suite: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vAlign w:val="center"/>
            <w:shd w:fill="0F172A"/>
            <w:tcMar>
              <w:top w:w="120" w:type="dxa"/>
              <w:bottom w:w="120" w:type="dxa"/>
              <w:left w:w="100" w:type="dxa"/>
              <w:right w:w="100" w:type="dxa"/>
            </w:tcMar>
          </w:tcPr>
          <w:p>
            <w:pPr>
              <w:spacing w:before="20" w:after="20"/>
              <w:jc w:val="left"/>
            </w:pPr>
            <w:r>
              <w:rPr>
                <w:rFonts w:ascii="Arial" w:hAnsi="Arial"/>
                <w:b/>
                <w:color w:val="FFFFFF"/>
                <w:sz w:val="19"/>
              </w:rPr>
              <w:t>Benchmark Metric</w:t>
            </w:r>
          </w:p>
        </w:tc>
        <w:tc>
          <w:tcPr>
            <w:tcW w:type="dxa" w:w="1872"/>
            <w:vAlign w:val="center"/>
            <w:shd w:fill="0F172A"/>
            <w:tcMar>
              <w:top w:w="120" w:type="dxa"/>
              <w:bottom w:w="120" w:type="dxa"/>
              <w:left w:w="100" w:type="dxa"/>
              <w:right w:w="100" w:type="dxa"/>
            </w:tcMar>
          </w:tcPr>
          <w:p>
            <w:pPr>
              <w:spacing w:before="20" w:after="20"/>
              <w:jc w:val="left"/>
            </w:pPr>
            <w:r>
              <w:rPr>
                <w:rFonts w:ascii="Arial" w:hAnsi="Arial"/>
                <w:b/>
                <w:color w:val="FFFFFF"/>
                <w:sz w:val="19"/>
              </w:rPr>
              <w:t>SINT 1.5.0 / 1.5.1</w:t>
            </w:r>
          </w:p>
        </w:tc>
        <w:tc>
          <w:tcPr>
            <w:tcW w:type="dxa" w:w="1872"/>
            <w:vAlign w:val="center"/>
            <w:shd w:fill="0F172A"/>
            <w:tcMar>
              <w:top w:w="120" w:type="dxa"/>
              <w:bottom w:w="120" w:type="dxa"/>
              <w:left w:w="100" w:type="dxa"/>
              <w:right w:w="100" w:type="dxa"/>
            </w:tcMar>
          </w:tcPr>
          <w:p>
            <w:pPr>
              <w:spacing w:before="20" w:after="20"/>
              <w:jc w:val="left"/>
            </w:pPr>
            <w:r>
              <w:rPr>
                <w:rFonts w:ascii="Arial" w:hAnsi="Arial"/>
                <w:b/>
                <w:color w:val="FFFFFF"/>
                <w:sz w:val="19"/>
              </w:rPr>
              <w:t>SINT 1.6.0 (New)</w:t>
            </w:r>
          </w:p>
        </w:tc>
        <w:tc>
          <w:tcPr>
            <w:tcW w:type="dxa" w:w="2016"/>
            <w:vAlign w:val="center"/>
            <w:shd w:fill="0F172A"/>
            <w:tcMar>
              <w:top w:w="120" w:type="dxa"/>
              <w:bottom w:w="120" w:type="dxa"/>
              <w:left w:w="100" w:type="dxa"/>
              <w:right w:w="100" w:type="dxa"/>
            </w:tcMar>
          </w:tcPr>
          <w:p>
            <w:pPr>
              <w:spacing w:before="20" w:after="20"/>
              <w:jc w:val="left"/>
            </w:pPr>
            <w:r>
              <w:rPr>
                <w:rFonts w:ascii="Arial" w:hAnsi="Arial"/>
                <w:b/>
                <w:color w:val="FFFFFF"/>
                <w:sz w:val="19"/>
              </w:rPr>
              <w:t>Improvement (Δ)</w:t>
            </w:r>
          </w:p>
        </w:tc>
      </w:tr>
      <w:tr>
        <w:tc>
          <w:tcPr>
            <w:tcW w:type="dxa" w:w="3600"/>
            <w:vAlign w:val="center"/>
            <w:shd w:fill="F8FAFC"/>
            <w:tcMar>
              <w:top w:w="90" w:type="dxa"/>
              <w:bottom w:w="90" w:type="dxa"/>
              <w:left w:w="100" w:type="dxa"/>
              <w:right w:w="100" w:type="dxa"/>
            </w:tcMar>
          </w:tcPr>
          <w:p>
            <w:pPr>
              <w:spacing w:before="20" w:after="20"/>
            </w:pPr>
            <w:r>
              <w:rPr>
                <w:rFonts w:ascii="Calibri" w:hAnsi="Calibri"/>
                <w:b/>
                <w:color w:val="0F172A"/>
                <w:sz w:val="20"/>
              </w:rPr>
              <w:t>Sint.find&lt;T&gt;(tag) (20k lookups)</w:t>
            </w:r>
          </w:p>
        </w:tc>
        <w:tc>
          <w:tcPr>
            <w:tcW w:type="dxa" w:w="1872"/>
            <w:vAlign w:val="center"/>
            <w:shd w:fill="F8FAFC"/>
            <w:tcMar>
              <w:top w:w="90" w:type="dxa"/>
              <w:bottom w:w="90" w:type="dxa"/>
              <w:left w:w="100" w:type="dxa"/>
              <w:right w:w="100" w:type="dxa"/>
            </w:tcMar>
          </w:tcPr>
          <w:p>
            <w:pPr>
              <w:spacing w:before="20" w:after="20"/>
            </w:pPr>
            <w:r>
              <w:rPr>
                <w:rFonts w:ascii="Calibri" w:hAnsi="Calibri"/>
                <w:color w:val="475569"/>
                <w:sz w:val="20"/>
              </w:rPr>
              <w:t>0.6777 µs/op</w:t>
            </w:r>
          </w:p>
        </w:tc>
        <w:tc>
          <w:tcPr>
            <w:tcW w:type="dxa" w:w="1872"/>
            <w:vAlign w:val="center"/>
            <w:shd w:fill="F8FAFC"/>
            <w:tcMar>
              <w:top w:w="90" w:type="dxa"/>
              <w:bottom w:w="90" w:type="dxa"/>
              <w:left w:w="100" w:type="dxa"/>
              <w:right w:w="100" w:type="dxa"/>
            </w:tcMar>
          </w:tcPr>
          <w:p>
            <w:pPr>
              <w:spacing w:before="20" w:after="20"/>
            </w:pPr>
            <w:r>
              <w:rPr>
                <w:rFonts w:ascii="Calibri" w:hAnsi="Calibri"/>
                <w:b/>
                <w:color w:val="0284C7"/>
                <w:sz w:val="20"/>
              </w:rPr>
              <w:t>0.0683 µs/op</w:t>
            </w:r>
          </w:p>
        </w:tc>
        <w:tc>
          <w:tcPr>
            <w:tcW w:type="dxa" w:w="2016"/>
            <w:vAlign w:val="center"/>
            <w:shd w:fill="F8FAFC"/>
            <w:tcMar>
              <w:top w:w="90" w:type="dxa"/>
              <w:bottom w:w="90" w:type="dxa"/>
              <w:left w:w="100" w:type="dxa"/>
              <w:right w:w="100" w:type="dxa"/>
            </w:tcMar>
          </w:tcPr>
          <w:p>
            <w:pPr>
              <w:spacing w:before="20" w:after="20"/>
            </w:pPr>
            <w:r>
              <w:rPr>
                <w:rFonts w:ascii="Calibri" w:hAnsi="Calibri"/>
                <w:b/>
                <w:color w:val="16A34A"/>
                <w:sz w:val="20"/>
              </w:rPr>
              <w:t>−89.9% (~10× faster)</w:t>
            </w:r>
          </w:p>
        </w:tc>
      </w:tr>
      <w:tr>
        <w:tc>
          <w:tcPr>
            <w:tcW w:type="dxa" w:w="3600"/>
            <w:vAlign w:val="center"/>
            <w:shd w:fill="FFFFFF"/>
            <w:tcMar>
              <w:top w:w="90" w:type="dxa"/>
              <w:bottom w:w="90" w:type="dxa"/>
              <w:left w:w="100" w:type="dxa"/>
              <w:right w:w="100" w:type="dxa"/>
            </w:tcMar>
          </w:tcPr>
          <w:p>
            <w:pPr>
              <w:spacing w:before="20" w:after="20"/>
            </w:pPr>
            <w:r>
              <w:rPr>
                <w:rFonts w:ascii="Calibri" w:hAnsi="Calibri"/>
                <w:b/>
                <w:color w:val="0F172A"/>
                <w:sz w:val="20"/>
              </w:rPr>
              <w:t>Deep Lookup (Depth: 10, 5k iter)</w:t>
            </w:r>
          </w:p>
        </w:tc>
        <w:tc>
          <w:tcPr>
            <w:tcW w:type="dxa" w:w="1872"/>
            <w:vAlign w:val="center"/>
            <w:shd w:fill="FFFFFF"/>
            <w:tcMar>
              <w:top w:w="90" w:type="dxa"/>
              <w:bottom w:w="90" w:type="dxa"/>
              <w:left w:w="100" w:type="dxa"/>
              <w:right w:w="100" w:type="dxa"/>
            </w:tcMar>
          </w:tcPr>
          <w:p>
            <w:pPr>
              <w:spacing w:before="20" w:after="20"/>
            </w:pPr>
            <w:r>
              <w:rPr>
                <w:rFonts w:ascii="Calibri" w:hAnsi="Calibri"/>
                <w:color w:val="475569"/>
                <w:sz w:val="20"/>
              </w:rPr>
              <w:t>0.9162 µs/find</w:t>
            </w:r>
          </w:p>
        </w:tc>
        <w:tc>
          <w:tcPr>
            <w:tcW w:type="dxa" w:w="1872"/>
            <w:vAlign w:val="center"/>
            <w:shd w:fill="FFFFFF"/>
            <w:tcMar>
              <w:top w:w="90" w:type="dxa"/>
              <w:bottom w:w="90" w:type="dxa"/>
              <w:left w:w="100" w:type="dxa"/>
              <w:right w:w="100" w:type="dxa"/>
            </w:tcMar>
          </w:tcPr>
          <w:p>
            <w:pPr>
              <w:spacing w:before="20" w:after="20"/>
            </w:pPr>
            <w:r>
              <w:rPr>
                <w:rFonts w:ascii="Calibri" w:hAnsi="Calibri"/>
                <w:b/>
                <w:color w:val="0284C7"/>
                <w:sz w:val="20"/>
              </w:rPr>
              <w:t>0.1890 µs/find</w:t>
            </w:r>
          </w:p>
        </w:tc>
        <w:tc>
          <w:tcPr>
            <w:tcW w:type="dxa" w:w="2016"/>
            <w:vAlign w:val="center"/>
            <w:shd w:fill="FFFFFF"/>
            <w:tcMar>
              <w:top w:w="90" w:type="dxa"/>
              <w:bottom w:w="90" w:type="dxa"/>
              <w:left w:w="100" w:type="dxa"/>
              <w:right w:w="100" w:type="dxa"/>
            </w:tcMar>
          </w:tcPr>
          <w:p>
            <w:pPr>
              <w:spacing w:before="20" w:after="20"/>
            </w:pPr>
            <w:r>
              <w:rPr>
                <w:rFonts w:ascii="Calibri" w:hAnsi="Calibri"/>
                <w:b/>
                <w:color w:val="16A34A"/>
                <w:sz w:val="20"/>
              </w:rPr>
              <w:t>−79.4% (~5× faster)</w:t>
            </w:r>
          </w:p>
        </w:tc>
      </w:tr>
      <w:tr>
        <w:tc>
          <w:tcPr>
            <w:tcW w:type="dxa" w:w="3600"/>
            <w:vAlign w:val="center"/>
            <w:shd w:fill="F8FAFC"/>
            <w:tcMar>
              <w:top w:w="90" w:type="dxa"/>
              <w:bottom w:w="90" w:type="dxa"/>
              <w:left w:w="100" w:type="dxa"/>
              <w:right w:w="100" w:type="dxa"/>
            </w:tcMar>
          </w:tcPr>
          <w:p>
            <w:pPr>
              <w:spacing w:before="20" w:after="20"/>
            </w:pPr>
            <w:r>
              <w:rPr>
                <w:rFonts w:ascii="Calibri" w:hAnsi="Calibri"/>
                <w:b/>
                <w:color w:val="0F172A"/>
                <w:sz w:val="20"/>
              </w:rPr>
              <w:t>SintController.update() (p95)</w:t>
            </w:r>
          </w:p>
        </w:tc>
        <w:tc>
          <w:tcPr>
            <w:tcW w:type="dxa" w:w="1872"/>
            <w:vAlign w:val="center"/>
            <w:shd w:fill="F8FAFC"/>
            <w:tcMar>
              <w:top w:w="90" w:type="dxa"/>
              <w:bottom w:w="90" w:type="dxa"/>
              <w:left w:w="100" w:type="dxa"/>
              <w:right w:w="100" w:type="dxa"/>
            </w:tcMar>
          </w:tcPr>
          <w:p>
            <w:pPr>
              <w:spacing w:before="20" w:after="20"/>
            </w:pPr>
            <w:r>
              <w:rPr>
                <w:rFonts w:ascii="Calibri" w:hAnsi="Calibri"/>
                <w:color w:val="475569"/>
                <w:sz w:val="20"/>
              </w:rPr>
              <w:t>0.3356 µs</w:t>
            </w:r>
          </w:p>
        </w:tc>
        <w:tc>
          <w:tcPr>
            <w:tcW w:type="dxa" w:w="1872"/>
            <w:vAlign w:val="center"/>
            <w:shd w:fill="F8FAFC"/>
            <w:tcMar>
              <w:top w:w="90" w:type="dxa"/>
              <w:bottom w:w="90" w:type="dxa"/>
              <w:left w:w="100" w:type="dxa"/>
              <w:right w:w="100" w:type="dxa"/>
            </w:tcMar>
          </w:tcPr>
          <w:p>
            <w:pPr>
              <w:spacing w:before="20" w:after="20"/>
            </w:pPr>
            <w:r>
              <w:rPr>
                <w:rFonts w:ascii="Calibri" w:hAnsi="Calibri"/>
                <w:b/>
                <w:color w:val="0284C7"/>
                <w:sz w:val="20"/>
              </w:rPr>
              <w:t>0.0636 µs</w:t>
            </w:r>
          </w:p>
        </w:tc>
        <w:tc>
          <w:tcPr>
            <w:tcW w:type="dxa" w:w="2016"/>
            <w:vAlign w:val="center"/>
            <w:shd w:fill="F8FAFC"/>
            <w:tcMar>
              <w:top w:w="90" w:type="dxa"/>
              <w:bottom w:w="90" w:type="dxa"/>
              <w:left w:w="100" w:type="dxa"/>
              <w:right w:w="100" w:type="dxa"/>
            </w:tcMar>
          </w:tcPr>
          <w:p>
            <w:pPr>
              <w:spacing w:before="20" w:after="20"/>
            </w:pPr>
            <w:r>
              <w:rPr>
                <w:rFonts w:ascii="Calibri" w:hAnsi="Calibri"/>
                <w:b/>
                <w:color w:val="16A34A"/>
                <w:sz w:val="20"/>
              </w:rPr>
              <w:t>−81.0% (5.3× consistency)</w:t>
            </w:r>
          </w:p>
        </w:tc>
      </w:tr>
      <w:tr>
        <w:tc>
          <w:tcPr>
            <w:tcW w:type="dxa" w:w="3600"/>
            <w:vAlign w:val="center"/>
            <w:shd w:fill="FFFFFF"/>
            <w:tcMar>
              <w:top w:w="90" w:type="dxa"/>
              <w:bottom w:w="90" w:type="dxa"/>
              <w:left w:w="100" w:type="dxa"/>
              <w:right w:w="100" w:type="dxa"/>
            </w:tcMar>
          </w:tcPr>
          <w:p>
            <w:pPr>
              <w:spacing w:before="20" w:after="20"/>
            </w:pPr>
            <w:r>
              <w:rPr>
                <w:rFonts w:ascii="Calibri" w:hAnsi="Calibri"/>
                <w:b/>
                <w:color w:val="0F172A"/>
                <w:sz w:val="20"/>
              </w:rPr>
              <w:t>Pure Notification Path (1 listener)</w:t>
            </w:r>
          </w:p>
        </w:tc>
        <w:tc>
          <w:tcPr>
            <w:tcW w:type="dxa" w:w="1872"/>
            <w:vAlign w:val="center"/>
            <w:shd w:fill="FFFFFF"/>
            <w:tcMar>
              <w:top w:w="90" w:type="dxa"/>
              <w:bottom w:w="90" w:type="dxa"/>
              <w:left w:w="100" w:type="dxa"/>
              <w:right w:w="100" w:type="dxa"/>
            </w:tcMar>
          </w:tcPr>
          <w:p>
            <w:pPr>
              <w:spacing w:before="20" w:after="20"/>
            </w:pPr>
            <w:r>
              <w:rPr>
                <w:rFonts w:ascii="Calibri" w:hAnsi="Calibri"/>
                <w:color w:val="475569"/>
                <w:sz w:val="20"/>
              </w:rPr>
              <w:t>0.0331 µs/op</w:t>
            </w:r>
          </w:p>
        </w:tc>
        <w:tc>
          <w:tcPr>
            <w:tcW w:type="dxa" w:w="1872"/>
            <w:vAlign w:val="center"/>
            <w:shd w:fill="FFFFFF"/>
            <w:tcMar>
              <w:top w:w="90" w:type="dxa"/>
              <w:bottom w:w="90" w:type="dxa"/>
              <w:left w:w="100" w:type="dxa"/>
              <w:right w:w="100" w:type="dxa"/>
            </w:tcMar>
          </w:tcPr>
          <w:p>
            <w:pPr>
              <w:spacing w:before="20" w:after="20"/>
            </w:pPr>
            <w:r>
              <w:rPr>
                <w:rFonts w:ascii="Calibri" w:hAnsi="Calibri"/>
                <w:b/>
                <w:color w:val="0284C7"/>
                <w:sz w:val="20"/>
              </w:rPr>
              <w:t>0.0330 µs/op</w:t>
            </w:r>
          </w:p>
        </w:tc>
        <w:tc>
          <w:tcPr>
            <w:tcW w:type="dxa" w:w="2016"/>
            <w:vAlign w:val="center"/>
            <w:shd w:fill="FFFFFF"/>
            <w:tcMar>
              <w:top w:w="90" w:type="dxa"/>
              <w:bottom w:w="90" w:type="dxa"/>
              <w:left w:w="100" w:type="dxa"/>
              <w:right w:w="100" w:type="dxa"/>
            </w:tcMar>
          </w:tcPr>
          <w:p>
            <w:pPr>
              <w:spacing w:before="20" w:after="20"/>
            </w:pPr>
            <w:r>
              <w:rPr>
                <w:rFonts w:ascii="Calibri" w:hAnsi="Calibri"/>
                <w:b/>
                <w:color w:val="475569"/>
                <w:sz w:val="20"/>
              </w:rPr>
              <w:t>Baseline optimal</w:t>
            </w:r>
          </w:p>
        </w:tc>
      </w:tr>
      <w:tr>
        <w:tc>
          <w:tcPr>
            <w:tcW w:type="dxa" w:w="3600"/>
            <w:vAlign w:val="center"/>
            <w:shd w:fill="F8FAFC"/>
            <w:tcMar>
              <w:top w:w="90" w:type="dxa"/>
              <w:bottom w:w="90" w:type="dxa"/>
              <w:left w:w="100" w:type="dxa"/>
              <w:right w:w="100" w:type="dxa"/>
            </w:tcMar>
          </w:tcPr>
          <w:p>
            <w:pPr>
              <w:spacing w:before="20" w:after="20"/>
            </w:pPr>
            <w:r>
              <w:rPr>
                <w:rFonts w:ascii="Calibri" w:hAnsi="Calibri"/>
                <w:b/>
                <w:color w:val="0F172A"/>
                <w:sz w:val="20"/>
              </w:rPr>
              <w:t>High-Load Reactive Audit (30k ops)</w:t>
            </w:r>
          </w:p>
        </w:tc>
        <w:tc>
          <w:tcPr>
            <w:tcW w:type="dxa" w:w="1872"/>
            <w:vAlign w:val="center"/>
            <w:shd w:fill="F8FAFC"/>
            <w:tcMar>
              <w:top w:w="90" w:type="dxa"/>
              <w:bottom w:w="90" w:type="dxa"/>
              <w:left w:w="100" w:type="dxa"/>
              <w:right w:w="100" w:type="dxa"/>
            </w:tcMar>
          </w:tcPr>
          <w:p>
            <w:pPr>
              <w:spacing w:before="20" w:after="20"/>
            </w:pPr>
            <w:r>
              <w:rPr>
                <w:rFonts w:ascii="Calibri" w:hAnsi="Calibri"/>
                <w:color w:val="475569"/>
                <w:sz w:val="20"/>
              </w:rPr>
              <w:t>5.7302 µs/op</w:t>
            </w:r>
          </w:p>
        </w:tc>
        <w:tc>
          <w:tcPr>
            <w:tcW w:type="dxa" w:w="1872"/>
            <w:vAlign w:val="center"/>
            <w:shd w:fill="F8FAFC"/>
            <w:tcMar>
              <w:top w:w="90" w:type="dxa"/>
              <w:bottom w:w="90" w:type="dxa"/>
              <w:left w:w="100" w:type="dxa"/>
              <w:right w:w="100" w:type="dxa"/>
            </w:tcMar>
          </w:tcPr>
          <w:p>
            <w:pPr>
              <w:spacing w:before="20" w:after="20"/>
            </w:pPr>
            <w:r>
              <w:rPr>
                <w:rFonts w:ascii="Calibri" w:hAnsi="Calibri"/>
                <w:b/>
                <w:color w:val="0284C7"/>
                <w:sz w:val="20"/>
              </w:rPr>
              <w:t>5.6879 µs/op</w:t>
            </w:r>
          </w:p>
        </w:tc>
        <w:tc>
          <w:tcPr>
            <w:tcW w:type="dxa" w:w="2016"/>
            <w:vAlign w:val="center"/>
            <w:shd w:fill="F8FAFC"/>
            <w:tcMar>
              <w:top w:w="90" w:type="dxa"/>
              <w:bottom w:w="90" w:type="dxa"/>
              <w:left w:w="100" w:type="dxa"/>
              <w:right w:w="100" w:type="dxa"/>
            </w:tcMar>
          </w:tcPr>
          <w:p>
            <w:pPr>
              <w:spacing w:before="20" w:after="20"/>
            </w:pPr>
            <w:r>
              <w:rPr>
                <w:rFonts w:ascii="Calibri" w:hAnsi="Calibri"/>
                <w:b/>
                <w:color w:val="475569"/>
                <w:sz w:val="20"/>
              </w:rPr>
              <w:t>Sustained high throughput</w:t>
            </w:r>
          </w:p>
        </w:tc>
      </w:tr>
    </w:tbl>
    <w:p/>
    <w:p>
      <w:pPr>
        <w:pStyle w:val="Heading1"/>
        <w:spacing w:before="360" w:after="160"/>
      </w:pPr>
      <w:r>
        <w:rPr>
          <w:rFonts w:ascii="Arial" w:hAnsi="Arial"/>
          <w:b/>
          <w:color w:val="0F172A"/>
          <w:sz w:val="32"/>
        </w:rPr>
        <w:t>Getting Started with SINT 1.6.0</w:t>
      </w:r>
    </w:p>
    <w:p>
      <w:r>
        <w:t>Upgrading is immediate and seamless. Update your pubspec.yaml file: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2" w:space="0" w:color="0284C7"/>
              <w:bottom w:val="single" w:sz="4" w:space="0" w:color="CBD5E1"/>
              <w:right w:val="single" w:sz="4" w:space="0" w:color="CBD5E1"/>
            </w:tcBorders>
          </w:tcPr>
          <w:p>
            <w:pPr>
              <w:spacing w:before="40" w:after="40" w:line="276" w:lineRule="auto"/>
            </w:pPr>
            <w:r>
              <w:rPr>
                <w:rFonts w:ascii="Consolas" w:hAnsi="Consolas"/>
                <w:color w:val="0F172A"/>
                <w:sz w:val="19"/>
              </w:rPr>
              <w:t>dependencies:</w:t>
              <w:br/>
              <w:t xml:space="preserve">  sint: ^1.6.0</w:t>
            </w:r>
          </w:p>
        </w:tc>
      </w:tr>
    </w:tbl>
    <w:p/>
    <w:p>
      <w:r>
        <w:t>Run flutter pub get, and your Flutter application will immediately benefit from 10× faster dependency lookups, bulletproof reactive collections, and hardened error boundaries—with zero migration code required.</w:t>
      </w:r>
    </w:p>
    <w:p>
      <w:pPr>
        <w:pStyle w:val="Heading1"/>
        <w:spacing w:before="360" w:after="160"/>
      </w:pPr>
      <w:r>
        <w:rPr>
          <w:rFonts w:ascii="Arial" w:hAnsi="Arial"/>
          <w:b/>
          <w:color w:val="0F172A"/>
          <w:sz w:val="32"/>
        </w:rPr>
        <w:t>Looking Ahead: The Path Toward SINT 2.0.0</w:t>
      </w:r>
    </w:p>
    <w:p>
      <w:r>
        <w:t>SINT 1.6.0 represents another massive milestone in our roadmap. Every minor release in the 1.x line continues to push the envelope of Flutter performance, developer productivity, and platform elegance. As we march toward Horizon 2 (navigation-scoped reactive containers and DevTools extensions), SINT establishes itself as the premier choice for high-fidelity, enterprise-grade Flutter architecture.</w:t>
      </w:r>
    </w:p>
    <w:p>
      <w:r>
        <w:t>Explore the package, read the full documentation, and join the Open Neom ecosystem:</w:t>
      </w:r>
    </w:p>
    <w:p>
      <w:pPr>
        <w:pStyle w:val="ListBullet"/>
        <w:spacing w:after="80"/>
      </w:pPr>
      <w:r>
        <w:rPr>
          <w:b/>
        </w:rPr>
        <w:t xml:space="preserve">Pub.dev Package: </w:t>
      </w:r>
      <w:r>
        <w:t>https://pub.dev/packages/sint</w:t>
      </w:r>
    </w:p>
    <w:p>
      <w:pPr>
        <w:pStyle w:val="ListBullet"/>
        <w:spacing w:after="80"/>
      </w:pPr>
      <w:r>
        <w:rPr>
          <w:b/>
        </w:rPr>
        <w:t xml:space="preserve">GitHub Repository: </w:t>
      </w:r>
      <w:r>
        <w:t>https://github.com/Open-Neom/sint</w:t>
      </w:r>
    </w:p>
    <w:p>
      <w:pPr>
        <w:pStyle w:val="ListBullet"/>
        <w:spacing w:after="240"/>
      </w:pPr>
      <w:r>
        <w:rPr>
          <w:b/>
        </w:rPr>
        <w:t xml:space="preserve">Roadmap &amp; Technical Documentation: </w:t>
      </w:r>
      <w:r>
        <w:t>https://github.com/Open-Neom/sint/blob/main/ROADMAP.md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