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634033">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634033">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634033">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634033">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634033">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634033">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634033">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634033">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634033">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634033">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634033">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4AC52DC" w:rsidR="00722ED2" w:rsidRPr="004B3AE3" w:rsidRDefault="001C0F49"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Fault Management</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7C9DC574" w:rsidR="001D1E3B" w:rsidRDefault="001D1E3B" w:rsidP="001D1E3B">
      <w:r>
        <w:t>&lt;param key='model_path' value='</w:t>
      </w:r>
      <w:r w:rsidRPr="007370C3">
        <w:rPr>
          <w:highlight w:val="yellow"/>
          <w:lang w:val="en-GB"/>
        </w:rPr>
        <w:t>C:\Users\amazzini\ONF-TAPI-2.</w:t>
      </w:r>
      <w:r w:rsidR="0031554B">
        <w:rPr>
          <w:highlight w:val="yellow"/>
          <w:lang w:val="en-GB"/>
        </w:rPr>
        <w:t>4.0</w:t>
      </w:r>
      <w:r w:rsidR="00454B23">
        <w:t>-DoNotEdit</w:t>
      </w:r>
      <w:r w:rsidRPr="007370C3">
        <w:rPr>
          <w:highlight w:val="yellow"/>
          <w:lang w:val="en-GB"/>
        </w:rPr>
        <w:t>\TAPI\UML\</w:t>
      </w:r>
      <w:r>
        <w:t>'/&gt;</w:t>
      </w:r>
    </w:p>
    <w:p w14:paraId="4C7282D2" w14:textId="3EAC478F" w:rsidR="001D1E3B" w:rsidRDefault="001D1E3B" w:rsidP="001D1E3B">
      <w:r>
        <w:t>&lt;param key='model_name' value=</w:t>
      </w:r>
      <w:r w:rsidRPr="00FA323C">
        <w:rPr>
          <w:highlight w:val="yellow"/>
        </w:rPr>
        <w:t>'</w:t>
      </w:r>
      <w:r w:rsidRPr="00FA323C">
        <w:rPr>
          <w:highlight w:val="yellow"/>
          <w:lang w:val="en-GB"/>
        </w:rPr>
        <w:t>Tapi</w:t>
      </w:r>
      <w:r w:rsidR="001C0F49">
        <w:rPr>
          <w:highlight w:val="yellow"/>
          <w:lang w:val="en-GB"/>
        </w:rPr>
        <w:t>Fm</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C602" w14:textId="77777777" w:rsidR="00634033" w:rsidRDefault="00634033" w:rsidP="005752F2">
      <w:pPr>
        <w:spacing w:after="0"/>
      </w:pPr>
      <w:r>
        <w:separator/>
      </w:r>
    </w:p>
  </w:endnote>
  <w:endnote w:type="continuationSeparator" w:id="0">
    <w:p w14:paraId="2B508AEB" w14:textId="77777777" w:rsidR="00634033" w:rsidRDefault="00634033" w:rsidP="005752F2">
      <w:pPr>
        <w:spacing w:after="0"/>
      </w:pPr>
      <w:r>
        <w:continuationSeparator/>
      </w:r>
    </w:p>
  </w:endnote>
  <w:endnote w:type="continuationNotice" w:id="1">
    <w:p w14:paraId="092D12F4" w14:textId="77777777" w:rsidR="00634033" w:rsidRDefault="006340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8C51F" w14:textId="77777777" w:rsidR="00634033" w:rsidRDefault="00634033" w:rsidP="005752F2">
      <w:pPr>
        <w:spacing w:after="0"/>
      </w:pPr>
      <w:r>
        <w:separator/>
      </w:r>
    </w:p>
  </w:footnote>
  <w:footnote w:type="continuationSeparator" w:id="0">
    <w:p w14:paraId="6D776A17" w14:textId="77777777" w:rsidR="00634033" w:rsidRDefault="00634033" w:rsidP="005752F2">
      <w:pPr>
        <w:spacing w:after="0"/>
      </w:pPr>
      <w:r>
        <w:continuationSeparator/>
      </w:r>
    </w:p>
  </w:footnote>
  <w:footnote w:type="continuationNotice" w:id="1">
    <w:p w14:paraId="0FEFA799" w14:textId="77777777" w:rsidR="00634033" w:rsidRDefault="006340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4B23"/>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033"/>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2264</Words>
  <Characters>12906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2022-12-21T15:39:00Z</dcterms:created>
  <dcterms:modified xsi:type="dcterms:W3CDTF">2022-12-22T14:25:00Z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