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90754D" w:rsidP="0090754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_Ref435441010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illustrates the </w:t>
      </w:r>
      <w:r>
        <w:rPr>
          <w:rFonts w:hint="eastAsia"/>
          <w:lang w:eastAsia="zh-CN"/>
        </w:rPr>
        <w:t>project</w:t>
      </w:r>
      <w:r>
        <w:rPr>
          <w:rFonts w:hint="eastAsia"/>
        </w:rPr>
        <w:t xml:space="preserve"> structure of the</w:t>
      </w:r>
      <w:r>
        <w:rPr>
          <w:rFonts w:hint="eastAsia"/>
          <w:lang w:eastAsia="zh-CN"/>
        </w:rPr>
        <w:t xml:space="preserve"> UML</w:t>
      </w:r>
      <w:r>
        <w:rPr>
          <w:rFonts w:hint="eastAsia"/>
        </w:rPr>
        <w:t xml:space="preserve">-to-YANG mapping tool. The main functions and project entry is in the main.js, which uses UML files as input </w:t>
      </w:r>
      <w:r>
        <w:rPr>
          <w:rFonts w:hint="eastAsia"/>
          <w:lang w:eastAsia="zh-CN"/>
        </w:rPr>
        <w:t xml:space="preserve">and generates </w:t>
      </w:r>
      <w:r>
        <w:rPr>
          <w:rFonts w:hint="eastAsia"/>
        </w:rPr>
        <w:t xml:space="preserve">yang files as output. The left side </w:t>
      </w:r>
      <w:r>
        <w:rPr>
          <w:rFonts w:hint="eastAsia"/>
          <w:lang w:eastAsia="zh-CN"/>
        </w:rPr>
        <w:t xml:space="preserve">modules </w:t>
      </w:r>
      <w:r>
        <w:rPr>
          <w:rFonts w:hint="eastAsia"/>
        </w:rPr>
        <w:t>of the main doc.js relate to UML object classes extraction and analysis. T</w:t>
      </w:r>
      <w:r>
        <w:t>h</w:t>
      </w:r>
      <w:r>
        <w:rPr>
          <w:rFonts w:hint="eastAsia"/>
        </w:rPr>
        <w:t xml:space="preserve">e right side </w:t>
      </w:r>
      <w:r>
        <w:rPr>
          <w:rFonts w:hint="eastAsia"/>
          <w:lang w:eastAsia="zh-CN"/>
        </w:rPr>
        <w:t>modules</w:t>
      </w:r>
      <w:r>
        <w:rPr>
          <w:rFonts w:hint="eastAsia"/>
        </w:rPr>
        <w:t xml:space="preserve"> of the main.js relate to yang objects generation.</w:t>
      </w:r>
    </w:p>
    <w:p w:rsidR="0019469E" w:rsidRDefault="0019469E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1844566" wp14:editId="7A67420C">
            <wp:extent cx="4111995" cy="3082881"/>
            <wp:effectExtent l="0" t="0" r="0" b="0"/>
            <wp:docPr id="2" name="图片 2" descr="C:\Users\think\Desktop\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幻灯片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767" cy="30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Pr="00837FE0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UML files and the generated yang files.</w:t>
      </w:r>
    </w:p>
    <w:p w:rsidR="0019469E" w:rsidRDefault="0019469E" w:rsidP="0019469E">
      <w:pPr>
        <w:pStyle w:val="1"/>
      </w:pPr>
      <w:r>
        <w:rPr>
          <w:rFonts w:hint="eastAsia"/>
        </w:rPr>
        <w:t>Implemented Mapping Rule</w:t>
      </w:r>
      <w:r w:rsidR="00BC456A">
        <w:rPr>
          <w:rFonts w:hint="eastAsia"/>
          <w:lang w:eastAsia="zh-CN"/>
        </w:rPr>
        <w:t>s</w:t>
      </w:r>
      <w:r>
        <w:rPr>
          <w:rFonts w:hint="eastAsia"/>
        </w:rPr>
        <w:t xml:space="preserve"> </w:t>
      </w: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19469E" w:rsidRPr="004919D2" w:rsidTr="00266AAF">
        <w:tc>
          <w:tcPr>
            <w:tcW w:w="2261" w:type="dxa"/>
            <w:shd w:val="clear" w:color="auto" w:fill="EEF1A5" w:themeFill="accent2" w:themeFillTint="66"/>
          </w:tcPr>
          <w:p w:rsidR="0019469E" w:rsidRPr="004919D2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4919D2">
              <w:rPr>
                <w:szCs w:val="24"/>
              </w:rPr>
              <w:t xml:space="preserve">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19469E" w:rsidRPr="004919D2" w:rsidRDefault="0019469E" w:rsidP="00266AAF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4919D2" w:rsidTr="00266AAF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19469E" w:rsidRPr="004919D2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19469E" w:rsidRPr="004919D2" w:rsidRDefault="0019469E" w:rsidP="00266AAF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4919D2" w:rsidTr="00266AAF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19469E" w:rsidRPr="003B13DA" w:rsidRDefault="0019469E" w:rsidP="00266AAF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lastRenderedPageBreak/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19469E" w:rsidRDefault="0019469E" w:rsidP="00266AA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19469E" w:rsidRPr="004919D2" w:rsidTr="00266AAF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19469E" w:rsidRPr="004919D2" w:rsidRDefault="0019469E" w:rsidP="00266AAF">
            <w:pPr>
              <w:rPr>
                <w:szCs w:val="24"/>
              </w:rPr>
            </w:pPr>
            <w:r w:rsidRPr="004919D2">
              <w:rPr>
                <w:szCs w:val="24"/>
              </w:rPr>
              <w:lastRenderedPageBreak/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19469E" w:rsidRPr="00946A57" w:rsidRDefault="0019469E" w:rsidP="00266AAF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19469E" w:rsidRPr="00986FE9" w:rsidTr="00266AAF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19469E" w:rsidRPr="00986FE9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986FE9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986FE9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19469E" w:rsidRDefault="0019469E" w:rsidP="00266AAF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986FE9" w:rsidTr="00266AAF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266AAF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t>Multiplicity</w:t>
            </w:r>
            <w:bookmarkEnd w:id="2"/>
            <w:bookmarkEnd w:id="3"/>
          </w:p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19469E" w:rsidRPr="00986FE9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19469E" w:rsidRPr="00244D09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986FE9" w:rsidTr="00266AAF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lastRenderedPageBreak/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19469E" w:rsidRPr="0060788A" w:rsidTr="00266AAF">
        <w:tc>
          <w:tcPr>
            <w:tcW w:w="2246" w:type="dxa"/>
            <w:shd w:val="clear" w:color="auto" w:fill="EEF1A5" w:themeFill="accent2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60788A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60788A" w:rsidTr="00266AAF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60788A" w:rsidTr="00266AAF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60788A" w:rsidTr="00266AAF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19469E" w:rsidRPr="0060788A" w:rsidTr="00266AAF">
        <w:tc>
          <w:tcPr>
            <w:tcW w:w="2284" w:type="dxa"/>
            <w:shd w:val="clear" w:color="auto" w:fill="EEF1A5" w:themeFill="accent2" w:themeFillTint="66"/>
          </w:tcPr>
          <w:p w:rsidR="0019469E" w:rsidRPr="0060788A" w:rsidRDefault="0019469E" w:rsidP="00266AAF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60788A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60788A" w:rsidRDefault="0019469E" w:rsidP="00266AAF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60788A" w:rsidTr="00266AAF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B9286F" w:rsidTr="00266AAF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19469E" w:rsidRPr="00B9286F" w:rsidRDefault="0019469E" w:rsidP="00266AAF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B9286F" w:rsidRDefault="0019469E" w:rsidP="00266AAF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B9286F" w:rsidTr="00266AAF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19469E" w:rsidRPr="00B9286F" w:rsidRDefault="0019469E" w:rsidP="00266AAF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B9286F" w:rsidRDefault="0019469E" w:rsidP="00266AAF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B9286F" w:rsidTr="00266AAF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19469E" w:rsidRDefault="0019469E" w:rsidP="00266AAF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C27849" w:rsidRDefault="0019469E" w:rsidP="00266AAF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19469E" w:rsidRPr="0060788A" w:rsidTr="00266AAF">
        <w:tc>
          <w:tcPr>
            <w:tcW w:w="2258" w:type="dxa"/>
            <w:shd w:val="clear" w:color="auto" w:fill="EEF1A5" w:themeFill="accent2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60788A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9469E" w:rsidRDefault="0019469E" w:rsidP="00266AAF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60788A" w:rsidTr="00266AAF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60788A" w:rsidTr="00266AAF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19469E" w:rsidRPr="0060788A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60788A" w:rsidTr="00266AAF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19469E" w:rsidRPr="00F517BF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60788A" w:rsidTr="00266AAF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862846" w:rsidRDefault="0019469E" w:rsidP="00266AAF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19469E" w:rsidRDefault="0019469E" w:rsidP="00266AAF">
            <w:pPr>
              <w:ind w:firstLine="360"/>
              <w:rPr>
                <w:szCs w:val="24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19469E" w:rsidRPr="0060788A" w:rsidTr="00266AAF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60788A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60788A" w:rsidRDefault="0019469E" w:rsidP="0019469E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60788A" w:rsidTr="00266AAF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60788A" w:rsidTr="00266AAF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19469E" w:rsidRPr="00A20B1D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60788A" w:rsidTr="00266AAF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19469E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lastRenderedPageBreak/>
        <w:t>Interface Mapping</w:t>
      </w:r>
    </w:p>
    <w:tbl>
      <w:tblPr>
        <w:tblStyle w:val="ac"/>
        <w:tblW w:w="0" w:type="auto"/>
        <w:tblInd w:w="-2358" w:type="dxa"/>
        <w:tblLook w:val="04A0" w:firstRow="1" w:lastRow="0" w:firstColumn="1" w:lastColumn="0" w:noHBand="0" w:noVBand="1"/>
      </w:tblPr>
      <w:tblGrid>
        <w:gridCol w:w="2224"/>
        <w:gridCol w:w="2835"/>
        <w:gridCol w:w="2306"/>
      </w:tblGrid>
      <w:tr w:rsidR="0019469E" w:rsidRPr="0060788A" w:rsidTr="00266AAF">
        <w:trPr>
          <w:tblHeader w:val="0"/>
        </w:trPr>
        <w:tc>
          <w:tcPr>
            <w:tcW w:w="2224" w:type="dxa"/>
            <w:shd w:val="clear" w:color="auto" w:fill="EEF1A5" w:themeFill="accent2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60788A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60788A" w:rsidTr="00266AAF">
        <w:trPr>
          <w:tblHeader w:val="0"/>
        </w:trPr>
        <w:tc>
          <w:tcPr>
            <w:tcW w:w="2224" w:type="dxa"/>
            <w:shd w:val="clear" w:color="auto" w:fill="F6F8D2" w:themeFill="accent2" w:themeFillTint="33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  <w:bookmarkStart w:id="8" w:name="OLE_LINK17"/>
            <w:bookmarkStart w:id="9" w:name="OLE_LINK18"/>
            <w:r>
              <w:rPr>
                <w:rFonts w:hint="eastAsia"/>
                <w:szCs w:val="24"/>
                <w:lang w:val="fr-FR" w:eastAsia="zh-CN"/>
              </w:rPr>
              <w:t xml:space="preserve"> comment</w:t>
            </w:r>
            <w:bookmarkEnd w:id="8"/>
            <w:bookmarkEnd w:id="9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60788A" w:rsidRDefault="0019469E" w:rsidP="00266AAF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06" w:type="dxa"/>
          </w:tcPr>
          <w:p w:rsidR="0019469E" w:rsidRPr="0060788A" w:rsidRDefault="0019469E" w:rsidP="00266AAF">
            <w:pPr>
              <w:rPr>
                <w:szCs w:val="24"/>
                <w:lang w:eastAsia="zh-CN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19469E" w:rsidRPr="00F13510" w:rsidTr="00266AAF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19469E" w:rsidRPr="00F13510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F13510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19469E" w:rsidRPr="00F13510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F13510" w:rsidTr="00266AAF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19469E" w:rsidRPr="00F13510" w:rsidRDefault="0019469E" w:rsidP="00266AAF">
            <w:pPr>
              <w:rPr>
                <w:szCs w:val="24"/>
                <w:lang w:eastAsia="zh-CN"/>
              </w:rPr>
            </w:pPr>
          </w:p>
        </w:tc>
      </w:tr>
      <w:tr w:rsidR="0019469E" w:rsidRPr="00F13510" w:rsidTr="00266AAF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19469E" w:rsidRPr="00F13510" w:rsidRDefault="0019469E" w:rsidP="00266AAF">
            <w:pPr>
              <w:rPr>
                <w:szCs w:val="24"/>
                <w:lang w:eastAsia="zh-CN"/>
              </w:rPr>
            </w:pP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992" w:type="dxa"/>
        <w:tblLook w:val="04A0" w:firstRow="1" w:lastRow="0" w:firstColumn="1" w:lastColumn="0" w:noHBand="0" w:noVBand="1"/>
      </w:tblPr>
      <w:tblGrid>
        <w:gridCol w:w="2207"/>
        <w:gridCol w:w="3069"/>
        <w:gridCol w:w="2289"/>
      </w:tblGrid>
      <w:tr w:rsidR="0019469E" w:rsidRPr="00A652F6" w:rsidTr="00266AAF">
        <w:trPr>
          <w:cantSplit/>
        </w:trPr>
        <w:tc>
          <w:tcPr>
            <w:tcW w:w="2207" w:type="dxa"/>
            <w:shd w:val="clear" w:color="auto" w:fill="EEF1A5" w:themeFill="accent2" w:themeFillTint="66"/>
          </w:tcPr>
          <w:p w:rsidR="0019469E" w:rsidRPr="00A652F6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A652F6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A652F6" w:rsidRDefault="0019469E" w:rsidP="00266AAF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19469E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A652F6" w:rsidTr="00266AAF">
        <w:trPr>
          <w:cantSplit/>
          <w:tblHeader w:val="0"/>
        </w:trPr>
        <w:tc>
          <w:tcPr>
            <w:tcW w:w="2207" w:type="dxa"/>
            <w:shd w:val="clear" w:color="auto" w:fill="F6F8D2" w:themeFill="accent2" w:themeFillTint="33"/>
          </w:tcPr>
          <w:p w:rsidR="0019469E" w:rsidRPr="00A652F6" w:rsidRDefault="0019469E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A652F6" w:rsidRDefault="0019469E" w:rsidP="00266AAF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9" w:type="dxa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A652F6" w:rsidTr="00266AAF">
        <w:trPr>
          <w:cantSplit/>
          <w:tblHeader w:val="0"/>
        </w:trPr>
        <w:tc>
          <w:tcPr>
            <w:tcW w:w="2207" w:type="dxa"/>
            <w:shd w:val="clear" w:color="auto" w:fill="F6F8D2" w:themeFill="accent2" w:themeFillTint="33"/>
          </w:tcPr>
          <w:p w:rsidR="0019469E" w:rsidRPr="00A652F6" w:rsidRDefault="0019469E" w:rsidP="00266AAF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A652F6" w:rsidRDefault="0019469E" w:rsidP="00266AAF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9" w:type="dxa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A652F6" w:rsidTr="00266AAF">
        <w:trPr>
          <w:cantSplit/>
          <w:tblHeader w:val="0"/>
        </w:trPr>
        <w:tc>
          <w:tcPr>
            <w:tcW w:w="2207" w:type="dxa"/>
            <w:shd w:val="clear" w:color="auto" w:fill="F6F8D2" w:themeFill="accent2" w:themeFillTint="33"/>
          </w:tcPr>
          <w:p w:rsidR="0019469E" w:rsidRPr="00A652F6" w:rsidRDefault="0019469E" w:rsidP="00266AAF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19469E" w:rsidRPr="00A652F6" w:rsidRDefault="0019469E" w:rsidP="00266AAF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89" w:type="dxa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A652F6" w:rsidTr="00266AAF">
        <w:trPr>
          <w:cantSplit/>
          <w:tblHeader w:val="0"/>
        </w:trPr>
        <w:tc>
          <w:tcPr>
            <w:tcW w:w="2207" w:type="dxa"/>
            <w:shd w:val="clear" w:color="auto" w:fill="F6F8D2" w:themeFill="accent2" w:themeFillTint="33"/>
          </w:tcPr>
          <w:p w:rsidR="0019469E" w:rsidRPr="00A652F6" w:rsidRDefault="0019469E" w:rsidP="00266AAF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  <w:tc>
          <w:tcPr>
            <w:tcW w:w="2289" w:type="dxa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A652F6" w:rsidTr="00266AAF">
        <w:trPr>
          <w:cantSplit/>
          <w:tblHeader w:val="0"/>
        </w:trPr>
        <w:tc>
          <w:tcPr>
            <w:tcW w:w="2207" w:type="dxa"/>
            <w:shd w:val="clear" w:color="auto" w:fill="F6F8D2" w:themeFill="accent2" w:themeFillTint="33"/>
          </w:tcPr>
          <w:p w:rsidR="0019469E" w:rsidRPr="00A652F6" w:rsidRDefault="0019469E" w:rsidP="00266AAF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  <w:tc>
          <w:tcPr>
            <w:tcW w:w="2289" w:type="dxa"/>
          </w:tcPr>
          <w:p w:rsidR="0019469E" w:rsidRPr="00A652F6" w:rsidRDefault="0019469E" w:rsidP="00266AAF">
            <w:pPr>
              <w:ind w:firstLine="360"/>
              <w:rPr>
                <w:szCs w:val="24"/>
              </w:rPr>
            </w:pPr>
          </w:p>
        </w:tc>
      </w:tr>
      <w:tr w:rsidR="0019469E" w:rsidRPr="00EB3EA4" w:rsidTr="00266AAF">
        <w:trPr>
          <w:cantSplit/>
          <w:tblHeader w:val="0"/>
        </w:trPr>
        <w:tc>
          <w:tcPr>
            <w:tcW w:w="2207" w:type="dxa"/>
            <w:shd w:val="clear" w:color="auto" w:fill="F6F8D2" w:themeFill="accent2" w:themeFillTint="33"/>
          </w:tcPr>
          <w:p w:rsidR="0019469E" w:rsidRPr="00EB3EA4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EB3EA4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89" w:type="dxa"/>
          </w:tcPr>
          <w:p w:rsidR="0019469E" w:rsidRPr="00EB3EA4" w:rsidRDefault="0019469E" w:rsidP="00266AAF">
            <w:pPr>
              <w:ind w:firstLine="360"/>
              <w:rPr>
                <w:szCs w:val="24"/>
              </w:rPr>
            </w:pPr>
          </w:p>
        </w:tc>
      </w:tr>
    </w:tbl>
    <w:p w:rsidR="0019469E" w:rsidRDefault="0019469E" w:rsidP="0019469E">
      <w:pPr>
        <w:pStyle w:val="1"/>
      </w:pPr>
      <w:r>
        <w:rPr>
          <w:rFonts w:hint="eastAsia"/>
        </w:rPr>
        <w:t>Mapping Rule</w:t>
      </w:r>
      <w:r w:rsidR="00BC456A">
        <w:rPr>
          <w:rFonts w:hint="eastAsia"/>
          <w:lang w:eastAsia="zh-CN"/>
        </w:rPr>
        <w:t>s Not</w:t>
      </w:r>
      <w:r w:rsidR="00BC456A">
        <w:rPr>
          <w:rFonts w:hint="eastAsia"/>
        </w:rPr>
        <w:t xml:space="preserve"> Implemented</w:t>
      </w:r>
      <w:r w:rsidR="00BC456A">
        <w:rPr>
          <w:rFonts w:hint="eastAsia"/>
          <w:lang w:eastAsia="zh-CN"/>
        </w:rPr>
        <w:t xml:space="preserve"> Yet</w:t>
      </w: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942" w:type="dxa"/>
        <w:tblLook w:val="04A0" w:firstRow="1" w:lastRow="0" w:firstColumn="1" w:lastColumn="0" w:noHBand="0" w:noVBand="1"/>
      </w:tblPr>
      <w:tblGrid>
        <w:gridCol w:w="2789"/>
        <w:gridCol w:w="2835"/>
        <w:gridCol w:w="2293"/>
      </w:tblGrid>
      <w:tr w:rsidR="0019469E" w:rsidRPr="004919D2" w:rsidTr="006A238F">
        <w:tc>
          <w:tcPr>
            <w:tcW w:w="2789" w:type="dxa"/>
            <w:shd w:val="clear" w:color="auto" w:fill="EEF1A5" w:themeFill="accent2" w:themeFillTint="66"/>
          </w:tcPr>
          <w:p w:rsidR="0019469E" w:rsidRPr="004919D2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4919D2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4919D2" w:rsidRDefault="0019469E" w:rsidP="0019469E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19469E" w:rsidRDefault="00BC456A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6A238F" w:rsidRPr="004919D2" w:rsidTr="006A238F">
        <w:trPr>
          <w:tblHeader w:val="0"/>
        </w:trPr>
        <w:tc>
          <w:tcPr>
            <w:tcW w:w="2789" w:type="dxa"/>
            <w:shd w:val="clear" w:color="auto" w:fill="F6F8D2" w:themeFill="accent2" w:themeFillTint="33"/>
          </w:tcPr>
          <w:p w:rsidR="006A238F" w:rsidRPr="004919D2" w:rsidRDefault="006A238F" w:rsidP="00266AAF">
            <w:pPr>
              <w:rPr>
                <w:szCs w:val="24"/>
              </w:rPr>
            </w:pPr>
            <w:bookmarkStart w:id="10" w:name="OLE_LINK1"/>
            <w:bookmarkStart w:id="11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10"/>
            <w:bookmarkEnd w:id="11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6A238F" w:rsidRPr="004919D2" w:rsidRDefault="006A238F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293" w:type="dxa"/>
          </w:tcPr>
          <w:p w:rsidR="006A238F" w:rsidRDefault="006A238F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4919D2" w:rsidTr="006A238F">
        <w:trPr>
          <w:tblHeader w:val="0"/>
        </w:trPr>
        <w:tc>
          <w:tcPr>
            <w:tcW w:w="2789" w:type="dxa"/>
            <w:shd w:val="clear" w:color="auto" w:fill="F6F8D2" w:themeFill="accent2" w:themeFillTint="33"/>
          </w:tcPr>
          <w:p w:rsidR="0019469E" w:rsidRPr="004919D2" w:rsidRDefault="0019469E" w:rsidP="00266AAF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4919D2" w:rsidRDefault="0019469E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293" w:type="dxa"/>
          </w:tcPr>
          <w:p w:rsidR="0019469E" w:rsidRDefault="00BC456A" w:rsidP="006A238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</w:t>
            </w:r>
            <w:r w:rsidR="0019469E"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6A238F" w:rsidRPr="004919D2" w:rsidTr="006A238F">
        <w:trPr>
          <w:tblHeader w:val="0"/>
        </w:trPr>
        <w:tc>
          <w:tcPr>
            <w:tcW w:w="2789" w:type="dxa"/>
            <w:shd w:val="clear" w:color="auto" w:fill="F6F8D2" w:themeFill="accent2" w:themeFillTint="33"/>
          </w:tcPr>
          <w:p w:rsidR="006A238F" w:rsidRPr="004919D2" w:rsidRDefault="006A238F" w:rsidP="00266AAF">
            <w:pPr>
              <w:rPr>
                <w:szCs w:val="24"/>
              </w:rPr>
            </w:pPr>
            <w:bookmarkStart w:id="12" w:name="OLE_LINK3"/>
            <w:bookmarkStart w:id="13" w:name="OLE_LINK4"/>
            <w:r w:rsidRPr="004919D2">
              <w:rPr>
                <w:szCs w:val="24"/>
              </w:rPr>
              <w:t>support</w:t>
            </w:r>
            <w:bookmarkEnd w:id="12"/>
            <w:bookmarkEnd w:id="13"/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6A238F" w:rsidRPr="004919D2" w:rsidRDefault="006A238F" w:rsidP="0019469E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93" w:type="dxa"/>
          </w:tcPr>
          <w:p w:rsidR="006A238F" w:rsidRDefault="006A238F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6A238F" w:rsidRPr="004919D2" w:rsidTr="006A238F">
        <w:trPr>
          <w:tblHeader w:val="0"/>
        </w:trPr>
        <w:tc>
          <w:tcPr>
            <w:tcW w:w="2789" w:type="dxa"/>
            <w:shd w:val="clear" w:color="auto" w:fill="F6F8D2" w:themeFill="accent2" w:themeFillTint="33"/>
          </w:tcPr>
          <w:p w:rsidR="006A238F" w:rsidRPr="004919D2" w:rsidRDefault="006A238F" w:rsidP="00266AAF">
            <w:pPr>
              <w:rPr>
                <w:szCs w:val="24"/>
                <w:lang w:eastAsia="zh-CN"/>
              </w:rPr>
            </w:pPr>
            <w:bookmarkStart w:id="14" w:name="OLE_LINK5"/>
            <w:bookmarkStart w:id="15" w:name="OLE_LINK6"/>
            <w:r w:rsidRPr="004919D2">
              <w:rPr>
                <w:szCs w:val="24"/>
              </w:rPr>
              <w:t>condition</w:t>
            </w:r>
            <w:bookmarkEnd w:id="14"/>
            <w:bookmarkEnd w:id="15"/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6A238F" w:rsidRPr="004919D2" w:rsidRDefault="006A238F" w:rsidP="0019469E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93" w:type="dxa"/>
          </w:tcPr>
          <w:p w:rsidR="006A238F" w:rsidRDefault="006A238F" w:rsidP="00266AAF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205C12" w:rsidTr="006A238F">
        <w:trPr>
          <w:tblHeader w:val="0"/>
        </w:trPr>
        <w:tc>
          <w:tcPr>
            <w:tcW w:w="2789" w:type="dxa"/>
            <w:shd w:val="clear" w:color="auto" w:fill="F6F8D2" w:themeFill="accent2" w:themeFillTint="33"/>
          </w:tcPr>
          <w:p w:rsidR="0019469E" w:rsidRPr="00205C12" w:rsidRDefault="0019469E" w:rsidP="00266AAF">
            <w:pPr>
              <w:rPr>
                <w:szCs w:val="24"/>
              </w:rPr>
            </w:pPr>
            <w:bookmarkStart w:id="16" w:name="OLE_LINK7"/>
            <w:bookmarkStart w:id="17" w:name="OLE_LINK8"/>
            <w:r>
              <w:rPr>
                <w:szCs w:val="24"/>
              </w:rPr>
              <w:t>operation</w:t>
            </w:r>
            <w:bookmarkEnd w:id="16"/>
            <w:bookmarkEnd w:id="17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205C12" w:rsidRDefault="0019469E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93" w:type="dxa"/>
          </w:tcPr>
          <w:p w:rsidR="0019469E" w:rsidRPr="00B83A47" w:rsidRDefault="002D73E8" w:rsidP="00BC456A">
            <w:pPr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CIM UML </w:t>
            </w:r>
            <w:r w:rsidR="0019469E">
              <w:rPr>
                <w:rFonts w:hint="eastAsia"/>
                <w:szCs w:val="24"/>
                <w:lang w:eastAsia="zh-CN"/>
              </w:rPr>
              <w:t>doesn</w:t>
            </w:r>
            <w:r w:rsidR="0019469E">
              <w:rPr>
                <w:szCs w:val="24"/>
                <w:lang w:eastAsia="zh-CN"/>
              </w:rPr>
              <w:t>’</w:t>
            </w:r>
            <w:r w:rsidR="0019469E">
              <w:rPr>
                <w:rFonts w:hint="eastAsia"/>
                <w:szCs w:val="24"/>
                <w:lang w:eastAsia="zh-CN"/>
              </w:rPr>
              <w:t xml:space="preserve">t have this </w:t>
            </w:r>
            <w:r w:rsidR="0019469E">
              <w:rPr>
                <w:szCs w:val="24"/>
                <w:lang w:eastAsia="zh-CN"/>
              </w:rPr>
              <w:t>artifact</w:t>
            </w:r>
            <w:r w:rsidR="0019469E"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19469E" w:rsidRPr="00986FE9" w:rsidTr="00266AAF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19469E" w:rsidRPr="00986FE9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986FE9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19469E" w:rsidRDefault="00F4071B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284" w:type="dxa"/>
          </w:tcPr>
          <w:p w:rsidR="0019469E" w:rsidRPr="00CC150D" w:rsidRDefault="00F4071B" w:rsidP="00F4071B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Just use </w:t>
            </w: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system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by default?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19469E" w:rsidRDefault="00F4071B" w:rsidP="00F4071B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4" w:type="dxa"/>
          </w:tcPr>
          <w:p w:rsidR="0019469E" w:rsidRDefault="00F4071B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A857BD" w:rsidTr="00266AAF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passedBy</w:t>
            </w:r>
            <w:r>
              <w:rPr>
                <w:szCs w:val="24"/>
              </w:rPr>
              <w:t>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Default="0019469E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284" w:type="dxa"/>
          </w:tcPr>
          <w:p w:rsidR="0019469E" w:rsidRDefault="00F4071B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bookmarkStart w:id="18" w:name="OLE_LINK21"/>
            <w:bookmarkStart w:id="19" w:name="OLE_LINK22"/>
            <w:r w:rsidRPr="00986FE9">
              <w:rPr>
                <w:szCs w:val="24"/>
              </w:rPr>
              <w:t>support</w:t>
            </w:r>
            <w:bookmarkEnd w:id="18"/>
            <w:bookmarkEnd w:id="19"/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4" w:type="dxa"/>
          </w:tcPr>
          <w:p w:rsidR="0019469E" w:rsidRDefault="00F4071B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986FE9" w:rsidTr="00266AAF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19469E" w:rsidRPr="00986FE9" w:rsidRDefault="0019469E" w:rsidP="00266AAF">
            <w:pPr>
              <w:rPr>
                <w:szCs w:val="24"/>
              </w:rPr>
            </w:pPr>
            <w:r w:rsidRPr="00986FE9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9469E" w:rsidRPr="00986FE9" w:rsidRDefault="0019469E" w:rsidP="0019469E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4" w:type="dxa"/>
          </w:tcPr>
          <w:p w:rsidR="0019469E" w:rsidRDefault="00F4071B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</w:tbl>
    <w:p w:rsidR="0019469E" w:rsidRDefault="0019469E" w:rsidP="0019469E">
      <w:pPr>
        <w:ind w:firstLine="422"/>
        <w:rPr>
          <w:b/>
        </w:rPr>
      </w:pPr>
    </w:p>
    <w:p w:rsidR="0019469E" w:rsidRPr="00364912" w:rsidRDefault="0019469E" w:rsidP="0019469E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5" w:type="dxa"/>
        <w:tblLook w:val="04A0" w:firstRow="1" w:lastRow="0" w:firstColumn="1" w:lastColumn="0" w:noHBand="0" w:noVBand="1"/>
      </w:tblPr>
      <w:tblGrid>
        <w:gridCol w:w="2429"/>
        <w:gridCol w:w="3256"/>
        <w:gridCol w:w="2280"/>
      </w:tblGrid>
      <w:tr w:rsidR="0019469E" w:rsidRPr="00F13510" w:rsidTr="00266AAF">
        <w:trPr>
          <w:cantSplit/>
        </w:trPr>
        <w:tc>
          <w:tcPr>
            <w:tcW w:w="2198" w:type="dxa"/>
            <w:shd w:val="clear" w:color="auto" w:fill="EEF1A5" w:themeFill="accent2" w:themeFillTint="66"/>
          </w:tcPr>
          <w:p w:rsidR="0019469E" w:rsidRPr="00F13510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UML</w:t>
            </w:r>
            <w:r w:rsidRPr="00F13510">
              <w:rPr>
                <w:szCs w:val="24"/>
              </w:rPr>
              <w:t xml:space="preserve">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0" w:type="dxa"/>
            <w:shd w:val="clear" w:color="auto" w:fill="D9D9D9" w:themeFill="background1" w:themeFillShade="D9"/>
          </w:tcPr>
          <w:p w:rsidR="0019469E" w:rsidRDefault="006A238F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2280" w:type="dxa"/>
          </w:tcPr>
          <w:p w:rsidR="0019469E" w:rsidRDefault="0019469E" w:rsidP="001C6CB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CIM</w:t>
            </w:r>
            <w:r w:rsidR="001C6CB4">
              <w:rPr>
                <w:rFonts w:hint="eastAsia"/>
                <w:szCs w:val="24"/>
                <w:lang w:eastAsia="zh-CN"/>
              </w:rPr>
              <w:t xml:space="preserve"> and TAPI</w:t>
            </w:r>
            <w:r>
              <w:rPr>
                <w:rFonts w:hint="eastAsia"/>
                <w:szCs w:val="24"/>
                <w:lang w:eastAsia="zh-CN"/>
              </w:rPr>
              <w:t xml:space="preserve"> model </w:t>
            </w:r>
            <w:r w:rsidR="001C6CB4">
              <w:rPr>
                <w:rFonts w:hint="eastAsia"/>
                <w:szCs w:val="24"/>
                <w:lang w:eastAsia="zh-CN"/>
              </w:rPr>
              <w:t>did not use</w:t>
            </w:r>
            <w:r>
              <w:rPr>
                <w:rFonts w:hint="eastAsia"/>
                <w:szCs w:val="24"/>
                <w:lang w:eastAsia="zh-CN"/>
              </w:rPr>
              <w:t xml:space="preserve">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2280" w:type="dxa"/>
          </w:tcPr>
          <w:p w:rsidR="0019469E" w:rsidRDefault="001C6CB4" w:rsidP="0019469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Current CIM and TAPI model did not use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operation exceptions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2280" w:type="dxa"/>
          </w:tcPr>
          <w:p w:rsidR="0019469E" w:rsidRDefault="001C6CB4" w:rsidP="0019469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Current CIM and TAPI model did not use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lastRenderedPageBreak/>
              <w:t>isOperationIdempotent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2280" w:type="dxa"/>
          </w:tcPr>
          <w:p w:rsidR="0019469E" w:rsidRDefault="006A238F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</w:t>
            </w:r>
            <w:r w:rsidR="0019469E">
              <w:rPr>
                <w:rFonts w:hint="eastAsia"/>
                <w:szCs w:val="24"/>
                <w:lang w:eastAsia="zh-CN"/>
              </w:rPr>
              <w:t>n progress.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2280" w:type="dxa"/>
          </w:tcPr>
          <w:p w:rsidR="0019469E" w:rsidRDefault="001C6CB4" w:rsidP="0019469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Current CIM and TAPI model did not use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0" w:type="dxa"/>
          </w:tcPr>
          <w:p w:rsidR="0019469E" w:rsidRDefault="001C6CB4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F13510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F13510" w:rsidRDefault="0019469E" w:rsidP="00266AAF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19469E" w:rsidRPr="00F13510" w:rsidRDefault="0019469E" w:rsidP="0019469E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0" w:type="dxa"/>
          </w:tcPr>
          <w:p w:rsidR="0019469E" w:rsidRDefault="001C6CB4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 progress.</w:t>
            </w:r>
          </w:p>
        </w:tc>
      </w:tr>
      <w:tr w:rsidR="0019469E" w:rsidRPr="00EB3EA4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7E13E6" w:rsidRDefault="0019469E" w:rsidP="00266AAF">
            <w:pPr>
              <w:rPr>
                <w:szCs w:val="24"/>
                <w:lang w:eastAsia="zh-CN"/>
              </w:rPr>
            </w:pPr>
            <w:r w:rsidRPr="007E13E6">
              <w:rPr>
                <w:szCs w:val="24"/>
              </w:rPr>
              <w:t>hyperlink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EB3EA4" w:rsidRDefault="0019469E" w:rsidP="0019469E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“reference”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80" w:type="dxa"/>
          </w:tcPr>
          <w:p w:rsidR="0019469E" w:rsidRDefault="001C6CB4" w:rsidP="0019469E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Current CIM and TAPI model did not use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19469E" w:rsidRPr="00EB3EA4" w:rsidTr="00266AAF">
        <w:trPr>
          <w:cantSplit/>
          <w:tblHeader w:val="0"/>
        </w:trPr>
        <w:tc>
          <w:tcPr>
            <w:tcW w:w="2198" w:type="dxa"/>
            <w:shd w:val="clear" w:color="auto" w:fill="F6F8D2" w:themeFill="accent2" w:themeFillTint="33"/>
          </w:tcPr>
          <w:p w:rsidR="0019469E" w:rsidRPr="00EB3EA4" w:rsidRDefault="0019469E" w:rsidP="00266AAF">
            <w:pPr>
              <w:rPr>
                <w:szCs w:val="24"/>
              </w:rPr>
            </w:pPr>
            <w:r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19469E" w:rsidRPr="00EB3EA4" w:rsidRDefault="0019469E" w:rsidP="0019469E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0" w:type="dxa"/>
          </w:tcPr>
          <w:p w:rsidR="0019469E" w:rsidRDefault="006A238F" w:rsidP="0019469E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</w:t>
            </w:r>
            <w:r w:rsidR="0019469E">
              <w:rPr>
                <w:rFonts w:hint="eastAsia"/>
                <w:szCs w:val="24"/>
                <w:lang w:eastAsia="zh-CN"/>
              </w:rPr>
              <w:t>n progress.</w:t>
            </w:r>
          </w:p>
        </w:tc>
      </w:tr>
    </w:tbl>
    <w:p w:rsidR="0019469E" w:rsidRPr="00CE186B" w:rsidRDefault="0019469E" w:rsidP="0019469E"/>
    <w:p w:rsidR="0019469E" w:rsidRDefault="0019469E" w:rsidP="0019469E">
      <w:bookmarkStart w:id="20" w:name="_GoBack"/>
      <w:bookmarkEnd w:id="20"/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Default="0019469E" w:rsidP="0019469E"/>
    <w:p w:rsidR="0019469E" w:rsidRDefault="0019469E" w:rsidP="0019469E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1: The user should download Node.js source code or a pre-build installer for your platform before you run this tool. The users should also install the </w:t>
      </w:r>
      <w:proofErr w:type="spellStart"/>
      <w:r>
        <w:t>xmlreader</w:t>
      </w:r>
      <w:proofErr w:type="spellEnd"/>
      <w:r>
        <w:t xml:space="preserve"> (a Node Packaged Module) with the following command.</w:t>
      </w:r>
    </w:p>
    <w:p w:rsidR="0019469E" w:rsidRDefault="0019469E" w:rsidP="0019469E"/>
    <w:p w:rsidR="0019469E" w:rsidRPr="009B3268" w:rsidRDefault="0019469E" w:rsidP="0019469E">
      <w:pPr>
        <w:jc w:val="center"/>
        <w:rPr>
          <w:i/>
        </w:rPr>
      </w:pPr>
      <w:proofErr w:type="spellStart"/>
      <w:proofErr w:type="gramStart"/>
      <w:r w:rsidRPr="009B3268">
        <w:rPr>
          <w:i/>
        </w:rPr>
        <w:t>npm</w:t>
      </w:r>
      <w:proofErr w:type="spellEnd"/>
      <w:proofErr w:type="gramEnd"/>
      <w:r w:rsidRPr="009B3268">
        <w:rPr>
          <w:i/>
        </w:rPr>
        <w:t xml:space="preserve"> install </w:t>
      </w:r>
      <w:proofErr w:type="spellStart"/>
      <w:r w:rsidRPr="009B3268">
        <w:rPr>
          <w:i/>
        </w:rPr>
        <w:t>xmlreader</w:t>
      </w:r>
      <w:proofErr w:type="spellEnd"/>
    </w:p>
    <w:p w:rsidR="0019469E" w:rsidRDefault="0019469E" w:rsidP="0019469E"/>
    <w:p w:rsidR="0019469E" w:rsidRDefault="0019469E" w:rsidP="0019469E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2: The given </w:t>
      </w:r>
      <w:proofErr w:type="spellStart"/>
      <w:r>
        <w:t>uml</w:t>
      </w:r>
      <w:proofErr w:type="spellEnd"/>
      <w:r>
        <w:t xml:space="preserve"> files should be first rename</w:t>
      </w:r>
      <w:r w:rsidR="002B2242">
        <w:rPr>
          <w:rFonts w:hint="eastAsia"/>
          <w:lang w:eastAsia="zh-CN"/>
        </w:rPr>
        <w:t>d</w:t>
      </w:r>
      <w:r>
        <w:t xml:space="preserve"> to 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files</w:t>
      </w:r>
      <w:r>
        <w:t xml:space="preserve"> and then copied to the "project" folder, e.g. </w:t>
      </w:r>
      <w:proofErr w:type="spellStart"/>
      <w:r>
        <w:t>a.uml</w:t>
      </w:r>
      <w:proofErr w:type="spellEnd"/>
      <w:r>
        <w:t xml:space="preserve"> should be renamed to a.xml. </w:t>
      </w:r>
      <w:r>
        <w:rPr>
          <w:rFonts w:hint="eastAsia"/>
        </w:rPr>
        <w:t xml:space="preserve">Note that </w:t>
      </w:r>
      <w:r>
        <w:t>if “</w:t>
      </w:r>
      <w:r>
        <w:rPr>
          <w:rFonts w:hint="eastAsia"/>
        </w:rPr>
        <w:t>a.xml</w:t>
      </w:r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Default="0019469E" w:rsidP="0019469E"/>
    <w:p w:rsidR="0019469E" w:rsidRDefault="0019469E" w:rsidP="0019469E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>Step 3: The user should specify the file needed to be transfer</w:t>
      </w:r>
      <w:r>
        <w:rPr>
          <w:rFonts w:hint="eastAsia"/>
        </w:rPr>
        <w:t>r</w:t>
      </w:r>
      <w:r>
        <w:t xml:space="preserve">ed in the following </w:t>
      </w:r>
      <w:r w:rsidR="002B2242">
        <w:rPr>
          <w:rFonts w:hint="eastAsia"/>
          <w:lang w:eastAsia="zh-CN"/>
        </w:rPr>
        <w:t>texts</w:t>
      </w:r>
      <w:r>
        <w:t xml:space="preserve"> in main.js. </w:t>
      </w:r>
      <w:r>
        <w:rPr>
          <w:rFonts w:hint="eastAsia"/>
        </w:rPr>
        <w:t>The</w:t>
      </w:r>
      <w:r w:rsidR="002B2242">
        <w:rPr>
          <w:rFonts w:hint="eastAsia"/>
          <w:lang w:eastAsia="zh-CN"/>
        </w:rPr>
        <w:t xml:space="preserve"> </w:t>
      </w:r>
      <w:proofErr w:type="gramStart"/>
      <w:r w:rsidR="002B2242">
        <w:rPr>
          <w:rFonts w:hint="eastAsia"/>
          <w:lang w:eastAsia="zh-CN"/>
        </w:rPr>
        <w:t>texts</w:t>
      </w:r>
      <w:r>
        <w:rPr>
          <w:rFonts w:hint="eastAsia"/>
        </w:rPr>
        <w:t xml:space="preserve"> below </w:t>
      </w:r>
      <w:r w:rsidR="002B2242">
        <w:rPr>
          <w:rFonts w:hint="eastAsia"/>
          <w:lang w:eastAsia="zh-CN"/>
        </w:rPr>
        <w:t>refers</w:t>
      </w:r>
      <w:proofErr w:type="gramEnd"/>
      <w:r>
        <w:rPr>
          <w:rFonts w:hint="eastAsia"/>
        </w:rPr>
        <w:t xml:space="preserve"> the </w:t>
      </w:r>
      <w:r>
        <w:t>“</w:t>
      </w:r>
      <w:r>
        <w:rPr>
          <w:rFonts w:hint="eastAsia"/>
        </w:rPr>
        <w:t>CoreModel.xml</w:t>
      </w:r>
      <w:r>
        <w:t>”</w:t>
      </w:r>
      <w:r>
        <w:rPr>
          <w:rFonts w:hint="eastAsia"/>
        </w:rPr>
        <w:t xml:space="preserve"> file. </w:t>
      </w:r>
    </w:p>
    <w:p w:rsidR="0019469E" w:rsidRPr="002B2242" w:rsidRDefault="0019469E" w:rsidP="0019469E"/>
    <w:p w:rsidR="0019469E" w:rsidRPr="009B3268" w:rsidRDefault="0019469E" w:rsidP="0019469E">
      <w:pPr>
        <w:jc w:val="center"/>
        <w:rPr>
          <w:i/>
        </w:rPr>
      </w:pPr>
      <w:proofErr w:type="spellStart"/>
      <w:proofErr w:type="gramStart"/>
      <w:r w:rsidRPr="009B3268">
        <w:rPr>
          <w:i/>
        </w:rPr>
        <w:t>var</w:t>
      </w:r>
      <w:proofErr w:type="spellEnd"/>
      <w:proofErr w:type="gramEnd"/>
      <w:r w:rsidRPr="009B3268">
        <w:rPr>
          <w:i/>
        </w:rPr>
        <w:t xml:space="preserve"> xml = </w:t>
      </w:r>
      <w:proofErr w:type="spellStart"/>
      <w:r w:rsidRPr="009B3268">
        <w:rPr>
          <w:i/>
        </w:rPr>
        <w:t>fs.readFileSync</w:t>
      </w:r>
      <w:proofErr w:type="spellEnd"/>
      <w:r w:rsidRPr="009B3268">
        <w:rPr>
          <w:i/>
        </w:rPr>
        <w:t>("./project/CoreModel.xml", {encoding: 'utf8'});</w:t>
      </w:r>
    </w:p>
    <w:p w:rsidR="0019469E" w:rsidRDefault="0019469E" w:rsidP="0019469E"/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4: The user can use the following command under this directory to run this tool. </w:t>
      </w:r>
    </w:p>
    <w:p w:rsidR="0019469E" w:rsidRPr="0000502C" w:rsidRDefault="0019469E" w:rsidP="0019469E"/>
    <w:p w:rsidR="0019469E" w:rsidRPr="009B3268" w:rsidRDefault="0019469E" w:rsidP="0019469E">
      <w:pPr>
        <w:jc w:val="center"/>
        <w:rPr>
          <w:i/>
        </w:rPr>
      </w:pPr>
      <w:proofErr w:type="gramStart"/>
      <w:r w:rsidRPr="009B3268">
        <w:rPr>
          <w:i/>
        </w:rPr>
        <w:lastRenderedPageBreak/>
        <w:t>node</w:t>
      </w:r>
      <w:proofErr w:type="gramEnd"/>
      <w:r w:rsidRPr="009B3268">
        <w:rPr>
          <w:i/>
        </w:rPr>
        <w:t xml:space="preserve"> main.js</w:t>
      </w:r>
    </w:p>
    <w:p w:rsidR="0019469E" w:rsidRPr="005C1420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5: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bookmarkEnd w:id="0"/>
    <w:p w:rsidR="00213D3B" w:rsidRPr="0019469E" w:rsidRDefault="00213D3B" w:rsidP="00213D3B"/>
    <w:sectPr w:rsidR="00213D3B" w:rsidRPr="0019469E" w:rsidSect="0019469E"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06C" w:rsidRDefault="00C0006C" w:rsidP="005752F2">
      <w:pPr>
        <w:spacing w:after="0"/>
      </w:pPr>
      <w:r>
        <w:separator/>
      </w:r>
    </w:p>
  </w:endnote>
  <w:endnote w:type="continuationSeparator" w:id="0">
    <w:p w:rsidR="00C0006C" w:rsidRDefault="00C0006C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6037">
      <w:rPr>
        <w:noProof/>
      </w:rPr>
      <w:t>7</w:t>
    </w:r>
    <w:r>
      <w:rPr>
        <w:noProof/>
      </w:rPr>
      <w:fldChar w:fldCharType="end"/>
    </w:r>
    <w:r w:rsidRPr="00194CC3">
      <w:t xml:space="preserve"> of </w:t>
    </w:r>
    <w:fldSimple w:instr=" NUMPAGES ">
      <w:r w:rsidR="00436037">
        <w:rPr>
          <w:noProof/>
        </w:rPr>
        <w:t>8</w:t>
      </w:r>
    </w:fldSimple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06C" w:rsidRDefault="00C0006C" w:rsidP="005752F2">
      <w:pPr>
        <w:spacing w:after="0"/>
      </w:pPr>
      <w:r>
        <w:separator/>
      </w:r>
    </w:p>
  </w:footnote>
  <w:footnote w:type="continuationSeparator" w:id="0">
    <w:p w:rsidR="00C0006C" w:rsidRDefault="00C0006C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9"/>
  </w:num>
  <w:num w:numId="16">
    <w:abstractNumId w:val="19"/>
  </w:num>
  <w:num w:numId="17">
    <w:abstractNumId w:val="30"/>
  </w:num>
  <w:num w:numId="18">
    <w:abstractNumId w:val="13"/>
  </w:num>
  <w:num w:numId="19">
    <w:abstractNumId w:val="28"/>
  </w:num>
  <w:num w:numId="20">
    <w:abstractNumId w:val="29"/>
  </w:num>
  <w:num w:numId="21">
    <w:abstractNumId w:val="21"/>
  </w:num>
  <w:num w:numId="22">
    <w:abstractNumId w:val="11"/>
  </w:num>
  <w:num w:numId="23">
    <w:abstractNumId w:val="17"/>
  </w:num>
  <w:num w:numId="24">
    <w:abstractNumId w:val="32"/>
  </w:num>
  <w:num w:numId="25">
    <w:abstractNumId w:val="24"/>
  </w:num>
  <w:num w:numId="26">
    <w:abstractNumId w:val="25"/>
  </w:num>
  <w:num w:numId="27">
    <w:abstractNumId w:val="23"/>
  </w:num>
  <w:num w:numId="28">
    <w:abstractNumId w:val="22"/>
  </w:num>
  <w:num w:numId="29">
    <w:abstractNumId w:val="26"/>
  </w:num>
  <w:num w:numId="30">
    <w:abstractNumId w:val="16"/>
  </w:num>
  <w:num w:numId="31">
    <w:abstractNumId w:val="15"/>
  </w:num>
  <w:num w:numId="32">
    <w:abstractNumId w:val="19"/>
  </w:num>
  <w:num w:numId="33">
    <w:abstractNumId w:val="19"/>
  </w:num>
  <w:num w:numId="34">
    <w:abstractNumId w:val="14"/>
  </w:num>
  <w:num w:numId="35">
    <w:abstractNumId w:val="33"/>
  </w:num>
  <w:num w:numId="36">
    <w:abstractNumId w:val="31"/>
  </w:num>
  <w:num w:numId="37">
    <w:abstractNumId w:val="18"/>
  </w:num>
  <w:num w:numId="38">
    <w:abstractNumId w:val="20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13BE"/>
    <w:rsid w:val="0019469E"/>
    <w:rsid w:val="0019746A"/>
    <w:rsid w:val="001A2D16"/>
    <w:rsid w:val="001A7A6E"/>
    <w:rsid w:val="001C1C24"/>
    <w:rsid w:val="001C6CB4"/>
    <w:rsid w:val="001D0D79"/>
    <w:rsid w:val="001D694E"/>
    <w:rsid w:val="001F5658"/>
    <w:rsid w:val="001F7268"/>
    <w:rsid w:val="001F7EB3"/>
    <w:rsid w:val="002039F7"/>
    <w:rsid w:val="00205108"/>
    <w:rsid w:val="002053B8"/>
    <w:rsid w:val="00205C12"/>
    <w:rsid w:val="00213D3B"/>
    <w:rsid w:val="002151E3"/>
    <w:rsid w:val="00224E69"/>
    <w:rsid w:val="002256E9"/>
    <w:rsid w:val="00231E28"/>
    <w:rsid w:val="0024003A"/>
    <w:rsid w:val="0024027F"/>
    <w:rsid w:val="00240671"/>
    <w:rsid w:val="002614D2"/>
    <w:rsid w:val="0027549C"/>
    <w:rsid w:val="00276C1A"/>
    <w:rsid w:val="00280BA9"/>
    <w:rsid w:val="002827A8"/>
    <w:rsid w:val="00282876"/>
    <w:rsid w:val="00283801"/>
    <w:rsid w:val="00284161"/>
    <w:rsid w:val="00284E3E"/>
    <w:rsid w:val="00285036"/>
    <w:rsid w:val="00291976"/>
    <w:rsid w:val="0029261C"/>
    <w:rsid w:val="00293C76"/>
    <w:rsid w:val="002A13C5"/>
    <w:rsid w:val="002A292C"/>
    <w:rsid w:val="002B2242"/>
    <w:rsid w:val="002B421E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5DFC"/>
    <w:rsid w:val="00311CC6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31444"/>
    <w:rsid w:val="00733E92"/>
    <w:rsid w:val="00734A9A"/>
    <w:rsid w:val="00734BB1"/>
    <w:rsid w:val="007357DD"/>
    <w:rsid w:val="00735864"/>
    <w:rsid w:val="00740E8E"/>
    <w:rsid w:val="007430F6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B73DF"/>
    <w:rsid w:val="007C3CBC"/>
    <w:rsid w:val="007C6BD6"/>
    <w:rsid w:val="007C6DC3"/>
    <w:rsid w:val="007D139B"/>
    <w:rsid w:val="007D1BC7"/>
    <w:rsid w:val="007E69E8"/>
    <w:rsid w:val="007F476D"/>
    <w:rsid w:val="00801569"/>
    <w:rsid w:val="008130B9"/>
    <w:rsid w:val="008136FF"/>
    <w:rsid w:val="0082609E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F4295"/>
    <w:rsid w:val="008F588B"/>
    <w:rsid w:val="009012BB"/>
    <w:rsid w:val="00901BD8"/>
    <w:rsid w:val="009041C9"/>
    <w:rsid w:val="0090754D"/>
    <w:rsid w:val="00911BD5"/>
    <w:rsid w:val="00912BEF"/>
    <w:rsid w:val="00923DA2"/>
    <w:rsid w:val="009324C2"/>
    <w:rsid w:val="00937BF1"/>
    <w:rsid w:val="00944679"/>
    <w:rsid w:val="00946A57"/>
    <w:rsid w:val="00953FDE"/>
    <w:rsid w:val="00956FDD"/>
    <w:rsid w:val="00960C25"/>
    <w:rsid w:val="00974033"/>
    <w:rsid w:val="00974AA9"/>
    <w:rsid w:val="0097699B"/>
    <w:rsid w:val="00984456"/>
    <w:rsid w:val="00986FE9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E60"/>
    <w:rsid w:val="009C0E9D"/>
    <w:rsid w:val="009C60F0"/>
    <w:rsid w:val="009D0C74"/>
    <w:rsid w:val="009D1DEA"/>
    <w:rsid w:val="009D4D03"/>
    <w:rsid w:val="009D5473"/>
    <w:rsid w:val="009D680C"/>
    <w:rsid w:val="009E13F9"/>
    <w:rsid w:val="009E3EE0"/>
    <w:rsid w:val="009E5061"/>
    <w:rsid w:val="009E63CA"/>
    <w:rsid w:val="00A020B5"/>
    <w:rsid w:val="00A0446F"/>
    <w:rsid w:val="00A07E60"/>
    <w:rsid w:val="00A1280B"/>
    <w:rsid w:val="00A12D5F"/>
    <w:rsid w:val="00A1383C"/>
    <w:rsid w:val="00A16CEC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5F44"/>
    <w:rsid w:val="00AD78CF"/>
    <w:rsid w:val="00AE0A41"/>
    <w:rsid w:val="00AE0AE4"/>
    <w:rsid w:val="00AE504F"/>
    <w:rsid w:val="00AF1EF9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B0311"/>
    <w:rsid w:val="00BB11A0"/>
    <w:rsid w:val="00BB77BD"/>
    <w:rsid w:val="00BB7FA1"/>
    <w:rsid w:val="00BC04D5"/>
    <w:rsid w:val="00BC35DF"/>
    <w:rsid w:val="00BC456A"/>
    <w:rsid w:val="00BC7ADB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1036A"/>
    <w:rsid w:val="00C1369C"/>
    <w:rsid w:val="00C172E7"/>
    <w:rsid w:val="00C220DE"/>
    <w:rsid w:val="00C22534"/>
    <w:rsid w:val="00C2455A"/>
    <w:rsid w:val="00C245DA"/>
    <w:rsid w:val="00C25EDF"/>
    <w:rsid w:val="00C2707F"/>
    <w:rsid w:val="00C27849"/>
    <w:rsid w:val="00C3305A"/>
    <w:rsid w:val="00C404B6"/>
    <w:rsid w:val="00C52241"/>
    <w:rsid w:val="00C54BEE"/>
    <w:rsid w:val="00C56B7A"/>
    <w:rsid w:val="00C57213"/>
    <w:rsid w:val="00C613D2"/>
    <w:rsid w:val="00C66221"/>
    <w:rsid w:val="00C7394D"/>
    <w:rsid w:val="00C8488E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775"/>
    <w:rsid w:val="00D35380"/>
    <w:rsid w:val="00D359B7"/>
    <w:rsid w:val="00D3718D"/>
    <w:rsid w:val="00D40C66"/>
    <w:rsid w:val="00D42017"/>
    <w:rsid w:val="00D51EF8"/>
    <w:rsid w:val="00D56415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5118"/>
    <w:rsid w:val="00E468C6"/>
    <w:rsid w:val="00E563A8"/>
    <w:rsid w:val="00E57A57"/>
    <w:rsid w:val="00E62B2E"/>
    <w:rsid w:val="00E70D94"/>
    <w:rsid w:val="00E71666"/>
    <w:rsid w:val="00E716D5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47E0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8097A"/>
    <w:rsid w:val="00F82327"/>
    <w:rsid w:val="00F942DB"/>
    <w:rsid w:val="00F97D77"/>
    <w:rsid w:val="00FA7FD3"/>
    <w:rsid w:val="00FB6E79"/>
    <w:rsid w:val="00FC3F33"/>
    <w:rsid w:val="00FC739B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uiPriority w:val="5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uiPriority w:val="5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017C54-89F8-483A-BE32-6BAA3F1CE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1058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Blair</dc:creator>
  <cp:lastModifiedBy>Guoying Zhang</cp:lastModifiedBy>
  <cp:revision>21</cp:revision>
  <dcterms:created xsi:type="dcterms:W3CDTF">2015-11-19T06:30:00Z</dcterms:created>
  <dcterms:modified xsi:type="dcterms:W3CDTF">2015-11-19T08:37:00Z</dcterms:modified>
</cp:coreProperties>
</file>