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aps/>
          <w:color w:val="B91C1C"/>
          <w:sz w:val="56"/>
          <w:szCs w:val="56"/>
        </w:rPr>
        <w:t xml:space="preserve">OPEN FIREHOUSE</w:t>
      </w:r>
    </w:p>
    <w:p>
      <w:pPr>
        <w:spacing w:after="80" w:before="0"/>
        <w:jc w:val="center"/>
      </w:pPr>
      <w:r>
        <w:rPr>
          <w:rFonts w:ascii="Arial" w:cs="Arial" w:eastAsia="Arial" w:hAnsi="Arial"/>
          <w:b/>
          <w:bCs/>
          <w:color w:val="1F2937"/>
          <w:sz w:val="36"/>
          <w:szCs w:val="36"/>
        </w:rPr>
        <w:t xml:space="preserve">Hazmat Management Guide</w:t>
      </w:r>
    </w:p>
    <w:p>
      <w:pPr>
        <w:spacing w:after="80" w:before="0"/>
        <w:jc w:val="center"/>
      </w:pPr>
      <w:r>
        <w:rPr>
          <w:rFonts w:ascii="Arial" w:cs="Arial" w:eastAsia="Arial" w:hAnsi="Arial"/>
          <w:color w:val="6B7280"/>
          <w:sz w:val="24"/>
          <w:szCs w:val="24"/>
        </w:rPr>
        <w:t xml:space="preserve">User Manual — Module Reference</w:t>
      </w:r>
    </w:p>
    <w:p>
      <w:pPr>
        <w:spacing w:after="1440" w:before="0"/>
        <w:jc w:val="center"/>
      </w:pPr>
      <w:r>
        <w:rPr>
          <w:rFonts w:ascii="Arial" w:cs="Arial" w:eastAsia="Arial" w:hAnsi="Arial"/>
          <w:color w:val="6B7280"/>
          <w:sz w:val="20"/>
          <w:szCs w:val="20"/>
        </w:rPr>
        <w:t xml:space="preserve">Version 0.2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91C1C" w:sz="12"/>
              <w:right w:val="none" w:color="FFFFFF" w:sz="0"/>
            </w:tcBorders>
          </w:tcPr>
          <w:p>
            <w:r>
              <w:t xml:space="preserve"/>
            </w:r>
          </w:p>
        </w:tc>
      </w:tr>
    </w:tbl>
    <w:p>
      <w:pPr>
        <w:spacing w:after="720" w:before="0"/>
      </w:pPr>
      <w:r>
        <w:t xml:space="preserve"/>
      </w:r>
    </w:p>
    <w:p>
      <w:pPr>
        <w:pStyle w:val="Heading1"/>
        <w:pBdr>
          <w:bottom w:val="single" w:color="B91C1C" w:sz="8" w:space="4"/>
        </w:pBdr>
        <w:spacing w:after="160" w:before="360"/>
      </w:pPr>
      <w:r>
        <w:rPr>
          <w:rFonts w:ascii="Arial" w:cs="Arial" w:eastAsia="Arial" w:hAnsi="Arial"/>
          <w:b/>
          <w:bCs/>
          <w:color w:val="B91C1C"/>
          <w:sz w:val="36"/>
          <w:szCs w:val="36"/>
        </w:rPr>
        <w:t xml:space="preserve">Overview</w:t>
      </w:r>
    </w:p>
    <w:p>
      <w:pPr>
        <w:spacing w:after="100" w:before="60"/>
      </w:pPr>
      <w:r>
        <w:rPr>
          <w:rFonts w:ascii="Arial" w:cs="Arial" w:eastAsia="Arial" w:hAnsi="Arial"/>
          <w:color w:val="1F2937"/>
          <w:sz w:val="22"/>
          <w:szCs w:val="22"/>
        </w:rPr>
        <w:t xml:space="preserve">Open Firehouse treats hazardous materials (Hazmat) as a fully integrated part of day-to-day fire department operations — not as a standalone system. This design reflects how Hazmat is actually managed in the field: it is a type of incident, a certification track, and a specialized piece of apparatus, all rolled into the existing operational framework.</w:t>
      </w:r>
    </w:p>
    <w:p>
      <w:pPr>
        <w:spacing w:after="80" w:before="0"/>
      </w:pPr>
      <w:r>
        <w:t xml:space="preserve"/>
      </w:r>
    </w:p>
    <w:p>
      <w:pPr>
        <w:spacing w:after="100" w:before="60"/>
      </w:pPr>
      <w:r>
        <w:rPr>
          <w:rFonts w:ascii="Arial" w:cs="Arial" w:eastAsia="Arial" w:hAnsi="Arial"/>
          <w:color w:val="1F2937"/>
          <w:sz w:val="22"/>
          <w:szCs w:val="22"/>
        </w:rPr>
        <w:t xml:space="preserve">There is no separate “Hazmat module.” Instead, Hazmat capabilities are woven across three areas of the app: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Incident Log</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Log and document Hazmat responses with full ICS detail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Training Records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Track member Hazmat certifications (Ops, Technician, etc.)</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Apparatus Tracker</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Manage the Hazmat truck alongside all other apparatus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180"/>
              <w:bottom w:type="dxa" w:w="120"/>
              <w:right w:type="dxa" w:w="180"/>
            </w:tcMar>
          </w:tcPr>
          <w:p>
            <w:pPr>
              <w:spacing w:after="60" w:before="0"/>
            </w:pPr>
            <w:r>
              <w:rPr>
                <w:rFonts w:ascii="Arial" w:cs="Arial" w:eastAsia="Arial" w:hAnsi="Arial"/>
                <w:b/>
                <w:bCs/>
                <w:color w:val="B91C1C"/>
                <w:sz w:val="20"/>
                <w:szCs w:val="20"/>
              </w:rPr>
              <w:t xml:space="preserve">Design Philosophy</w:t>
            </w:r>
          </w:p>
          <w:p>
            <w:pPr>
              <w:spacing w:after="0" w:before="0"/>
            </w:pPr>
            <w:r>
              <w:rPr>
                <w:rFonts w:ascii="Arial" w:cs="Arial" w:eastAsia="Arial" w:hAnsi="Arial"/>
                <w:color w:val="1F2937"/>
                <w:sz w:val="21"/>
                <w:szCs w:val="21"/>
              </w:rPr>
              <w:t xml:space="preserve">This approach was shaped by the real-world experience of volunteer fire departments. Hazmat responses do not happen in isolation — they involve the same personnel, apparatus, and documentation systems as any other incident. Keeping everything in one place reduces duplicate data entry and makes reporting simpler.</w:t>
            </w:r>
          </w:p>
        </w:tc>
      </w:tr>
    </w:tbl>
    <w:p>
      <w:pPr>
        <w:spacing w:after="200" w:before="0"/>
      </w:pPr>
      <w:r>
        <w:t xml:space="preserve"/>
      </w:r>
    </w:p>
    <w:p>
      <w:pPr>
        <w:pStyle w:val="Heading1"/>
        <w:pBdr>
          <w:bottom w:val="single" w:color="B91C1C" w:sz="8" w:space="4"/>
        </w:pBdr>
        <w:spacing w:after="160" w:before="360"/>
      </w:pPr>
      <w:r>
        <w:rPr>
          <w:rFonts w:ascii="Arial" w:cs="Arial" w:eastAsia="Arial" w:hAnsi="Arial"/>
          <w:b/>
          <w:bCs/>
          <w:color w:val="B91C1C"/>
          <w:sz w:val="36"/>
          <w:szCs w:val="36"/>
        </w:rPr>
        <w:t xml:space="preserve">Logging a Hazmat Incident</w:t>
      </w:r>
    </w:p>
    <w:p>
      <w:pPr>
        <w:spacing w:after="100" w:before="60"/>
      </w:pPr>
      <w:r>
        <w:rPr>
          <w:rFonts w:ascii="Arial" w:cs="Arial" w:eastAsia="Arial" w:hAnsi="Arial"/>
          <w:color w:val="1F2937"/>
          <w:sz w:val="22"/>
          <w:szCs w:val="22"/>
        </w:rPr>
        <w:t xml:space="preserve">When a Hazmat or Gas Leak incident occurs, it is logged in the Incident Log just like any other call. Selecting “Hazmat” or “Gas Leak” as the incident type automatically expands the form to show a Hazmat ICS Detail panel with four sections that mirror the Incident Command System structure.</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How to Log a Hazmat Incident</w:t>
      </w:r>
    </w:p>
    <w:p>
      <w:pPr>
        <w:pStyle w:val="ListParagraph"/>
        <w:numPr>
          <w:ilvl w:val="0"/>
          <w:numId w:val="2"/>
        </w:numPr>
        <w:spacing w:after="60" w:before="60"/>
      </w:pPr>
      <w:r>
        <w:rPr>
          <w:rFonts w:ascii="Arial" w:cs="Arial" w:eastAsia="Arial" w:hAnsi="Arial"/>
          <w:color w:val="1F2937"/>
          <w:sz w:val="22"/>
          <w:szCs w:val="22"/>
        </w:rPr>
        <w:t xml:space="preserve">Navigate to </w:t>
      </w:r>
      <w:r>
        <w:rPr>
          <w:rFonts w:ascii="Arial" w:cs="Arial" w:eastAsia="Arial" w:hAnsi="Arial"/>
          <w:b/>
          <w:bCs/>
          <w:color w:val="1F2937"/>
          <w:sz w:val="22"/>
          <w:szCs w:val="22"/>
        </w:rPr>
        <w:t xml:space="preserve">Operations → Incident Log</w:t>
      </w:r>
      <w:r>
        <w:rPr>
          <w:rFonts w:ascii="Arial" w:cs="Arial" w:eastAsia="Arial" w:hAnsi="Arial"/>
          <w:color w:val="1F2937"/>
          <w:sz w:val="22"/>
          <w:szCs w:val="22"/>
        </w:rPr>
        <w:t xml:space="preserve"> in the sidebar.</w:t>
      </w:r>
    </w:p>
    <w:p>
      <w:pPr>
        <w:pStyle w:val="ListParagraph"/>
        <w:numPr>
          <w:ilvl w:val="0"/>
          <w:numId w:val="2"/>
        </w:numPr>
        <w:spacing w:after="60" w:before="60"/>
      </w:pPr>
      <w:r>
        <w:rPr>
          <w:rFonts w:ascii="Arial" w:cs="Arial" w:eastAsia="Arial" w:hAnsi="Arial"/>
          <w:color w:val="1F2937"/>
          <w:sz w:val="22"/>
          <w:szCs w:val="22"/>
        </w:rPr>
        <w:t xml:space="preserve">Click </w:t>
      </w:r>
      <w:r>
        <w:rPr>
          <w:rFonts w:ascii="Arial" w:cs="Arial" w:eastAsia="Arial" w:hAnsi="Arial"/>
          <w:b/>
          <w:bCs/>
          <w:color w:val="1F2937"/>
          <w:sz w:val="22"/>
          <w:szCs w:val="22"/>
        </w:rPr>
        <w:t xml:space="preserve">Log Incident</w:t>
      </w:r>
      <w:r>
        <w:rPr>
          <w:rFonts w:ascii="Arial" w:cs="Arial" w:eastAsia="Arial" w:hAnsi="Arial"/>
          <w:color w:val="1F2937"/>
          <w:sz w:val="22"/>
          <w:szCs w:val="22"/>
        </w:rPr>
        <w:t xml:space="preserve"> (red button, top right).</w:t>
      </w:r>
    </w:p>
    <w:p>
      <w:pPr>
        <w:pStyle w:val="ListParagraph"/>
        <w:numPr>
          <w:ilvl w:val="0"/>
          <w:numId w:val="2"/>
        </w:numPr>
        <w:spacing w:after="60" w:before="60"/>
      </w:pPr>
      <w:r>
        <w:rPr>
          <w:rFonts w:ascii="Arial" w:cs="Arial" w:eastAsia="Arial" w:hAnsi="Arial"/>
          <w:color w:val="1F2937"/>
          <w:sz w:val="22"/>
          <w:szCs w:val="22"/>
        </w:rPr>
        <w:t xml:space="preserve">Fill in the standard fields: incident number, date, time, address, units, and personnel.</w:t>
      </w:r>
    </w:p>
    <w:p>
      <w:pPr>
        <w:pStyle w:val="ListParagraph"/>
        <w:numPr>
          <w:ilvl w:val="0"/>
          <w:numId w:val="2"/>
        </w:numPr>
        <w:spacing w:after="60" w:before="60"/>
      </w:pPr>
      <w:r>
        <w:rPr>
          <w:rFonts w:ascii="Arial" w:cs="Arial" w:eastAsia="Arial" w:hAnsi="Arial"/>
          <w:color w:val="1F2937"/>
          <w:sz w:val="22"/>
          <w:szCs w:val="22"/>
        </w:rPr>
        <w:t xml:space="preserve">Set Incident Type to </w:t>
      </w:r>
      <w:r>
        <w:rPr>
          <w:rFonts w:ascii="Arial" w:cs="Arial" w:eastAsia="Arial" w:hAnsi="Arial"/>
          <w:b/>
          <w:bCs/>
          <w:color w:val="1F2937"/>
          <w:sz w:val="22"/>
          <w:szCs w:val="22"/>
        </w:rPr>
        <w:t xml:space="preserve">Hazmat</w:t>
      </w:r>
      <w:r>
        <w:rPr>
          <w:rFonts w:ascii="Arial" w:cs="Arial" w:eastAsia="Arial" w:hAnsi="Arial"/>
          <w:color w:val="1F2937"/>
          <w:sz w:val="22"/>
          <w:szCs w:val="22"/>
        </w:rPr>
        <w:t xml:space="preserve"> or </w:t>
      </w:r>
      <w:r>
        <w:rPr>
          <w:rFonts w:ascii="Arial" w:cs="Arial" w:eastAsia="Arial" w:hAnsi="Arial"/>
          <w:b/>
          <w:bCs/>
          <w:color w:val="1F2937"/>
          <w:sz w:val="22"/>
          <w:szCs w:val="22"/>
        </w:rPr>
        <w:t xml:space="preserve">Gas Leak</w:t>
      </w:r>
      <w:r>
        <w:rPr>
          <w:rFonts w:ascii="Arial" w:cs="Arial" w:eastAsia="Arial" w:hAnsi="Arial"/>
          <w:color w:val="1F2937"/>
          <w:sz w:val="22"/>
          <w:szCs w:val="22"/>
        </w:rPr>
        <w:t xml:space="preserve">. The ICS Detail panel will appear automatically below.</w:t>
      </w:r>
    </w:p>
    <w:p>
      <w:pPr>
        <w:pStyle w:val="ListParagraph"/>
        <w:numPr>
          <w:ilvl w:val="0"/>
          <w:numId w:val="2"/>
        </w:numPr>
        <w:spacing w:after="60" w:before="60"/>
      </w:pPr>
      <w:r>
        <w:rPr>
          <w:rFonts w:ascii="Arial" w:cs="Arial" w:eastAsia="Arial" w:hAnsi="Arial"/>
          <w:color w:val="1F2937"/>
          <w:sz w:val="22"/>
          <w:szCs w:val="22"/>
        </w:rPr>
        <w:t xml:space="preserve">Complete the four ICS sections (see below).</w:t>
      </w:r>
    </w:p>
    <w:p>
      <w:pPr>
        <w:pStyle w:val="ListParagraph"/>
        <w:numPr>
          <w:ilvl w:val="0"/>
          <w:numId w:val="2"/>
        </w:numPr>
        <w:spacing w:after="60" w:before="60"/>
      </w:pPr>
      <w:r>
        <w:rPr>
          <w:rFonts w:ascii="Arial" w:cs="Arial" w:eastAsia="Arial" w:hAnsi="Arial"/>
          <w:color w:val="1F2937"/>
          <w:sz w:val="22"/>
          <w:szCs w:val="22"/>
        </w:rPr>
        <w:t xml:space="preserve">Click </w:t>
      </w:r>
      <w:r>
        <w:rPr>
          <w:rFonts w:ascii="Arial" w:cs="Arial" w:eastAsia="Arial" w:hAnsi="Arial"/>
          <w:b/>
          <w:bCs/>
          <w:color w:val="1F2937"/>
          <w:sz w:val="22"/>
          <w:szCs w:val="22"/>
        </w:rPr>
        <w:t xml:space="preserve">Log Incident</w:t>
      </w:r>
      <w:r>
        <w:rPr>
          <w:rFonts w:ascii="Arial" w:cs="Arial" w:eastAsia="Arial" w:hAnsi="Arial"/>
          <w:color w:val="1F2937"/>
          <w:sz w:val="22"/>
          <w:szCs w:val="22"/>
        </w:rPr>
        <w:t xml:space="preserve"> to save.</w:t>
      </w:r>
    </w:p>
    <w:p>
      <w:pPr>
        <w:spacing w:after="160" w:before="0"/>
      </w:pPr>
      <w:r>
        <w:t xml:space="preserve"/>
      </w:r>
    </w:p>
    <w:p>
      <w:pPr>
        <w:pStyle w:val="Heading2"/>
        <w:spacing w:after="100" w:before="280"/>
      </w:pPr>
      <w:r>
        <w:rPr>
          <w:rFonts w:ascii="Arial" w:cs="Arial" w:eastAsia="Arial" w:hAnsi="Arial"/>
          <w:b/>
          <w:bCs/>
          <w:color w:val="1F2937"/>
          <w:sz w:val="28"/>
          <w:szCs w:val="28"/>
        </w:rPr>
        <w:t xml:space="preserve">The Four ICS Sections</w:t>
      </w:r>
    </w:p>
    <w:p>
      <w:pPr>
        <w:spacing w:after="100" w:before="60"/>
      </w:pPr>
      <w:r>
        <w:rPr>
          <w:rFonts w:ascii="Arial" w:cs="Arial" w:eastAsia="Arial" w:hAnsi="Arial"/>
          <w:color w:val="1F2937"/>
          <w:sz w:val="22"/>
          <w:szCs w:val="22"/>
        </w:rPr>
        <w:t xml:space="preserve">The Hazmat ICS Detail panel is organized around the four functional sections of the Incident Command System. Each section focuses on a distinct aspect of the response.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120"/>
              <w:right w:type="dxa" w:w="18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tblGrid>
            <w:tr>
              <w:tc>
                <w:tcPr>
                  <w:tcW w:type="dxa" w:w="4500"/>
                  <w:gridSpan w:val="2"/>
                  <w:tcBorders>
                    <w:top w:val="single" w:color="E5E7EB" w:sz="1"/>
                    <w:left w:val="single" w:color="E5E7EB" w:sz="1"/>
                    <w:bottom w:val="single" w:color="E5E7EB" w:sz="1"/>
                    <w:right w:val="single" w:color="E5E7EB" w:sz="1"/>
                  </w:tcBorders>
                  <w:shd w:fill="C2410C" w:val="clear"/>
                  <w:tcMar>
                    <w:top w:type="dxa" w:w="80"/>
                    <w:left w:type="dxa" w:w="160"/>
                    <w:bottom w:type="dxa" w:w="80"/>
                    <w:right w:type="dxa" w:w="160"/>
                  </w:tcMar>
                </w:tcPr>
                <w:p>
                  <w:r>
                    <w:rPr>
                      <w:rFonts w:ascii="Arial" w:cs="Arial" w:eastAsia="Arial" w:hAnsi="Arial"/>
                      <w:b/>
                      <w:bCs/>
                      <w:color w:val="FFFFFF"/>
                      <w:sz w:val="22"/>
                      <w:szCs w:val="22"/>
                    </w:rPr>
                    <w:t xml:space="preserve">⚠ Operations</w:t>
                  </w:r>
                </w:p>
              </w:tc>
            </w:tr>
            <w:tr>
              <w:tc>
                <w:tcPr>
                  <w:tcW w:type="dxa" w:w="18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1F2937"/>
                      <w:sz w:val="19"/>
                      <w:szCs w:val="19"/>
                    </w:rPr>
                    <w:t xml:space="preserve">Material</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Name of substance involved</w:t>
                  </w:r>
                </w:p>
              </w:tc>
            </w:tr>
            <w:tr>
              <w:tc>
                <w:tcPr>
                  <w:tcW w:type="dxa" w:w="18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1F2937"/>
                      <w:sz w:val="19"/>
                      <w:szCs w:val="19"/>
                    </w:rPr>
                    <w:t xml:space="preserve">Hazmat Class</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UN/DOT class (1–9)</w:t>
                  </w:r>
                </w:p>
              </w:tc>
            </w:tr>
            <w:tr>
              <w:tc>
                <w:tcPr>
                  <w:tcW w:type="dxa" w:w="18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1F2937"/>
                      <w:sz w:val="19"/>
                      <w:szCs w:val="19"/>
                    </w:rPr>
                    <w:t xml:space="preserve">Quantity</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Estimated volume or mass</w:t>
                  </w:r>
                </w:p>
              </w:tc>
            </w:tr>
            <w:tr>
              <w:tc>
                <w:tcPr>
                  <w:tcW w:type="dxa" w:w="18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1F2937"/>
                      <w:sz w:val="19"/>
                      <w:szCs w:val="19"/>
                    </w:rPr>
                    <w:t xml:space="preserve">PPE Level</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Level A, B, C, or D</w:t>
                  </w:r>
                </w:p>
              </w:tc>
            </w:tr>
            <w:tr>
              <w:tc>
                <w:tcPr>
                  <w:tcW w:type="dxa" w:w="18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1F2937"/>
                      <w:sz w:val="19"/>
                      <w:szCs w:val="19"/>
                    </w:rPr>
                    <w:t xml:space="preserve">Decon</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Whether decon was performed</w:t>
                  </w:r>
                </w:p>
              </w:tc>
            </w:tr>
            <w:tr>
              <w:tc>
                <w:tcPr>
                  <w:tcW w:type="dxa" w:w="18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tcPr>
                <w:p>
                  <w:r>
                    <w:rPr>
                      <w:rFonts w:ascii="Arial" w:cs="Arial" w:eastAsia="Arial" w:hAnsi="Arial"/>
                      <w:b/>
                      <w:bCs/>
                      <w:color w:val="1F2937"/>
                      <w:sz w:val="19"/>
                      <w:szCs w:val="19"/>
                    </w:rPr>
                    <w:t xml:space="preserve">Notes</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Actions taken, containment</w:t>
                  </w:r>
                </w:p>
              </w:tc>
            </w:tr>
          </w:tbl>
          <w:p/>
        </w:tc>
        <w:tc>
          <w:tcPr>
            <w:tcW w:type="dxa" w:w="4860"/>
            <w:tcBorders>
              <w:top w:val="none" w:color="FFFFFF" w:sz="0"/>
              <w:left w:val="none" w:color="FFFFFF" w:sz="0"/>
              <w:bottom w:val="none" w:color="FFFFFF" w:sz="0"/>
              <w:right w:val="none" w:color="FFFFFF" w:sz="0"/>
            </w:tcBorders>
            <w:tcMar>
              <w:top w:type="dxa" w:w="0"/>
              <w:left w:type="dxa" w:w="180"/>
              <w:bottom w:type="dxa" w:w="120"/>
              <w:right w:type="dxa" w:w="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tblGrid>
            <w:tr>
              <w:tc>
                <w:tcPr>
                  <w:tcW w:type="dxa" w:w="4500"/>
                  <w:gridSpan w:val="2"/>
                  <w:tcBorders>
                    <w:top w:val="single" w:color="E5E7EB" w:sz="1"/>
                    <w:left w:val="single" w:color="E5E7EB" w:sz="1"/>
                    <w:bottom w:val="single" w:color="E5E7EB" w:sz="1"/>
                    <w:right w:val="single" w:color="E5E7EB" w:sz="1"/>
                  </w:tcBorders>
                  <w:shd w:fill="1D4ED8" w:val="clear"/>
                  <w:tcMar>
                    <w:top w:type="dxa" w:w="80"/>
                    <w:left w:type="dxa" w:w="160"/>
                    <w:bottom w:type="dxa" w:w="80"/>
                    <w:right w:type="dxa" w:w="160"/>
                  </w:tcMar>
                </w:tcPr>
                <w:p>
                  <w:r>
                    <w:rPr>
                      <w:rFonts w:ascii="Arial" w:cs="Arial" w:eastAsia="Arial" w:hAnsi="Arial"/>
                      <w:b/>
                      <w:bCs/>
                      <w:color w:val="FFFFFF"/>
                      <w:sz w:val="22"/>
                      <w:szCs w:val="22"/>
                    </w:rPr>
                    <w:t xml:space="preserve">📋 Planning</w:t>
                  </w:r>
                </w:p>
              </w:tc>
            </w:tr>
            <w:tr>
              <w:tc>
                <w:tcPr>
                  <w:tcW w:type="dxa" w:w="1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1F2937"/>
                      <w:sz w:val="19"/>
                      <w:szCs w:val="19"/>
                    </w:rPr>
                    <w:t xml:space="preserve">ERG Guide</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Emergency Response Guide #</w:t>
                  </w:r>
                </w:p>
              </w:tc>
            </w:tr>
            <w:tr>
              <w:tc>
                <w:tcPr>
                  <w:tcW w:type="dxa" w:w="1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1F2937"/>
                      <w:sz w:val="19"/>
                      <w:szCs w:val="19"/>
                    </w:rPr>
                    <w:t xml:space="preserve">Report #</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HZ-YYYY-XXX reference</w:t>
                  </w:r>
                </w:p>
              </w:tc>
            </w:tr>
            <w:tr>
              <w:tc>
                <w:tcPr>
                  <w:tcW w:type="dxa" w:w="1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1F2937"/>
                      <w:sz w:val="19"/>
                      <w:szCs w:val="19"/>
                    </w:rPr>
                    <w:t xml:space="preserve">Notes</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Pre-plans used, CHEMTREC, notifications</w:t>
                  </w:r>
                </w:p>
              </w:tc>
            </w:tr>
          </w:tbl>
          <w:p/>
        </w:tc>
      </w:tr>
      <w:tr>
        <w:tc>
          <w:tcPr>
            <w:tcW w:type="dxa" w:w="4500"/>
            <w:tcBorders>
              <w:top w:val="none" w:color="FFFFFF" w:sz="0"/>
              <w:left w:val="none" w:color="FFFFFF" w:sz="0"/>
              <w:bottom w:val="none" w:color="FFFFFF" w:sz="0"/>
              <w:right w:val="none" w:color="FFFFFF" w:sz="0"/>
            </w:tcBorders>
            <w:tcMar>
              <w:top w:type="dxa" w:w="120"/>
              <w:left w:type="dxa" w:w="0"/>
              <w:bottom w:type="dxa" w:w="0"/>
              <w:right w:type="dxa" w:w="18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tblGrid>
            <w:tr>
              <w:tc>
                <w:tcPr>
                  <w:tcW w:type="dxa" w:w="4500"/>
                  <w:gridSpan w:val="2"/>
                  <w:tcBorders>
                    <w:top w:val="single" w:color="E5E7EB" w:sz="1"/>
                    <w:left w:val="single" w:color="E5E7EB" w:sz="1"/>
                    <w:bottom w:val="single" w:color="E5E7EB" w:sz="1"/>
                    <w:right w:val="single" w:color="E5E7EB"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 Logistics</w:t>
                  </w:r>
                </w:p>
              </w:tc>
            </w:tr>
            <w:tr>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r>
                    <w:rPr>
                      <w:rFonts w:ascii="Arial" w:cs="Arial" w:eastAsia="Arial" w:hAnsi="Arial"/>
                      <w:b/>
                      <w:bCs/>
                      <w:color w:val="1F2937"/>
                      <w:sz w:val="19"/>
                      <w:szCs w:val="19"/>
                    </w:rPr>
                    <w:t xml:space="preserve">Notes</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Equipment deployed, supplies used, mutual aid, contractors</w:t>
                  </w:r>
                </w:p>
              </w:tc>
            </w:tr>
          </w:tbl>
          <w:p/>
        </w:tc>
        <w:tc>
          <w:tcPr>
            <w:tcW w:type="dxa" w:w="4860"/>
            <w:tcBorders>
              <w:top w:val="none" w:color="FFFFFF" w:sz="0"/>
              <w:left w:val="none" w:color="FFFFFF" w:sz="0"/>
              <w:bottom w:val="none" w:color="FFFFFF" w:sz="0"/>
              <w:right w:val="none" w:color="FFFFFF" w:sz="0"/>
            </w:tcBorders>
            <w:tcMar>
              <w:top w:type="dxa" w:w="120"/>
              <w:left w:type="dxa" w:w="180"/>
              <w:bottom w:type="dxa" w:w="0"/>
              <w:right w:type="dxa" w:w="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tblGrid>
            <w:tr>
              <w:tc>
                <w:tcPr>
                  <w:tcW w:type="dxa" w:w="4500"/>
                  <w:gridSpan w:val="2"/>
                  <w:tcBorders>
                    <w:top w:val="single" w:color="E5E7EB" w:sz="1"/>
                    <w:left w:val="single" w:color="E5E7EB" w:sz="1"/>
                    <w:bottom w:val="single" w:color="E5E7EB" w:sz="1"/>
                    <w:right w:val="single" w:color="E5E7EB" w:sz="1"/>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 Finance</w:t>
                  </w:r>
                </w:p>
              </w:tc>
            </w:tr>
            <w:tr>
              <w:tc>
                <w:tcPr>
                  <w:tcW w:type="dxa" w:w="1800"/>
                  <w:tcBorders>
                    <w:top w:val="single" w:color="E5E7EB" w:sz="1"/>
                    <w:left w:val="single" w:color="E5E7EB" w:sz="1"/>
                    <w:bottom w:val="single" w:color="E5E7EB" w:sz="1"/>
                    <w:right w:val="single" w:color="E5E7EB" w:sz="1"/>
                  </w:tcBorders>
                  <w:shd w:fill="FAF5FF" w:val="clear"/>
                  <w:tcMar>
                    <w:top w:type="dxa" w:w="60"/>
                    <w:left w:type="dxa" w:w="120"/>
                    <w:bottom w:type="dxa" w:w="60"/>
                    <w:right w:type="dxa" w:w="120"/>
                  </w:tcMar>
                </w:tcPr>
                <w:p>
                  <w:r>
                    <w:rPr>
                      <w:rFonts w:ascii="Arial" w:cs="Arial" w:eastAsia="Arial" w:hAnsi="Arial"/>
                      <w:b/>
                      <w:bCs/>
                      <w:color w:val="1F2937"/>
                      <w:sz w:val="19"/>
                      <w:szCs w:val="19"/>
                    </w:rPr>
                    <w:t xml:space="preserve">Est. Cost</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Estimated cleanup / response cost</w:t>
                  </w:r>
                </w:p>
              </w:tc>
            </w:tr>
            <w:tr>
              <w:tc>
                <w:tcPr>
                  <w:tcW w:type="dxa" w:w="1800"/>
                  <w:tcBorders>
                    <w:top w:val="single" w:color="E5E7EB" w:sz="1"/>
                    <w:left w:val="single" w:color="E5E7EB" w:sz="1"/>
                    <w:bottom w:val="single" w:color="E5E7EB" w:sz="1"/>
                    <w:right w:val="single" w:color="E5E7EB" w:sz="1"/>
                  </w:tcBorders>
                  <w:shd w:fill="FAF5FF" w:val="clear"/>
                  <w:tcMar>
                    <w:top w:type="dxa" w:w="60"/>
                    <w:left w:type="dxa" w:w="120"/>
                    <w:bottom w:type="dxa" w:w="60"/>
                    <w:right w:type="dxa" w:w="120"/>
                  </w:tcMar>
                </w:tcPr>
                <w:p>
                  <w:r>
                    <w:rPr>
                      <w:rFonts w:ascii="Arial" w:cs="Arial" w:eastAsia="Arial" w:hAnsi="Arial"/>
                      <w:b/>
                      <w:bCs/>
                      <w:color w:val="1F2937"/>
                      <w:sz w:val="19"/>
                      <w:szCs w:val="19"/>
                    </w:rPr>
                    <w:t xml:space="preserve">Contractor</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Environmental contractor name</w:t>
                  </w:r>
                </w:p>
              </w:tc>
            </w:tr>
            <w:tr>
              <w:tc>
                <w:tcPr>
                  <w:tcW w:type="dxa" w:w="1800"/>
                  <w:tcBorders>
                    <w:top w:val="single" w:color="E5E7EB" w:sz="1"/>
                    <w:left w:val="single" w:color="E5E7EB" w:sz="1"/>
                    <w:bottom w:val="single" w:color="E5E7EB" w:sz="1"/>
                    <w:right w:val="single" w:color="E5E7EB" w:sz="1"/>
                  </w:tcBorders>
                  <w:shd w:fill="FAF5FF" w:val="clear"/>
                  <w:tcMar>
                    <w:top w:type="dxa" w:w="60"/>
                    <w:left w:type="dxa" w:w="120"/>
                    <w:bottom w:type="dxa" w:w="60"/>
                    <w:right w:type="dxa" w:w="120"/>
                  </w:tcMar>
                </w:tcPr>
                <w:p>
                  <w:r>
                    <w:rPr>
                      <w:rFonts w:ascii="Arial" w:cs="Arial" w:eastAsia="Arial" w:hAnsi="Arial"/>
                      <w:b/>
                      <w:bCs/>
                      <w:color w:val="1F2937"/>
                      <w:sz w:val="19"/>
                      <w:szCs w:val="19"/>
                    </w:rPr>
                    <w:t xml:space="preserve">Notes</w:t>
                  </w:r>
                </w:p>
              </w:tc>
              <w:tc>
                <w:tcPr>
                  <w:tcW w:type="dxa" w:w="27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6B7280"/>
                      <w:sz w:val="19"/>
                      <w:szCs w:val="19"/>
                    </w:rPr>
                    <w:t xml:space="preserve">Cost recovery, insurance, reimbursement</w:t>
                  </w:r>
                </w:p>
              </w:tc>
            </w:tr>
          </w:tbl>
          <w:p/>
        </w:tc>
      </w:tr>
    </w:tbl>
    <w:p>
      <w:pPr>
        <w:spacing w:after="200" w:before="0"/>
      </w:pPr>
      <w:r>
        <w:t xml:space="preserve"/>
      </w:r>
    </w:p>
    <w:p>
      <w:pPr>
        <w:pStyle w:val="Heading1"/>
        <w:pBdr>
          <w:bottom w:val="single" w:color="B91C1C" w:sz="8" w:space="4"/>
        </w:pBdr>
        <w:spacing w:after="160" w:before="360"/>
      </w:pPr>
      <w:r>
        <w:rPr>
          <w:rFonts w:ascii="Arial" w:cs="Arial" w:eastAsia="Arial" w:hAnsi="Arial"/>
          <w:b/>
          <w:bCs/>
          <w:color w:val="B91C1C"/>
          <w:sz w:val="36"/>
          <w:szCs w:val="36"/>
        </w:rPr>
        <w:t xml:space="preserve">Hazmat Certifications</w:t>
      </w:r>
    </w:p>
    <w:p>
      <w:pPr>
        <w:spacing w:after="100" w:before="60"/>
      </w:pPr>
      <w:r>
        <w:rPr>
          <w:rFonts w:ascii="Arial" w:cs="Arial" w:eastAsia="Arial" w:hAnsi="Arial"/>
          <w:color w:val="1F2937"/>
          <w:sz w:val="22"/>
          <w:szCs w:val="22"/>
        </w:rPr>
        <w:t xml:space="preserve">Hazmat certifications are tracked in Training Records alongside all other member credentials. There is no separate certification system for Hazmat — all training history, expiration dates, and instructor records live in one place.</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Certification Levels</w:t>
      </w:r>
    </w:p>
    <w:p>
      <w:pPr>
        <w:spacing w:after="100" w:before="60"/>
      </w:pPr>
      <w:r>
        <w:rPr>
          <w:rFonts w:ascii="Arial" w:cs="Arial" w:eastAsia="Arial" w:hAnsi="Arial"/>
          <w:color w:val="1F2937"/>
          <w:sz w:val="22"/>
          <w:szCs w:val="22"/>
        </w:rPr>
        <w:t xml:space="preserve">Open Firehouse supports all NFPA 472 / OSHA 1910.120 Hazmat certification levels: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Awareness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Basic recognition and notification. First responders at all levels.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Operations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Defensive response. Can implement protective actions.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Technician</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Offensive response. Can plug, patch, and contain.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Specialist</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Advanced technician with chemical-specific expertise.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Incident Commander</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Assumes command of Hazmat incidents.</w:t>
            </w:r>
          </w:p>
        </w:tc>
      </w:tr>
    </w:tbl>
    <w:p>
      <w:pPr>
        <w:spacing w:after="160" w:before="0"/>
      </w:pPr>
      <w:r>
        <w:t xml:space="preserve"/>
      </w:r>
    </w:p>
    <w:p>
      <w:pPr>
        <w:pStyle w:val="Heading2"/>
        <w:spacing w:after="100" w:before="280"/>
      </w:pPr>
      <w:r>
        <w:rPr>
          <w:rFonts w:ascii="Arial" w:cs="Arial" w:eastAsia="Arial" w:hAnsi="Arial"/>
          <w:b/>
          <w:bCs/>
          <w:color w:val="1F2937"/>
          <w:sz w:val="28"/>
          <w:szCs w:val="28"/>
        </w:rPr>
        <w:t xml:space="preserve">How to Track a Hazmat Certification</w:t>
      </w:r>
    </w:p>
    <w:p>
      <w:pPr>
        <w:pStyle w:val="ListParagraph"/>
        <w:numPr>
          <w:ilvl w:val="0"/>
          <w:numId w:val="2"/>
        </w:numPr>
        <w:spacing w:after="60" w:before="60"/>
      </w:pPr>
      <w:r>
        <w:rPr>
          <w:rFonts w:ascii="Arial" w:cs="Arial" w:eastAsia="Arial" w:hAnsi="Arial"/>
          <w:color w:val="1F2937"/>
          <w:sz w:val="22"/>
          <w:szCs w:val="22"/>
        </w:rPr>
        <w:t xml:space="preserve">Navigate to </w:t>
      </w:r>
      <w:r>
        <w:rPr>
          <w:rFonts w:ascii="Arial" w:cs="Arial" w:eastAsia="Arial" w:hAnsi="Arial"/>
          <w:b/>
          <w:bCs/>
          <w:color w:val="1F2937"/>
          <w:sz w:val="22"/>
          <w:szCs w:val="22"/>
        </w:rPr>
        <w:t xml:space="preserve">Personnel → Training Records</w:t>
      </w:r>
      <w:r>
        <w:rPr>
          <w:rFonts w:ascii="Arial" w:cs="Arial" w:eastAsia="Arial" w:hAnsi="Arial"/>
          <w:color w:val="1F2937"/>
          <w:sz w:val="22"/>
          <w:szCs w:val="22"/>
        </w:rPr>
        <w:t xml:space="preserve">.</w:t>
      </w:r>
    </w:p>
    <w:p>
      <w:pPr>
        <w:pStyle w:val="ListParagraph"/>
        <w:numPr>
          <w:ilvl w:val="0"/>
          <w:numId w:val="2"/>
        </w:numPr>
        <w:spacing w:after="60" w:before="60"/>
      </w:pPr>
      <w:r>
        <w:rPr>
          <w:rFonts w:ascii="Arial" w:cs="Arial" w:eastAsia="Arial" w:hAnsi="Arial"/>
          <w:color w:val="1F2937"/>
          <w:sz w:val="22"/>
          <w:szCs w:val="22"/>
        </w:rPr>
        <w:t xml:space="preserve">Click </w:t>
      </w:r>
      <w:r>
        <w:rPr>
          <w:rFonts w:ascii="Arial" w:cs="Arial" w:eastAsia="Arial" w:hAnsi="Arial"/>
          <w:b/>
          <w:bCs/>
          <w:color w:val="1F2937"/>
          <w:sz w:val="22"/>
          <w:szCs w:val="22"/>
        </w:rPr>
        <w:t xml:space="preserve">Add Training Record</w:t>
      </w:r>
      <w:r>
        <w:rPr>
          <w:rFonts w:ascii="Arial" w:cs="Arial" w:eastAsia="Arial" w:hAnsi="Arial"/>
          <w:color w:val="1F2937"/>
          <w:sz w:val="22"/>
          <w:szCs w:val="22"/>
        </w:rPr>
        <w:t xml:space="preserve">.</w:t>
      </w:r>
    </w:p>
    <w:p>
      <w:pPr>
        <w:pStyle w:val="ListParagraph"/>
        <w:numPr>
          <w:ilvl w:val="0"/>
          <w:numId w:val="2"/>
        </w:numPr>
        <w:spacing w:after="60" w:before="60"/>
      </w:pPr>
      <w:r>
        <w:rPr>
          <w:rFonts w:ascii="Arial" w:cs="Arial" w:eastAsia="Arial" w:hAnsi="Arial"/>
          <w:color w:val="1F2937"/>
          <w:sz w:val="22"/>
          <w:szCs w:val="22"/>
        </w:rPr>
        <w:t xml:space="preserve">Set the Type to </w:t>
      </w:r>
      <w:r>
        <w:rPr>
          <w:rFonts w:ascii="Arial" w:cs="Arial" w:eastAsia="Arial" w:hAnsi="Arial"/>
          <w:b/>
          <w:bCs/>
          <w:color w:val="1F2937"/>
          <w:sz w:val="22"/>
          <w:szCs w:val="22"/>
        </w:rPr>
        <w:t xml:space="preserve">HazMat</w:t>
      </w:r>
      <w:r>
        <w:rPr>
          <w:rFonts w:ascii="Arial" w:cs="Arial" w:eastAsia="Arial" w:hAnsi="Arial"/>
          <w:color w:val="1F2937"/>
          <w:sz w:val="22"/>
          <w:szCs w:val="22"/>
        </w:rPr>
        <w:t xml:space="preserve"> and the Course Name to the appropriate level (e.g., </w:t>
      </w:r>
      <w:r>
        <w:rPr>
          <w:rFonts w:ascii="Arial" w:cs="Arial" w:eastAsia="Arial" w:hAnsi="Arial"/>
          <w:b/>
          <w:bCs/>
          <w:color w:val="1F2937"/>
          <w:sz w:val="22"/>
          <w:szCs w:val="22"/>
        </w:rPr>
        <w:t xml:space="preserve">HazMat Technician</w:t>
      </w:r>
      <w:r>
        <w:rPr>
          <w:rFonts w:ascii="Arial" w:cs="Arial" w:eastAsia="Arial" w:hAnsi="Arial"/>
          <w:color w:val="1F2937"/>
          <w:sz w:val="22"/>
          <w:szCs w:val="22"/>
        </w:rPr>
        <w:t xml:space="preserve">).</w:t>
      </w:r>
    </w:p>
    <w:p>
      <w:pPr>
        <w:pStyle w:val="ListParagraph"/>
        <w:numPr>
          <w:ilvl w:val="0"/>
          <w:numId w:val="2"/>
        </w:numPr>
        <w:spacing w:after="60" w:before="60"/>
      </w:pPr>
      <w:r>
        <w:rPr>
          <w:rFonts w:ascii="Arial" w:cs="Arial" w:eastAsia="Arial" w:hAnsi="Arial"/>
          <w:color w:val="1F2937"/>
          <w:sz w:val="22"/>
          <w:szCs w:val="22"/>
        </w:rPr>
        <w:t xml:space="preserve">Enter the completion date, expiration date, issuing body (e.g., IFSAC, ProBoard), and certificate number.</w:t>
      </w:r>
    </w:p>
    <w:p>
      <w:pPr>
        <w:pStyle w:val="ListParagraph"/>
        <w:numPr>
          <w:ilvl w:val="0"/>
          <w:numId w:val="2"/>
        </w:numPr>
        <w:spacing w:after="60" w:before="60"/>
      </w:pPr>
      <w:r>
        <w:rPr>
          <w:rFonts w:ascii="Arial" w:cs="Arial" w:eastAsia="Arial" w:hAnsi="Arial"/>
          <w:color w:val="1F2937"/>
          <w:sz w:val="22"/>
          <w:szCs w:val="22"/>
        </w:rPr>
        <w:t xml:space="preserve">The system will flag expiring certifications automatically based on the expiration date.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60" w:before="0"/>
            </w:pPr>
            <w:r>
              <w:rPr>
                <w:rFonts w:ascii="Arial" w:cs="Arial" w:eastAsia="Arial" w:hAnsi="Arial"/>
                <w:b/>
                <w:bCs/>
                <w:color w:val="15803D"/>
                <w:sz w:val="20"/>
                <w:szCs w:val="20"/>
              </w:rPr>
              <w:t xml:space="preserve">Tip: Expiration Alerts</w:t>
            </w:r>
          </w:p>
          <w:p>
            <w:pPr>
              <w:spacing w:after="0" w:before="0"/>
            </w:pPr>
            <w:r>
              <w:rPr>
                <w:rFonts w:ascii="Arial" w:cs="Arial" w:eastAsia="Arial" w:hAnsi="Arial"/>
                <w:color w:val="1F2937"/>
                <w:sz w:val="21"/>
                <w:szCs w:val="21"/>
              </w:rPr>
              <w:t xml:space="preserve">Open Firehouse automatically surfaces training records expiring within 90 days in the Notifications Center. Make sure expiration dates are entered accurately so your department does not miss renewal deadlines.</w:t>
            </w:r>
          </w:p>
        </w:tc>
      </w:tr>
    </w:tbl>
    <w:p>
      <w:pPr>
        <w:spacing w:after="200" w:before="0"/>
      </w:pPr>
      <w:r>
        <w:t xml:space="preserve"/>
      </w:r>
    </w:p>
    <w:p>
      <w:pPr>
        <w:pStyle w:val="Heading1"/>
        <w:pBdr>
          <w:bottom w:val="single" w:color="B91C1C" w:sz="8" w:space="4"/>
        </w:pBdr>
        <w:spacing w:after="160" w:before="360"/>
      </w:pPr>
      <w:r>
        <w:rPr>
          <w:rFonts w:ascii="Arial" w:cs="Arial" w:eastAsia="Arial" w:hAnsi="Arial"/>
          <w:b/>
          <w:bCs/>
          <w:color w:val="B91C1C"/>
          <w:sz w:val="36"/>
          <w:szCs w:val="36"/>
        </w:rPr>
        <w:t xml:space="preserve">Hazmat Apparatus</w:t>
      </w:r>
    </w:p>
    <w:p>
      <w:pPr>
        <w:spacing w:after="100" w:before="60"/>
      </w:pPr>
      <w:r>
        <w:rPr>
          <w:rFonts w:ascii="Arial" w:cs="Arial" w:eastAsia="Arial" w:hAnsi="Arial"/>
          <w:color w:val="1F2937"/>
          <w:sz w:val="22"/>
          <w:szCs w:val="22"/>
        </w:rPr>
        <w:t xml:space="preserve">The Hazmat truck is managed in the Apparatus Tracker as a standard piece of apparatus with type set to “Hazmat.” This means it receives the same maintenance scheduling, inspection checklists, and status tracking as Engine 1, Rescue 2, or any other unit in the fleet.</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Adding the Hazmat Truck</w:t>
      </w:r>
    </w:p>
    <w:p>
      <w:pPr>
        <w:pStyle w:val="ListParagraph"/>
        <w:numPr>
          <w:ilvl w:val="0"/>
          <w:numId w:val="2"/>
        </w:numPr>
        <w:spacing w:after="60" w:before="60"/>
      </w:pPr>
      <w:r>
        <w:rPr>
          <w:rFonts w:ascii="Arial" w:cs="Arial" w:eastAsia="Arial" w:hAnsi="Arial"/>
          <w:color w:val="1F2937"/>
          <w:sz w:val="22"/>
          <w:szCs w:val="22"/>
        </w:rPr>
        <w:t xml:space="preserve">Navigate to </w:t>
      </w:r>
      <w:r>
        <w:rPr>
          <w:rFonts w:ascii="Arial" w:cs="Arial" w:eastAsia="Arial" w:hAnsi="Arial"/>
          <w:b/>
          <w:bCs/>
          <w:color w:val="1F2937"/>
          <w:sz w:val="22"/>
          <w:szCs w:val="22"/>
        </w:rPr>
        <w:t xml:space="preserve">Apparatus → Apparatus Tracker</w:t>
      </w:r>
      <w:r>
        <w:rPr>
          <w:rFonts w:ascii="Arial" w:cs="Arial" w:eastAsia="Arial" w:hAnsi="Arial"/>
          <w:color w:val="1F2937"/>
          <w:sz w:val="22"/>
          <w:szCs w:val="22"/>
        </w:rPr>
        <w:t xml:space="preserve">.</w:t>
      </w:r>
    </w:p>
    <w:p>
      <w:pPr>
        <w:pStyle w:val="ListParagraph"/>
        <w:numPr>
          <w:ilvl w:val="0"/>
          <w:numId w:val="2"/>
        </w:numPr>
        <w:spacing w:after="60" w:before="60"/>
      </w:pPr>
      <w:r>
        <w:rPr>
          <w:rFonts w:ascii="Arial" w:cs="Arial" w:eastAsia="Arial" w:hAnsi="Arial"/>
          <w:color w:val="1F2937"/>
          <w:sz w:val="22"/>
          <w:szCs w:val="22"/>
        </w:rPr>
        <w:t xml:space="preserve">Click </w:t>
      </w:r>
      <w:r>
        <w:rPr>
          <w:rFonts w:ascii="Arial" w:cs="Arial" w:eastAsia="Arial" w:hAnsi="Arial"/>
          <w:b/>
          <w:bCs/>
          <w:color w:val="1F2937"/>
          <w:sz w:val="22"/>
          <w:szCs w:val="22"/>
        </w:rPr>
        <w:t xml:space="preserve">Add Apparatus</w:t>
      </w:r>
      <w:r>
        <w:rPr>
          <w:rFonts w:ascii="Arial" w:cs="Arial" w:eastAsia="Arial" w:hAnsi="Arial"/>
          <w:color w:val="1F2937"/>
          <w:sz w:val="22"/>
          <w:szCs w:val="22"/>
        </w:rPr>
        <w:t xml:space="preserve">.</w:t>
      </w:r>
    </w:p>
    <w:p>
      <w:pPr>
        <w:pStyle w:val="ListParagraph"/>
        <w:numPr>
          <w:ilvl w:val="0"/>
          <w:numId w:val="2"/>
        </w:numPr>
        <w:spacing w:after="60" w:before="60"/>
      </w:pPr>
      <w:r>
        <w:rPr>
          <w:rFonts w:ascii="Arial" w:cs="Arial" w:eastAsia="Arial" w:hAnsi="Arial"/>
          <w:color w:val="1F2937"/>
          <w:sz w:val="22"/>
          <w:szCs w:val="22"/>
        </w:rPr>
        <w:t xml:space="preserve">Set Type to </w:t>
      </w:r>
      <w:r>
        <w:rPr>
          <w:rFonts w:ascii="Arial" w:cs="Arial" w:eastAsia="Arial" w:hAnsi="Arial"/>
          <w:b/>
          <w:bCs/>
          <w:color w:val="1F2937"/>
          <w:sz w:val="22"/>
          <w:szCs w:val="22"/>
        </w:rPr>
        <w:t xml:space="preserve">Hazmat</w:t>
      </w:r>
      <w:r>
        <w:rPr>
          <w:rFonts w:ascii="Arial" w:cs="Arial" w:eastAsia="Arial" w:hAnsi="Arial"/>
          <w:color w:val="1F2937"/>
          <w:sz w:val="22"/>
          <w:szCs w:val="22"/>
        </w:rPr>
        <w:t xml:space="preserve">. Enter the unit designation, year, make, model, and VIN.</w:t>
      </w:r>
    </w:p>
    <w:p>
      <w:pPr>
        <w:pStyle w:val="ListParagraph"/>
        <w:numPr>
          <w:ilvl w:val="0"/>
          <w:numId w:val="2"/>
        </w:numPr>
        <w:spacing w:after="60" w:before="60"/>
      </w:pPr>
      <w:r>
        <w:rPr>
          <w:rFonts w:ascii="Arial" w:cs="Arial" w:eastAsia="Arial" w:hAnsi="Arial"/>
          <w:color w:val="1F2937"/>
          <w:sz w:val="22"/>
          <w:szCs w:val="22"/>
        </w:rPr>
        <w:t xml:space="preserve">Use the Maintenance Log and Inspection Checklists to schedule and track service.</w:t>
      </w:r>
    </w:p>
    <w:p>
      <w:pPr>
        <w:spacing w:after="160" w:before="0"/>
      </w:pPr>
      <w:r>
        <w:t xml:space="preserve"/>
      </w:r>
    </w:p>
    <w:p>
      <w:pPr>
        <w:pStyle w:val="Heading2"/>
        <w:spacing w:after="100" w:before="280"/>
      </w:pPr>
      <w:r>
        <w:rPr>
          <w:rFonts w:ascii="Arial" w:cs="Arial" w:eastAsia="Arial" w:hAnsi="Arial"/>
          <w:b/>
          <w:bCs/>
          <w:color w:val="1F2937"/>
          <w:sz w:val="28"/>
          <w:szCs w:val="28"/>
        </w:rPr>
        <w:t xml:space="preserve">Apparatus Benefits for Hazmat</w:t>
      </w:r>
    </w:p>
    <w:p>
      <w:pPr>
        <w:pStyle w:val="ListParagraph"/>
        <w:numPr>
          <w:ilvl w:val="0"/>
          <w:numId w:val="3"/>
        </w:numPr>
        <w:spacing w:after="40" w:before="40"/>
      </w:pPr>
      <w:r>
        <w:rPr>
          <w:rFonts w:ascii="Arial" w:cs="Arial" w:eastAsia="Arial" w:hAnsi="Arial"/>
          <w:b/>
          <w:bCs/>
          <w:color w:val="1F2937"/>
          <w:sz w:val="22"/>
          <w:szCs w:val="22"/>
        </w:rPr>
        <w:t xml:space="preserve">Availability: </w:t>
      </w:r>
      <w:r>
        <w:rPr>
          <w:rFonts w:ascii="Arial" w:cs="Arial" w:eastAsia="Arial" w:hAnsi="Arial"/>
          <w:color w:val="1F2937"/>
          <w:sz w:val="22"/>
          <w:szCs w:val="22"/>
        </w:rPr>
        <w:t xml:space="preserve"> Status tracking (In Service, Out of Service, Reserve)</w:t>
      </w:r>
    </w:p>
    <w:p>
      <w:pPr>
        <w:pStyle w:val="ListParagraph"/>
        <w:numPr>
          <w:ilvl w:val="0"/>
          <w:numId w:val="3"/>
        </w:numPr>
        <w:spacing w:after="40" w:before="40"/>
      </w:pPr>
      <w:r>
        <w:rPr>
          <w:rFonts w:ascii="Arial" w:cs="Arial" w:eastAsia="Arial" w:hAnsi="Arial"/>
          <w:b/>
          <w:bCs/>
          <w:color w:val="1F2937"/>
          <w:sz w:val="22"/>
          <w:szCs w:val="22"/>
        </w:rPr>
        <w:t xml:space="preserve">Maintenance: </w:t>
      </w:r>
      <w:r>
        <w:rPr>
          <w:rFonts w:ascii="Arial" w:cs="Arial" w:eastAsia="Arial" w:hAnsi="Arial"/>
          <w:color w:val="1F2937"/>
          <w:sz w:val="22"/>
          <w:szCs w:val="22"/>
        </w:rPr>
        <w:t xml:space="preserve"> Scheduled PM intervals and mileage-based service</w:t>
      </w:r>
    </w:p>
    <w:p>
      <w:pPr>
        <w:pStyle w:val="ListParagraph"/>
        <w:numPr>
          <w:ilvl w:val="0"/>
          <w:numId w:val="3"/>
        </w:numPr>
        <w:spacing w:after="40" w:before="40"/>
      </w:pPr>
      <w:r>
        <w:rPr>
          <w:rFonts w:ascii="Arial" w:cs="Arial" w:eastAsia="Arial" w:hAnsi="Arial"/>
          <w:b/>
          <w:bCs/>
          <w:color w:val="1F2937"/>
          <w:sz w:val="22"/>
          <w:szCs w:val="22"/>
        </w:rPr>
        <w:t xml:space="preserve">Inspections: </w:t>
      </w:r>
      <w:r>
        <w:rPr>
          <w:rFonts w:ascii="Arial" w:cs="Arial" w:eastAsia="Arial" w:hAnsi="Arial"/>
          <w:color w:val="1F2937"/>
          <w:sz w:val="22"/>
          <w:szCs w:val="22"/>
        </w:rPr>
        <w:t xml:space="preserve"> Pre-trip and post-trip inspection forms</w:t>
      </w:r>
    </w:p>
    <w:p>
      <w:pPr>
        <w:pStyle w:val="ListParagraph"/>
        <w:numPr>
          <w:ilvl w:val="0"/>
          <w:numId w:val="3"/>
        </w:numPr>
        <w:spacing w:after="40" w:before="40"/>
      </w:pPr>
      <w:r>
        <w:rPr>
          <w:rFonts w:ascii="Arial" w:cs="Arial" w:eastAsia="Arial" w:hAnsi="Arial"/>
          <w:b/>
          <w:bCs/>
          <w:color w:val="1F2937"/>
          <w:sz w:val="22"/>
          <w:szCs w:val="22"/>
        </w:rPr>
        <w:t xml:space="preserve">Dispatch integration: </w:t>
      </w:r>
      <w:r>
        <w:rPr>
          <w:rFonts w:ascii="Arial" w:cs="Arial" w:eastAsia="Arial" w:hAnsi="Arial"/>
          <w:color w:val="1F2937"/>
          <w:sz w:val="22"/>
          <w:szCs w:val="22"/>
        </w:rPr>
        <w:t xml:space="preserve"> When a Hazmat unit is selected during incident logging, it appears automatically in the Units Responding list</w:t>
      </w:r>
    </w:p>
    <w:p>
      <w:pPr>
        <w:spacing w:after="200" w:before="0"/>
      </w:pPr>
      <w:r>
        <w:t xml:space="preserve"/>
      </w:r>
    </w:p>
    <w:p>
      <w:pPr>
        <w:pStyle w:val="Heading1"/>
        <w:pBdr>
          <w:bottom w:val="single" w:color="B91C1C" w:sz="8" w:space="4"/>
        </w:pBdr>
        <w:spacing w:after="160" w:before="360"/>
      </w:pPr>
      <w:r>
        <w:rPr>
          <w:rFonts w:ascii="Arial" w:cs="Arial" w:eastAsia="Arial" w:hAnsi="Arial"/>
          <w:b/>
          <w:bCs/>
          <w:color w:val="B91C1C"/>
          <w:sz w:val="36"/>
          <w:szCs w:val="36"/>
        </w:rPr>
        <w:t xml:space="preserve">Quick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991B1B"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3120"/>
            <w:tcBorders>
              <w:top w:val="single" w:color="E5E7EB" w:sz="1"/>
              <w:left w:val="single" w:color="E5E7EB" w:sz="1"/>
              <w:bottom w:val="single" w:color="E5E7EB" w:sz="1"/>
              <w:right w:val="single" w:color="E5E7EB" w:sz="1"/>
            </w:tcBorders>
            <w:shd w:fill="991B1B" w:val="clear"/>
            <w:tcMar>
              <w:top w:type="dxa" w:w="100"/>
              <w:left w:type="dxa" w:w="160"/>
              <w:bottom w:type="dxa" w:w="100"/>
              <w:right w:type="dxa" w:w="160"/>
            </w:tcMar>
          </w:tcPr>
          <w:p>
            <w:r>
              <w:rPr>
                <w:rFonts w:ascii="Arial" w:cs="Arial" w:eastAsia="Arial" w:hAnsi="Arial"/>
                <w:b/>
                <w:bCs/>
                <w:color w:val="FFFFFF"/>
                <w:sz w:val="20"/>
                <w:szCs w:val="20"/>
              </w:rPr>
              <w:t xml:space="preserve">Where to Go</w:t>
            </w:r>
          </w:p>
        </w:tc>
        <w:tc>
          <w:tcPr>
            <w:tcW w:type="dxa" w:w="3120"/>
            <w:tcBorders>
              <w:top w:val="single" w:color="E5E7EB" w:sz="1"/>
              <w:left w:val="single" w:color="E5E7EB" w:sz="1"/>
              <w:bottom w:val="single" w:color="E5E7EB" w:sz="1"/>
              <w:right w:val="single" w:color="E5E7EB" w:sz="1"/>
            </w:tcBorders>
            <w:shd w:fill="991B1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F2937"/>
                <w:sz w:val="19"/>
                <w:szCs w:val="19"/>
              </w:rPr>
              <w:t xml:space="preserve">Log a Hazmat response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B91C1C"/>
                <w:sz w:val="19"/>
                <w:szCs w:val="19"/>
              </w:rPr>
              <w:t xml:space="preserve">Operations → Incident Log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6B7280"/>
                <w:sz w:val="19"/>
                <w:szCs w:val="19"/>
              </w:rPr>
              <w:t xml:space="preserve">Select type = Hazmat or Gas Leak</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F2937"/>
                <w:sz w:val="19"/>
                <w:szCs w:val="19"/>
              </w:rPr>
              <w:t xml:space="preserve">Add ICS detail to an incident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B91C1C"/>
                <w:sz w:val="19"/>
                <w:szCs w:val="19"/>
              </w:rPr>
              <w:t xml:space="preserve">Incident Log → Log Incident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19"/>
                <w:szCs w:val="19"/>
              </w:rPr>
              <w:t xml:space="preserve">ICS panel appears automatically</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F2937"/>
                <w:sz w:val="19"/>
                <w:szCs w:val="19"/>
              </w:rPr>
              <w:t xml:space="preserve">Track a Hazmat cert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B91C1C"/>
                <w:sz w:val="19"/>
                <w:szCs w:val="19"/>
              </w:rPr>
              <w:t xml:space="preserve">Personnel → Training Records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6B7280"/>
                <w:sz w:val="19"/>
                <w:szCs w:val="19"/>
              </w:rPr>
              <w:t xml:space="preserve">Type = HazMat, enter expiry date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F2937"/>
                <w:sz w:val="19"/>
                <w:szCs w:val="19"/>
              </w:rPr>
              <w:t xml:space="preserve">Add Hazmat truck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B91C1C"/>
                <w:sz w:val="19"/>
                <w:szCs w:val="19"/>
              </w:rPr>
              <w:t xml:space="preserve">Apparatus → Apparatus Tracker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19"/>
                <w:szCs w:val="19"/>
              </w:rPr>
              <w:t xml:space="preserve">Type = Hazmat</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F2937"/>
                <w:sz w:val="19"/>
                <w:szCs w:val="19"/>
              </w:rPr>
              <w:t xml:space="preserve">Schedule Hazmat truck PM</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B91C1C"/>
                <w:sz w:val="19"/>
                <w:szCs w:val="19"/>
              </w:rPr>
              <w:t xml:space="preserve">Apparatus → Maintenance Log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6B7280"/>
                <w:sz w:val="19"/>
                <w:szCs w:val="19"/>
              </w:rPr>
              <w:t xml:space="preserve">Link to Hazmat unit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F2937"/>
                <w:sz w:val="19"/>
                <w:szCs w:val="19"/>
              </w:rPr>
              <w:t xml:space="preserve">Run inspection checklist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B91C1C"/>
                <w:sz w:val="19"/>
                <w:szCs w:val="19"/>
              </w:rPr>
              <w:t xml:space="preserve">Apparatus → Inspection Checks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19"/>
                <w:szCs w:val="19"/>
              </w:rPr>
              <w:t xml:space="preserve">Assign to Hazmat unit</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F2937"/>
                <w:sz w:val="19"/>
                <w:szCs w:val="19"/>
              </w:rPr>
              <w:t xml:space="preserve">View cert expiry alerts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B91C1C"/>
                <w:sz w:val="19"/>
                <w:szCs w:val="19"/>
              </w:rPr>
              <w:t xml:space="preserve">Dashboard or Notifications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6B7280"/>
                <w:sz w:val="19"/>
                <w:szCs w:val="19"/>
              </w:rPr>
              <w:t xml:space="preserve">Flags certs expiring ≤ 90 days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180"/>
              <w:bottom w:type="dxa" w:w="120"/>
              <w:right w:type="dxa" w:w="180"/>
            </w:tcMar>
          </w:tcPr>
          <w:p>
            <w:pPr>
              <w:spacing w:after="60" w:before="0"/>
            </w:pPr>
            <w:r>
              <w:rPr>
                <w:rFonts w:ascii="Arial" w:cs="Arial" w:eastAsia="Arial" w:hAnsi="Arial"/>
                <w:b/>
                <w:bCs/>
                <w:color w:val="B91C1C"/>
                <w:sz w:val="20"/>
                <w:szCs w:val="20"/>
              </w:rPr>
              <w:t xml:space="preserve">Questions or Feedback?</w:t>
            </w:r>
          </w:p>
          <w:p>
            <w:pPr>
              <w:spacing w:after="0" w:before="0"/>
            </w:pPr>
            <w:r>
              <w:rPr>
                <w:rFonts w:ascii="Arial" w:cs="Arial" w:eastAsia="Arial" w:hAnsi="Arial"/>
                <w:color w:val="1F2937"/>
                <w:sz w:val="21"/>
                <w:szCs w:val="21"/>
              </w:rPr>
              <w:t xml:space="preserve">Use the Support button (top right in the app) to submit feedback or ask questions. The Open Firehouse team reviews all submissions.</w:t>
            </w:r>
          </w:p>
        </w:tc>
      </w:tr>
    </w:tbl>
    <w:p>
      <w:pPr>
        <w:spacing w:after="1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jc w:val="center"/>
    </w:pPr>
    <w:r>
      <w:rPr>
        <w:rFonts w:ascii="Arial" w:cs="Arial" w:eastAsia="Arial" w:hAnsi="Arial"/>
        <w:color w:val="6B7280"/>
        <w:sz w:val="18"/>
        <w:szCs w:val="18"/>
      </w:rPr>
      <w:t xml:space="preserve">Open Firehouse v0.2  —  Volunteer Fire Department Management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4"/>
      </w:pBdr>
      <w:spacing w:after="120"/>
      <w:jc w:val="right"/>
    </w:pPr>
    <w:r>
      <w:rPr>
        <w:rFonts w:ascii="Arial" w:cs="Arial" w:eastAsia="Arial" w:hAnsi="Arial"/>
        <w:color w:val="6B7280"/>
        <w:sz w:val="18"/>
        <w:szCs w:val="18"/>
      </w:rPr>
      <w:t xml:space="preserve">Open Firehouse  |  Hazmat Management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B91C1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2026-03-11T19:27:11.399Z</dcterms:created>
  <dcterms:modified xsi:type="dcterms:W3CDTF">2026-03-11T19:27:11.399Z</dcterms:modified>
</cp:coreProperties>
</file>

<file path=docProps/custom.xml><?xml version="1.0" encoding="utf-8"?>
<Properties xmlns="http://schemas.openxmlformats.org/officeDocument/2006/custom-properties" xmlns:vt="http://schemas.openxmlformats.org/officeDocument/2006/docPropsVTypes"/>
</file>