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4F46E5" w:val="clear"/>
            <w:tcMar>
              <w:top w:type="dxa" w:w="280"/>
              <w:left w:type="dxa" w:w="280"/>
              <w:bottom w:type="dxa" w:w="280"/>
              <w:right w:type="dxa" w:w="280"/>
            </w:tcMar>
          </w:tcPr>
          <w:p>
            <w:pPr>
              <w:spacing w:after="80"/>
              <w:jc w:val="center"/>
            </w:pPr>
            <w:r>
              <w:rPr>
                <w:rFonts w:ascii="Times New Roman" w:cs="Times New Roman" w:eastAsia="Times New Roman" w:hAnsi="Times New Roman"/>
                <w:b/>
                <w:bCs/>
                <w:color w:val="FFFFFF"/>
                <w:sz w:val="40"/>
                <w:szCs w:val="40"/>
              </w:rPr>
              <w:t xml:space="preserve">HIPAA Business Associate Agreement</w:t>
            </w:r>
          </w:p>
          <w:p>
            <w:pPr>
              <w:spacing w:after="80"/>
              <w:jc w:val="center"/>
            </w:pPr>
            <w:r>
              <w:rPr>
                <w:rFonts w:ascii="Times New Roman" w:cs="Times New Roman" w:eastAsia="Times New Roman" w:hAnsi="Times New Roman"/>
                <w:b w:val="false"/>
                <w:bCs w:val="false"/>
                <w:color w:val="FFFFFF"/>
                <w:sz w:val="26"/>
                <w:szCs w:val="26"/>
              </w:rPr>
              <w:t xml:space="preserve">Pilot Template  —  ClearSight Dental</w:t>
            </w:r>
          </w:p>
          <w:p>
            <w:pPr>
              <w:spacing w:after="80"/>
              <w:jc w:val="center"/>
            </w:pPr>
            <w:r>
              <w:rPr>
                <w:rFonts w:ascii="Times New Roman" w:cs="Times New Roman" w:eastAsia="Times New Roman" w:hAnsi="Times New Roman"/>
                <w:b w:val="false"/>
                <w:bCs w:val="false"/>
                <w:color w:val="FFFFFF"/>
                <w:sz w:val="22"/>
                <w:szCs w:val="22"/>
              </w:rPr>
              <w:t xml:space="preserve">Version 1.0  •  April 2026</w:t>
            </w:r>
          </w:p>
          <w:p>
            <w:pPr>
              <w:spacing w:after="80"/>
              <w:jc w:val="center"/>
            </w:pPr>
            <w:r>
              <w:rPr>
                <w:rFonts w:ascii="Times New Roman" w:cs="Times New Roman" w:eastAsia="Times New Roman" w:hAnsi="Times New Roman"/>
                <w:b/>
                <w:bCs/>
                <w:color w:val="FFFFFF"/>
                <w:sz w:val="20"/>
                <w:szCs w:val="20"/>
              </w:rPr>
              <w:t xml:space="preserve">CONFIDENTIAL — DRAFT FOR COUNSEL REVIEW</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p>
      <w:pPr>
        <w:pStyle w:val="Heading1"/>
        <w:spacing w:after="180" w:before="360"/>
      </w:pPr>
      <w:r>
        <w:rPr>
          <w:rFonts w:ascii="Times New Roman" w:cs="Times New Roman" w:eastAsia="Times New Roman" w:hAnsi="Times New Roman"/>
          <w:b/>
          <w:bCs/>
          <w:color w:val="1B3A5C"/>
          <w:sz w:val="30"/>
          <w:szCs w:val="30"/>
        </w:rPr>
        <w:t xml:space="preserve">Pilot Business Associate Agreement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This Business Associate Agreement ("Agreement") is entered into as of the date last signed below (the "Effective Date") between [Practice Legal Name], a [state]-organized professional entity with principal address at [Practice Address] ("Covered Entity"), and Open Scaffold Labs LLC, doing business as ClearSight Dental, a [state]-organized limited liability company with principal address at [OSL Address] ("Business Associate"). Covered Entity and Business Associate are each a "Party" and together the "Parties."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Parties acknowledge that Business Associate will provide software services (the "Services") in the course of which Business Associate will create, receive, maintain, or transmit Protected Health Information on behalf of Covered Entity. This Agreement sets forth the Parties’ obligations with respect to such Protected Health Information in accordance with the Health Insurance Portability and Accountability Act of 1996 ("HIPAA") and the regulations promulgated thereunder (45 C.F.R. Parts 160 and 164, collectively the "HIPAA Rules").</w:t>
      </w:r>
    </w:p>
    <w:p>
      <w:pPr>
        <w:spacing w:after="120" w:before="0" w:line="360"/>
        <w:jc w:val="both"/>
      </w:pPr>
      <w:r>
        <w:rPr>
          <w:rFonts w:ascii="Times New Roman" w:cs="Times New Roman" w:eastAsia="Times New Roman" w:hAnsi="Times New Roman"/>
          <w:b w:val="false"/>
          <w:bCs w:val="false"/>
          <w:i/>
          <w:iCs/>
          <w:sz w:val="22"/>
          <w:szCs w:val="22"/>
        </w:rPr>
        <w:t xml:space="preserve">This Agreement is intended to support a time-limited clinical pilot; it does not grant any license or ongoing commitment beyond the Pilot Term defined in §9 below. On expiration, the Parties may execute a successor production-tier BAA.</w:t>
      </w:r>
    </w:p>
    <w:p>
      <w:pPr>
        <w:pStyle w:val="Heading1"/>
        <w:spacing w:after="180" w:before="360"/>
      </w:pPr>
      <w:r>
        <w:rPr>
          <w:rFonts w:ascii="Times New Roman" w:cs="Times New Roman" w:eastAsia="Times New Roman" w:hAnsi="Times New Roman"/>
          <w:b/>
          <w:bCs/>
          <w:color w:val="1B3A5C"/>
          <w:sz w:val="30"/>
          <w:szCs w:val="30"/>
        </w:rPr>
        <w:t xml:space="preserve">1.  Definitions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Capitalized terms not otherwise defined in this Agreement have the meanings ascribed to them in the HIPAA Rules.</w:t>
      </w:r>
    </w:p>
    <w:p>
      <w:pPr>
        <w:spacing w:after="120" w:line="360"/>
        <w:jc w:val="both"/>
      </w:pPr>
      <w:r>
        <w:rPr>
          <w:rFonts w:ascii="Times New Roman" w:cs="Times New Roman" w:eastAsia="Times New Roman" w:hAnsi="Times New Roman"/>
          <w:b/>
          <w:bCs/>
          <w:sz w:val="22"/>
          <w:szCs w:val="22"/>
        </w:rPr>
        <w:t xml:space="preserve">“Breach”</w:t>
      </w:r>
      <w:r>
        <w:rPr>
          <w:rFonts w:ascii="Times New Roman" w:cs="Times New Roman" w:eastAsia="Times New Roman" w:hAnsi="Times New Roman"/>
          <w:sz w:val="22"/>
          <w:szCs w:val="22"/>
        </w:rPr>
        <w:t xml:space="preserve"> means an unauthorized acquisition, access, use, or disclosure of Protected Health Information that compromises the security or privacy of that information, as defined at 45 C.F.R. §164.402.</w:t>
      </w:r>
    </w:p>
    <w:p>
      <w:pPr>
        <w:spacing w:after="120" w:line="360"/>
        <w:jc w:val="both"/>
      </w:pPr>
      <w:r>
        <w:rPr>
          <w:rFonts w:ascii="Times New Roman" w:cs="Times New Roman" w:eastAsia="Times New Roman" w:hAnsi="Times New Roman"/>
          <w:b/>
          <w:bCs/>
          <w:sz w:val="22"/>
          <w:szCs w:val="22"/>
        </w:rPr>
        <w:t xml:space="preserve">“Electronic Protected Health Information (ePHI)”</w:t>
      </w:r>
      <w:r>
        <w:rPr>
          <w:rFonts w:ascii="Times New Roman" w:cs="Times New Roman" w:eastAsia="Times New Roman" w:hAnsi="Times New Roman"/>
          <w:sz w:val="22"/>
          <w:szCs w:val="22"/>
        </w:rPr>
        <w:t xml:space="preserve"> means Protected Health Information transmitted by or maintained in electronic media, as defined at 45 C.F.R. §160.103.</w:t>
      </w:r>
    </w:p>
    <w:p>
      <w:pPr>
        <w:spacing w:after="120" w:line="360"/>
        <w:jc w:val="both"/>
      </w:pPr>
      <w:r>
        <w:rPr>
          <w:rFonts w:ascii="Times New Roman" w:cs="Times New Roman" w:eastAsia="Times New Roman" w:hAnsi="Times New Roman"/>
          <w:b/>
          <w:bCs/>
          <w:sz w:val="22"/>
          <w:szCs w:val="22"/>
        </w:rPr>
        <w:t xml:space="preserve">“Protected Health Information (PHI)”</w:t>
      </w:r>
      <w:r>
        <w:rPr>
          <w:rFonts w:ascii="Times New Roman" w:cs="Times New Roman" w:eastAsia="Times New Roman" w:hAnsi="Times New Roman"/>
          <w:sz w:val="22"/>
          <w:szCs w:val="22"/>
        </w:rPr>
        <w:t xml:space="preserve"> means individually identifiable health information transmitted or maintained in any form or medium, as defined at 45 C.F.R. §160.103, limited to the information Business Associate creates, receives, maintains, or transmits on behalf of Covered Entity under this Agreement.</w:t>
      </w:r>
    </w:p>
    <w:p>
      <w:pPr>
        <w:spacing w:after="120" w:line="360"/>
        <w:jc w:val="both"/>
      </w:pPr>
      <w:r>
        <w:rPr>
          <w:rFonts w:ascii="Times New Roman" w:cs="Times New Roman" w:eastAsia="Times New Roman" w:hAnsi="Times New Roman"/>
          <w:b/>
          <w:bCs/>
          <w:sz w:val="22"/>
          <w:szCs w:val="22"/>
        </w:rPr>
        <w:t xml:space="preserve">“Required by Law”</w:t>
      </w:r>
      <w:r>
        <w:rPr>
          <w:rFonts w:ascii="Times New Roman" w:cs="Times New Roman" w:eastAsia="Times New Roman" w:hAnsi="Times New Roman"/>
          <w:sz w:val="22"/>
          <w:szCs w:val="22"/>
        </w:rPr>
        <w:t xml:space="preserve"> means has the meaning given at 45 C.F.R. §164.103.</w:t>
      </w:r>
    </w:p>
    <w:p>
      <w:pPr>
        <w:spacing w:after="120" w:line="360"/>
        <w:jc w:val="both"/>
      </w:pPr>
      <w:r>
        <w:rPr>
          <w:rFonts w:ascii="Times New Roman" w:cs="Times New Roman" w:eastAsia="Times New Roman" w:hAnsi="Times New Roman"/>
          <w:b/>
          <w:bCs/>
          <w:sz w:val="22"/>
          <w:szCs w:val="22"/>
        </w:rPr>
        <w:t xml:space="preserve">“Secretary”</w:t>
      </w:r>
      <w:r>
        <w:rPr>
          <w:rFonts w:ascii="Times New Roman" w:cs="Times New Roman" w:eastAsia="Times New Roman" w:hAnsi="Times New Roman"/>
          <w:sz w:val="22"/>
          <w:szCs w:val="22"/>
        </w:rPr>
        <w:t xml:space="preserve"> means the Secretary of the U.S. Department of Health and Human Services or any officer or employee to whom the Secretary has delegated authority under the HIPAA Rules.</w:t>
      </w:r>
    </w:p>
    <w:p>
      <w:pPr>
        <w:spacing w:after="120" w:line="360"/>
        <w:jc w:val="both"/>
      </w:pPr>
      <w:r>
        <w:rPr>
          <w:rFonts w:ascii="Times New Roman" w:cs="Times New Roman" w:eastAsia="Times New Roman" w:hAnsi="Times New Roman"/>
          <w:b/>
          <w:bCs/>
          <w:sz w:val="22"/>
          <w:szCs w:val="22"/>
        </w:rPr>
        <w:t xml:space="preserve">“Services”</w:t>
      </w:r>
      <w:r>
        <w:rPr>
          <w:rFonts w:ascii="Times New Roman" w:cs="Times New Roman" w:eastAsia="Times New Roman" w:hAnsi="Times New Roman"/>
          <w:sz w:val="22"/>
          <w:szCs w:val="22"/>
        </w:rPr>
        <w:t xml:space="preserve"> means the dental-imaging analysis, clinical documentation assistance, and related software services provided by Business Associate under the separate Clinical Pilot Agreement between the Parties dated on or about the Effective Date.</w:t>
      </w:r>
    </w:p>
    <w:p>
      <w:pPr>
        <w:spacing w:after="120" w:line="360"/>
        <w:jc w:val="both"/>
      </w:pPr>
      <w:r>
        <w:rPr>
          <w:rFonts w:ascii="Times New Roman" w:cs="Times New Roman" w:eastAsia="Times New Roman" w:hAnsi="Times New Roman"/>
          <w:b/>
          <w:bCs/>
          <w:sz w:val="22"/>
          <w:szCs w:val="22"/>
        </w:rPr>
        <w:t xml:space="preserve">“Subcontractor”</w:t>
      </w:r>
      <w:r>
        <w:rPr>
          <w:rFonts w:ascii="Times New Roman" w:cs="Times New Roman" w:eastAsia="Times New Roman" w:hAnsi="Times New Roman"/>
          <w:sz w:val="22"/>
          <w:szCs w:val="22"/>
        </w:rPr>
        <w:t xml:space="preserve"> means a person or entity to whom Business Associate delegates a function, activity, or service involving the use or disclosure of PHI received from, or created, received, maintained, or transmitted on behalf of, Covered Entity.</w:t>
      </w:r>
    </w:p>
    <w:p>
      <w:pPr>
        <w:pStyle w:val="Heading1"/>
        <w:spacing w:after="180" w:before="360"/>
      </w:pPr>
      <w:r>
        <w:rPr>
          <w:rFonts w:ascii="Times New Roman" w:cs="Times New Roman" w:eastAsia="Times New Roman" w:hAnsi="Times New Roman"/>
          <w:b/>
          <w:bCs/>
          <w:color w:val="1B3A5C"/>
          <w:sz w:val="30"/>
          <w:szCs w:val="30"/>
        </w:rPr>
        <w:t xml:space="preserve">2.  Permitted Uses and Disclosures of PHI</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may use and disclose PHI only as necessary to perform the Services, as Required by Law, or as otherwise expressly permitted by this Agreement.</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may use PHI for its own proper management and administration and to carry out its legal responsibilities, provided that any disclosure for such purposes is either (a) Required by Law or (b) made pursuant to written assurances from the recipient that the PHI will be held confidentially, used or further disclosed only as Required by Law or for the purposes for which it was disclosed, and that the recipient will notify Business Associate of any Breach.</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will NOT use or disclose PHI for model training, fine-tuning, benchmarking, research, or any commercial purpose outside the Services, except pursuant to a separate written data-use agreement signed by Covered Entity that specifies the particular data set, purpose, retention, and de-identification standard.</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will not sell PHI or use PHI for marketing, as those terms are defined in the HIPAA Rules.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may de-identify PHI in accordance with 45 C.F.R. §164.514(b). De-identified information is not PHI and is not subject to this Agreement.</w:t>
      </w:r>
    </w:p>
    <w:p>
      <w:pPr>
        <w:pStyle w:val="Heading1"/>
        <w:spacing w:after="180" w:before="360"/>
      </w:pPr>
      <w:r>
        <w:rPr>
          <w:rFonts w:ascii="Times New Roman" w:cs="Times New Roman" w:eastAsia="Times New Roman" w:hAnsi="Times New Roman"/>
          <w:b/>
          <w:bCs/>
          <w:color w:val="1B3A5C"/>
          <w:sz w:val="30"/>
          <w:szCs w:val="30"/>
        </w:rPr>
        <w:t xml:space="preserve">3.  Obligations of Business Associate</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Not use or disclose PHI other than as permitted or required by this Agreement or as Required by Law.</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Implement and maintain administrative, physical, and technical safeguards that reasonably and appropriately protect the confidentiality, integrity, and availability of ePHI, as required by 45 C.F.R. Part 164 Subpart C, including at minimum: (a) encryption in transit using TLS 1.2 or higher; (b) encryption at rest using AES-256 or equivalent; (c) role-based access controls with unique user identifiers; (d) audit logging of every access to PHI, retained for six (6) years; (e) workforce training on HIPAA privacy and security requirements; (f) background checks on workforce members with PHI access.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Report to Covered Entity, in writing, any use or disclosure of PHI not permitted by this Agreement, and any Security Incident or Breach of Unsecured PHI, without unreasonable delay and in no event later than five (5) business days after discovery.</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In the case of a Breach, Business Associate will provide Covered Entity with (a) the identification of each individual whose Unsecured PHI was involved, (b) a description of what happened and the types of PHI involved, (c) the steps affected individuals should take to protect themselves, (d) a description of Business Associate’s mitigation actions, and (e) a description of Business Associate’s actions to prevent recurrence. Business Associate will bear reasonable costs of breach notification to affected individuals, the Secretary, and the media, to the extent the Breach is caused by Business Associate or its Subcontractors.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Ensure that any Subcontractor that creates, receives, maintains, or transmits PHI on behalf of Business Associate agrees in writing to substantially the same restrictions, conditions, and obligations that apply to Business Associate under this Agreement, pursuant to 45 C.F.R. §164.502(e)(1)(ii).</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Make PHI available to Covered Entity, an Individual, or the Individual’s designee as necessary to satisfy Covered Entity’s obligations under 45 C.F.R. §164.524, within fifteen (15) business days of a written request.</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Make PHI available for amendment and incorporate any amendment provided by Covered Entity in accordance with 45 C.F.R. §164.526.</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Make available the information required to provide an accounting of disclosures in accordance with 45 C.F.R. §164.528, within thirty (30) calendar days of a written request by Covered Entity.</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Make its internal practices, books, and records relating to the use and disclosure of PHI available to the Secretary for purposes of determining Covered Entity’s compliance with the HIPAA Rules.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To the extent Business Associate carries out any obligation of Covered Entity under the HIPAA Rules, comply with the requirements of the HIPAA Rules that would apply to Covered Entity in the performance of such obligation.</w:t>
      </w:r>
    </w:p>
    <w:p>
      <w:pPr>
        <w:pStyle w:val="Heading1"/>
        <w:spacing w:after="180" w:before="360"/>
      </w:pPr>
      <w:r>
        <w:rPr>
          <w:rFonts w:ascii="Times New Roman" w:cs="Times New Roman" w:eastAsia="Times New Roman" w:hAnsi="Times New Roman"/>
          <w:b/>
          <w:bCs/>
          <w:color w:val="1B3A5C"/>
          <w:sz w:val="30"/>
          <w:szCs w:val="30"/>
        </w:rPr>
        <w:t xml:space="preserve">4.  Obligations of Covered Entity</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Covered Entity will notify Business Associate of any limitation in its Notice of Privacy Practices that may affect Business Associate’s use or disclosure of PHI.</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Covered Entity will notify Business Associate of any changes in, or revocation of, permission by an Individual to use or disclose PHI.</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Covered Entity will notify Business Associate of any restriction on the use or disclosure of PHI that Covered Entity has agreed to under 45 C.F.R. §164.522.</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Covered Entity will not request Business Associate to use or disclose PHI in any manner that would not be permissible under the HIPAA Rules if done by Covered Entity.</w:t>
      </w:r>
    </w:p>
    <w:p>
      <w:pPr>
        <w:pStyle w:val="Heading1"/>
        <w:spacing w:after="180" w:before="360"/>
      </w:pPr>
      <w:r>
        <w:rPr>
          <w:rFonts w:ascii="Times New Roman" w:cs="Times New Roman" w:eastAsia="Times New Roman" w:hAnsi="Times New Roman"/>
          <w:b/>
          <w:bCs/>
          <w:color w:val="1B3A5C"/>
          <w:sz w:val="30"/>
          <w:szCs w:val="30"/>
        </w:rPr>
        <w:t xml:space="preserve">5.  Permitted Uses by Business Associate for Its Own Management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Notwithstanding §2 above, Business Associate may use PHI for the proper management and administration of Business Associate or to carry out the legal responsibilities of Business Associate, provided any disclosure is Required by Law or is made under the written assurances described in §2(2).</w:t>
      </w:r>
    </w:p>
    <w:p>
      <w:pPr>
        <w:pStyle w:val="Heading1"/>
        <w:spacing w:after="180" w:before="360"/>
      </w:pPr>
      <w:r>
        <w:rPr>
          <w:rFonts w:ascii="Times New Roman" w:cs="Times New Roman" w:eastAsia="Times New Roman" w:hAnsi="Times New Roman"/>
          <w:b/>
          <w:bCs/>
          <w:color w:val="1B3A5C"/>
          <w:sz w:val="30"/>
          <w:szCs w:val="30"/>
        </w:rPr>
        <w:t xml:space="preserve">6.  Subcontractors and Subprocessors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Business Associate will maintain a current list of Subcontractors with access to PHI and will provide that list to Covered Entity within ten (10) business days of a written request. The pilot-phase list as of the Effective Date consists of: Vercel Inc. (application hosting), Fly.io / Fly.io Inc. (inference hosting and GPU compute), [cloud KMS provider] (key management), and [email provider] (transactional email). Each such Subcontractor has executed a written agreement that includes terms substantially equivalent to those in this Agreement.</w:t>
      </w:r>
    </w:p>
    <w:p>
      <w:pPr>
        <w:pStyle w:val="Heading1"/>
        <w:spacing w:after="180" w:before="360"/>
      </w:pPr>
      <w:r>
        <w:rPr>
          <w:rFonts w:ascii="Times New Roman" w:cs="Times New Roman" w:eastAsia="Times New Roman" w:hAnsi="Times New Roman"/>
          <w:b/>
          <w:bCs/>
          <w:color w:val="1B3A5C"/>
          <w:sz w:val="30"/>
          <w:szCs w:val="30"/>
        </w:rPr>
        <w:t xml:space="preserve">7.  Security Incident Reporting</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Business Associate will report to Covered Entity any Security Incident of which it becomes aware. Unsuccessful Security Incidents (including ordinary pings, port scans, denial-of-service attempts that do not result in degradation or outage, and unsuccessful login attempts) will be reported only in the aggregate in Business Associate’s quarterly security report. Successful Security Incidents involving PHI will be reported in accordance with §3(3).</w:t>
      </w:r>
    </w:p>
    <w:p>
      <w:pPr>
        <w:pStyle w:val="Heading1"/>
        <w:spacing w:after="180" w:before="360"/>
      </w:pPr>
      <w:r>
        <w:rPr>
          <w:rFonts w:ascii="Times New Roman" w:cs="Times New Roman" w:eastAsia="Times New Roman" w:hAnsi="Times New Roman"/>
          <w:b/>
          <w:bCs/>
          <w:color w:val="1B3A5C"/>
          <w:sz w:val="30"/>
          <w:szCs w:val="30"/>
        </w:rPr>
        <w:t xml:space="preserve">8.  Term and Termination</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The term of this Agreement begins on the Effective Date and continues until the expiration of the Pilot Term under the Clinical Pilot Agreement, unless earlier terminated under this §8.</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Either Party may terminate this Agreement on thirty (30) days’ written notice for convenience, or immediately on written notice for material breach by the other Party that is not cured within fifteen (15) days of written notice of the breach.</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On termination, Business Associate will return or destroy all PHI in its possession within thirty (30) days, and will provide written certification of destruction to Covered Entity. If return or destruction is infeasible, Business Associate will extend the protections of this Agreement to the PHI and limit further uses and disclosures to those purposes that make return or destruction infeasible, for so long as Business Associate retains the PHI.</w:t>
      </w:r>
    </w:p>
    <w:p>
      <w:pPr>
        <w:pStyle w:val="Heading1"/>
        <w:spacing w:after="180" w:before="360"/>
      </w:pPr>
      <w:r>
        <w:rPr>
          <w:rFonts w:ascii="Times New Roman" w:cs="Times New Roman" w:eastAsia="Times New Roman" w:hAnsi="Times New Roman"/>
          <w:b/>
          <w:bCs/>
          <w:color w:val="1B3A5C"/>
          <w:sz w:val="30"/>
          <w:szCs w:val="30"/>
        </w:rPr>
        <w:t xml:space="preserve">9.  Pilot Term and Data Minimization</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The Pilot Term is ninety (90) days from the Effective Date unless extended in writing by both Parties.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Covered Entity may upload during the Pilot Term only the minimum PHI necessary to evaluate the Services, and shall make reasonable efforts to remove patient identifiers not required for clinical review.</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Business Associate will purge all PHI within thirty (30) days of the end of the Pilot Term unless the Parties have executed a successor production-tier BAA.</w:t>
      </w:r>
    </w:p>
    <w:p>
      <w:pPr>
        <w:pStyle w:val="Heading1"/>
        <w:spacing w:after="180" w:before="360"/>
      </w:pPr>
      <w:r>
        <w:rPr>
          <w:rFonts w:ascii="Times New Roman" w:cs="Times New Roman" w:eastAsia="Times New Roman" w:hAnsi="Times New Roman"/>
          <w:b/>
          <w:bCs/>
          <w:color w:val="1B3A5C"/>
          <w:sz w:val="30"/>
          <w:szCs w:val="30"/>
        </w:rPr>
        <w:t xml:space="preserve">10.  Miscellaneous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This Agreement may not be amended except in writing signed by both Parties.</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In the event of an inconsistency between this Agreement and the Clinical Pilot Agreement, this Agreement controls with respect to PHI.</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This Agreement is governed by the laws of the State of [Governing Law State], without regard to conflicts-of-laws principles, except to the extent preempted by federal law.</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The Parties agree to take such action as is necessary to amend this Agreement from time to time as necessary for Covered Entity to comply with the HIPAA Rules.</w:t>
      </w:r>
    </w:p>
    <w:p>
      <w:r>
        <w:br w:type="page"/>
      </w:r>
    </w:p>
    <w:p>
      <w:pPr>
        <w:pStyle w:val="Heading1"/>
        <w:spacing w:after="180" w:before="360"/>
      </w:pPr>
      <w:r>
        <w:rPr>
          <w:rFonts w:ascii="Times New Roman" w:cs="Times New Roman" w:eastAsia="Times New Roman" w:hAnsi="Times New Roman"/>
          <w:b/>
          <w:bCs/>
          <w:color w:val="1B3A5C"/>
          <w:sz w:val="30"/>
          <w:szCs w:val="30"/>
        </w:rPr>
        <w:t xml:space="preserve">Signatures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Parties execute this Agreement as of the date last signed below.</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bCs/>
                <w:sz w:val="22"/>
                <w:szCs w:val="22"/>
              </w:rPr>
              <w:t xml:space="preserve">Covered Entity</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bCs/>
                <w:sz w:val="22"/>
                <w:szCs w:val="22"/>
              </w:rPr>
              <w:t xml:space="preserve">Business Associate</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val="false"/>
                <w:bCs w:val="false"/>
                <w:sz w:val="22"/>
                <w:szCs w:val="22"/>
              </w:rPr>
              <w:t xml:space="preserve">[Practice Legal Name]</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val="false"/>
                <w:bCs w:val="false"/>
                <w:sz w:val="22"/>
                <w:szCs w:val="22"/>
              </w:rPr>
              <w:t xml:space="preserve">ClearSight Dental, a product of Open Scaffold Labs</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Signature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Signature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Printed Name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Printed Name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Title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Title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Date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Date</w:t>
            </w:r>
          </w:p>
          <w:p>
            <w:pPr>
              <w:spacing w:before="240"/>
            </w:pPr>
            <w:r>
              <w:rPr>
                <w:rFonts w:ascii="Times New Roman" w:cs="Times New Roman" w:eastAsia="Times New Roman" w:hAnsi="Times New Roman"/>
                <w:sz w:val="20"/>
                <w:szCs w:val="20"/>
              </w:rPr>
              <w:t xml:space="preserve">____________________________</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p>
      <w:pPr>
        <w:spacing w:after="120" w:before="0" w:line="360"/>
        <w:jc w:val="both"/>
      </w:pPr>
      <w:r>
        <w:rPr>
          <w:rFonts w:ascii="Times New Roman" w:cs="Times New Roman" w:eastAsia="Times New Roman" w:hAnsi="Times New Roman"/>
          <w:b w:val="false"/>
          <w:bCs w:val="false"/>
          <w:i/>
          <w:iCs/>
          <w:color w:val="666666"/>
          <w:sz w:val="20"/>
          <w:szCs w:val="20"/>
        </w:rPr>
        <w:t xml:space="preserve">DRAFTING NOTES (remove before signing): (1) fill in bracketed terms; (2) confirm governing-law state matches the Clinical Pilot Agreement; (3) confirm the Subcontractor list in §6 matches the infrastructure actually used at launch; (4) confirm Business Associate entity name and address match ClearSight’s formation documents; (5) have counsel review §3(2) minimum-safeguard list against the current compliance baseline tracker.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CONFIDENTIAL DRAFT — FOR COUNSEL REVIEW  •  ClearSight Pilot BAA v1.0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BAA Template</dc:title>
  <dc:creator>ClearSight Dental</dc:creator>
  <dc:description>HIPAA Business Associate Agreement - 90-day pilot template</dc:description>
  <cp:lastModifiedBy>Un-named</cp:lastModifiedBy>
  <cp:revision>1</cp:revision>
  <dcterms:created xsi:type="dcterms:W3CDTF">2026-04-14T00:53:07.135Z</dcterms:created>
  <dcterms:modified xsi:type="dcterms:W3CDTF">2026-04-14T00:53:07.135Z</dcterms:modified>
</cp:coreProperties>
</file>

<file path=docProps/custom.xml><?xml version="1.0" encoding="utf-8"?>
<Properties xmlns="http://schemas.openxmlformats.org/officeDocument/2006/custom-properties" xmlns:vt="http://schemas.openxmlformats.org/officeDocument/2006/docPropsVTypes"/>
</file>