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40"/>
                <w:szCs w:val="40"/>
              </w:rPr>
              <w:t xml:space="preserve">Pilot Build Session Handoff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FFFFFF"/>
                <w:sz w:val="26"/>
                <w:szCs w:val="26"/>
              </w:rPr>
              <w:t xml:space="preserve">ClearSight Dental — Phase 1.5 Hosted Beta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FFFFFF"/>
                <w:sz w:val="22"/>
                <w:szCs w:val="22"/>
              </w:rPr>
              <w:t xml:space="preserve">Version 1.0  •  April 13, 2026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CONFIDENTIAL — INTERNAL USE ONLY</w:t>
            </w:r>
          </w:p>
        </w:tc>
      </w:tr>
    </w:tbl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5C"/>
          <w:sz w:val="30"/>
          <w:szCs w:val="30"/>
        </w:rPr>
        <w:t xml:space="preserve">What was built in this session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session converted ClearSight Dental from a whitepaper + demo-scaffold posture into a shippable pilot package: four governance/operations documents plus a self-contained code package (backend + frontend patch) ready to drop into the existing clearsight-dental repo and deploy to Vercel + Fly.io + Neon.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deliverables are intentionally scoped so that Dale executes every account creation, every contract, every insurance binding, and every cloud-provider signature personally — Claude produced the drafts, the runbook, the tracker, and the code, but none of the legal or financial actions were taken on Dale’s behalf.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5C"/>
          <w:sz w:val="30"/>
          <w:szCs w:val="30"/>
        </w:rPr>
        <w:t xml:space="preserve">Deliverables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1B3A5C"/>
          <w:sz w:val="24"/>
          <w:szCs w:val="24"/>
        </w:rPr>
        <w:t xml:space="preserve">1. Governance documents (Desktop)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60"/>
        <w:gridCol w:w="26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5C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5C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5C"/>
                <w:sz w:val="20"/>
                <w:szCs w:val="20"/>
              </w:rPr>
              <w:t xml:space="preserve">Next action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ClearSight_Pilot_BAA_v1.0.docx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HIPAA Business Associate Agreement, 10 sections, 90-day pilot term, explicit no-training clause, subcontractor list (Vercel/Fly/Neon/Resend)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Send to healthcare counsel for redlines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ClearSight_Clinical_Pilot_Agreement_v1.0.docx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Clinical Pilot Agreement, AS-IS / AS-AVAILABLE, $1,000 liability cap, $5M cyber insurance requirement, indemnification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Send to counsel for redlines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ClearSight_Hosted_Pilot_Deployment_Runbook_v1.0.docx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10-step runbook from zero accounts to live *.vercel.app URL; verification checklist; troubleshooting; rollback; escalation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Execute Steps 1–10 in order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ClearSight_Pilot_Compliance_Baseline_v1.0.xlsx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HIPAA controls tracker (24 controls, 25 evidence artifacts, 18-item audit calendar, 8 gap rows)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Review gap rows; assign owners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1B3A5C"/>
          <w:sz w:val="24"/>
          <w:szCs w:val="24"/>
        </w:rPr>
        <w:t xml:space="preserve">2. Code package (OpenRestaurant/clearsight-pilot-package/)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backend/ — Fly.io-ready Python service. Dockerfile (PyTorch 2.3.1 + CUDA 12.1), fly.toml (A100-40GB, suspend-when-idle), FastAPI app with /healthz + /readyz + /metrics + /analyze, append-only audit logging, Postgres schema, OralGPT-Omni inference wrapper.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frontend-patch/ — Drop-in patch for the existing Next.js app. Magic-link auth (Resend email + Neon-backed tokens), HS256 JWT session cookie, BAA/CPA acceptance gate component, persistent pilot banner, /api/analyze proxy to the Fly.io backend with shared-secret auth.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README.md — top-level map of what the package does, what it does not do, and the cost envelope (~$250–450/month for one pilot tenant).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frontend-patch/INTEGRATION.md — step-by-step instructions for copying the patch into the existing repo, installing dependencies, and wiring the gate into the authenticated app layout.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5C"/>
          <w:sz w:val="30"/>
          <w:szCs w:val="30"/>
        </w:rPr>
        <w:t xml:space="preserve">What Dale needs to do next,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400"/>
        <w:gridCol w:w="24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5C"/>
                <w:sz w:val="20"/>
                <w:szCs w:val="20"/>
              </w:rPr>
              <w:t xml:space="preserve">#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5C"/>
                <w:sz w:val="20"/>
                <w:szCs w:val="20"/>
              </w:rPr>
              <w:t xml:space="preserve">Action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5C"/>
                <w:sz w:val="20"/>
                <w:szCs w:val="20"/>
              </w:rPr>
              <w:t xml:space="preserve">Blocks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Send BAA and CPA to healthcare counsel. Get redlines back. Negotiate to signed final.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Everything downstream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Bind $5M/$5M cyber-liability insurance naming Open Scaffold Labs as primary insured and Dia Basher DDS as additional insured. File certificate with the BAA package.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Go-live with real PHI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Obtain countersigned Fly.io BAA (Enterprise plan) and Vercel Pro BAA. Confirm Neon BAA on the paid plan. Save all three.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Go-live with real PHI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Execute the deployment runbook Steps 1–10. Stop at Step 8 (smoke test with synthetic non-PHI fixture).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Sending URL to Dr. Basher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a dry-run of the runbook’s rollback procedure. Confirm you can get back to a clean state.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Sending URL to Dr. Basher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Review the Compliance Baseline tracker; assign owners to every Blocker-priority control; schedule the April and May audit-calendar activities.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SOC 2 pathway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Schedule 30-minute onboarding with Dr. Basher. Walk him through the BAA gate, the pilot banner, the upload flow, and the "clinician review only" framing.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First real image upload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Send Dr. Basher the *.vercel.app URL only after all of the above are complete.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5C"/>
          <w:sz w:val="30"/>
          <w:szCs w:val="30"/>
        </w:rPr>
        <w:t xml:space="preserve">Known limitations and deferred work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Tenant isolation is application-enforced. Postgres row-level security must be added before onboarding a second tenant.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OralAgent LangGraph orchestration is stubbed. The pilot calls OralGPT-Omni directly through transformers; replacing the stub with the full OralAgent graph is the first post-pilot task.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Audit-log retention purge is documented but not yet scheduled. The runbook has the manual command; a scheduled Fly.io machine or Neon branch cron needs to be added.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SSO. Magic-link only. SSO via Google Workspace is a Phase 2 item.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DICOM support is limited to single-frame images. Multi-frame series (CBCT, panorex sequences) need a dedicated upload + storage path.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There is no billing system. The pilot is free-of-charge; subscription billing, usage metering, and invoice generation are Phase 2.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5C"/>
          <w:sz w:val="30"/>
          <w:szCs w:val="30"/>
        </w:rPr>
        <w:t xml:space="preserve">Hard rules we kept to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did not create any cloud accounts. Every account-creation step is in the runbook for Dale to execute.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did not bind or authorize any contract. Both BAA and CPA are labeled DRAFT and require counsel review.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did not purchase or bind insurance. The $5M cyber policy is explicitly Dale’s task.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real patient data was used in any fixture, test, or example. The fixtures/ directory explicitly forbids committing PHI.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Every PHI-touching endpoint writes an audit row before returning. Audit failures are logged but do not block the response, so the clinical path is never starved by infrastructure issues.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B3A5C"/>
          <w:sz w:val="30"/>
          <w:szCs w:val="30"/>
        </w:rPr>
        <w:t xml:space="preserve">File map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All on Dale’s Desktop after the final copy step: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ClearSight_Pilot_BAA_v1.0.docx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ClearSight_Clinical_Pilot_Agreement_v1.0.docx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ClearSight_Hosted_Pilot_Deployment_Runbook_v1.0.docx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ClearSight_Pilot_Compliance_Baseline_v1.0.xlsx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ClearSight_Pilot_Handoff_v1.0.docx  (this document)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 the OpenRestaurant workspace folder (versioned alongside whitepapers):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clearsight-pilot-package/README.md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clearsight-pilot-package/backend/ (Dockerfile, fly.toml, app/*.py, schema.sql)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clearsight-pilot-package/frontend-patch/ (middleware, session, BAA gate, API routes, INTEGRATION.md)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CONFIDENTIAL — Open Scaffold Labs  •  ClearSight Pilot Handoff v1.0  •  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ClearSight Pilot Build Handoff</dc:title>
  <dc:creator>Open Scaffold Labs</dc:creator>
  <dc:description>Session handoff summary for ClearSight Dental Phase 1.5 pilot build</dc:description>
  <cp:lastModifiedBy>Un-named</cp:lastModifiedBy>
  <cp:revision>1</cp:revision>
  <dcterms:created xsi:type="dcterms:W3CDTF">2026-04-14T00:32:57.409Z</dcterms:created>
  <dcterms:modified xsi:type="dcterms:W3CDTF">2026-04-14T00:32:57.410Z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