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4F46E5" w:val="clear"/>
            <w:tcMar>
              <w:top w:type="dxa" w:w="280"/>
              <w:left w:type="dxa" w:w="280"/>
              <w:bottom w:type="dxa" w:w="280"/>
              <w:right w:type="dxa" w:w="280"/>
            </w:tcMar>
          </w:tcPr>
          <w:p>
            <w:pPr>
              <w:spacing w:after="80"/>
              <w:jc w:val="center"/>
            </w:pPr>
            <w:r>
              <w:rPr>
                <w:rFonts w:ascii="Times New Roman" w:cs="Times New Roman" w:eastAsia="Times New Roman" w:hAnsi="Times New Roman"/>
                <w:b/>
                <w:bCs/>
                <w:color w:val="FFFFFF"/>
                <w:sz w:val="40"/>
                <w:szCs w:val="40"/>
              </w:rPr>
              <w:t xml:space="preserve">Clinical Pilot Agreement</w:t>
            </w:r>
          </w:p>
          <w:p>
            <w:pPr>
              <w:spacing w:after="80"/>
              <w:jc w:val="center"/>
            </w:pPr>
            <w:r>
              <w:rPr>
                <w:rFonts w:ascii="Times New Roman" w:cs="Times New Roman" w:eastAsia="Times New Roman" w:hAnsi="Times New Roman"/>
                <w:b w:val="false"/>
                <w:bCs w:val="false"/>
                <w:color w:val="FFFFFF"/>
                <w:sz w:val="26"/>
                <w:szCs w:val="26"/>
              </w:rPr>
              <w:t xml:space="preserve">ClearSight Dental Hosted Preview</w:t>
            </w:r>
          </w:p>
          <w:p>
            <w:pPr>
              <w:spacing w:after="80"/>
              <w:jc w:val="center"/>
            </w:pPr>
            <w:r>
              <w:rPr>
                <w:rFonts w:ascii="Times New Roman" w:cs="Times New Roman" w:eastAsia="Times New Roman" w:hAnsi="Times New Roman"/>
                <w:b w:val="false"/>
                <w:bCs w:val="false"/>
                <w:color w:val="FFFFFF"/>
                <w:sz w:val="22"/>
                <w:szCs w:val="22"/>
              </w:rPr>
              <w:t xml:space="preserve">Version 1.0  •  April 2026</w:t>
            </w:r>
          </w:p>
          <w:p>
            <w:pPr>
              <w:spacing w:after="80"/>
              <w:jc w:val="center"/>
            </w:pPr>
            <w:r>
              <w:rPr>
                <w:rFonts w:ascii="Times New Roman" w:cs="Times New Roman" w:eastAsia="Times New Roman" w:hAnsi="Times New Roman"/>
                <w:b/>
                <w:bCs/>
                <w:color w:val="FFFFFF"/>
                <w:sz w:val="20"/>
                <w:szCs w:val="20"/>
              </w:rPr>
              <w:t xml:space="preserve">CONFIDENTIAL — DRAFT FOR COUNSEL REVIEW</w:t>
            </w:r>
          </w:p>
        </w:tc>
      </w:tr>
    </w:tbl>
    <w:p>
      <w:pPr>
        <w:spacing w:after="120" w:before="0" w:line="360"/>
        <w:jc w:val="both"/>
      </w:pPr>
      <w:r>
        <w:rPr>
          <w:rFonts w:ascii="Times New Roman" w:cs="Times New Roman" w:eastAsia="Times New Roman" w:hAnsi="Times New Roman"/>
          <w:b w:val="false"/>
          <w:bCs w:val="false"/>
          <w:i w:val="false"/>
          <w:iCs w:val="false"/>
          <w:sz w:val="22"/>
          <w:szCs w:val="22"/>
        </w:rPr>
        <w:t xml:space="preserve"> </w:t>
      </w:r>
    </w:p>
    <w:p>
      <w:pPr>
        <w:pStyle w:val="Heading1"/>
        <w:spacing w:after="180" w:before="360"/>
      </w:pPr>
      <w:r>
        <w:rPr>
          <w:rFonts w:ascii="Times New Roman" w:cs="Times New Roman" w:eastAsia="Times New Roman" w:hAnsi="Times New Roman"/>
          <w:b/>
          <w:bCs/>
          <w:color w:val="1B3A5C"/>
          <w:sz w:val="30"/>
          <w:szCs w:val="30"/>
        </w:rPr>
        <w:t xml:space="preserve">Clinical Pilot Agreement</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This Clinical Pilot Agreement (the "Agreement") is entered into as of the date last signed below (the "Effective Date") between [Practice Legal Name] ("Practice") and Open Scaffold Labs LLC, doing business as ClearSight Dental ("ClearSight"). The Parties wish to evaluate the ClearSight Dental hosted software preview under the terms below.</w:t>
      </w:r>
    </w:p>
    <w:p>
      <w:pPr>
        <w:pStyle w:val="Heading1"/>
        <w:spacing w:after="180" w:before="360"/>
      </w:pPr>
      <w:r>
        <w:rPr>
          <w:rFonts w:ascii="Times New Roman" w:cs="Times New Roman" w:eastAsia="Times New Roman" w:hAnsi="Times New Roman"/>
          <w:b/>
          <w:bCs/>
          <w:color w:val="1B3A5C"/>
          <w:sz w:val="30"/>
          <w:szCs w:val="30"/>
        </w:rPr>
        <w:t xml:space="preserve">1.  Scope of Services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ClearSight will provide Practice with access to the ClearSight Dental hosted preview environment (the "Preview"), which provides AI-assisted review of dental imaging and draft clinical documentation. The Preview is a research-phase software preview and is provided for evaluation purposes only. Practice acknowledges and agrees that:</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The Preview is NOT a medical device cleared by the United States Food and Drug Administration, and ClearSight makes no representation that the Preview is safe or effective for diagnostic use.</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Output from the Preview is draft documentation only and must be reviewed, corrected, and affirmed by a licensed dental professional before any clinical use or entry into the patient record.</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Practice remains solely responsible for clinical decisions, diagnosis, treatment, and patient communication. Nothing in the Preview shall be construed as providing medical advice, diagnosis, or treatment.</w:t>
      </w:r>
    </w:p>
    <w:p>
      <w:pPr>
        <w:pStyle w:val="ListParagraph"/>
        <w:numPr>
          <w:ilvl w:val="0"/>
          <w:numId w:val="2"/>
        </w:numPr>
        <w:spacing w:after="100" w:line="360"/>
        <w:jc w:val="both"/>
      </w:pPr>
      <w:r>
        <w:rPr>
          <w:rFonts w:ascii="Times New Roman" w:cs="Times New Roman" w:eastAsia="Times New Roman" w:hAnsi="Times New Roman"/>
          <w:sz w:val="22"/>
          <w:szCs w:val="22"/>
        </w:rPr>
        <w:t xml:space="preserve">The Preview is provided AS-IS and AS-AVAILABLE during the Pilot Term; uptime, latency, and accuracy are not guaranteed.</w:t>
      </w:r>
    </w:p>
    <w:p>
      <w:pPr>
        <w:pStyle w:val="Heading1"/>
        <w:spacing w:after="180" w:before="360"/>
      </w:pPr>
      <w:r>
        <w:rPr>
          <w:rFonts w:ascii="Times New Roman" w:cs="Times New Roman" w:eastAsia="Times New Roman" w:hAnsi="Times New Roman"/>
          <w:b/>
          <w:bCs/>
          <w:color w:val="1B3A5C"/>
          <w:sz w:val="30"/>
          <w:szCs w:val="30"/>
        </w:rPr>
        <w:t xml:space="preserve">2.  Pilot Term</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The Pilot Term begins on the Effective Date and continues for ninety (90) days (the "Pilot Term"). Either Party may terminate this Agreement on ten (10) days’ written notice for convenience, or immediately on written notice for material breach that is not cured within five (5) business days.</w:t>
      </w:r>
    </w:p>
    <w:p>
      <w:pPr>
        <w:pStyle w:val="Heading1"/>
        <w:spacing w:after="180" w:before="360"/>
      </w:pPr>
      <w:r>
        <w:rPr>
          <w:rFonts w:ascii="Times New Roman" w:cs="Times New Roman" w:eastAsia="Times New Roman" w:hAnsi="Times New Roman"/>
          <w:b/>
          <w:bCs/>
          <w:color w:val="1B3A5C"/>
          <w:sz w:val="30"/>
          <w:szCs w:val="30"/>
        </w:rPr>
        <w:t xml:space="preserve">3.  Fees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The Preview is provided to Practice at no charge during the Pilot Term. Practice is responsible for its own internet connectivity, end-user devices, and operating costs. Conversion to paid service following the Pilot Term requires a separate subscription agreement executed by both Parties; in the absence of such agreement, Practice’s access terminates at the end of the Pilot Term.</w:t>
      </w:r>
    </w:p>
    <w:p>
      <w:pPr>
        <w:pStyle w:val="Heading1"/>
        <w:spacing w:after="180" w:before="360"/>
      </w:pPr>
      <w:r>
        <w:rPr>
          <w:rFonts w:ascii="Times New Roman" w:cs="Times New Roman" w:eastAsia="Times New Roman" w:hAnsi="Times New Roman"/>
          <w:b/>
          <w:bCs/>
          <w:color w:val="1B3A5C"/>
          <w:sz w:val="30"/>
          <w:szCs w:val="30"/>
        </w:rPr>
        <w:t xml:space="preserve">4.  Data Handling and PHI</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Data handling obligations are set forth in the separately executed HIPAA Business Associate Agreement between the Parties dated on or about the Effective Date (the "BAA"), which is incorporated by reference. The BAA controls in the event of any conflict with this Agreement with respect to Protected Health Information. In addition:</w:t>
      </w:r>
    </w:p>
    <w:p>
      <w:pPr>
        <w:pStyle w:val="ListParagraph"/>
        <w:numPr>
          <w:ilvl w:val="0"/>
          <w:numId w:val="3"/>
        </w:numPr>
        <w:spacing w:after="100" w:line="360"/>
        <w:jc w:val="both"/>
      </w:pPr>
      <w:r>
        <w:rPr>
          <w:rFonts w:ascii="Times New Roman" w:cs="Times New Roman" w:eastAsia="Times New Roman" w:hAnsi="Times New Roman"/>
          <w:sz w:val="22"/>
          <w:szCs w:val="22"/>
        </w:rPr>
        <w:t xml:space="preserve">ClearSight will not use Practice data for model training, fine-tuning, benchmarking, or research during the Pilot Term.</w:t>
      </w:r>
    </w:p>
    <w:p>
      <w:pPr>
        <w:pStyle w:val="ListParagraph"/>
        <w:numPr>
          <w:ilvl w:val="0"/>
          <w:numId w:val="3"/>
        </w:numPr>
        <w:spacing w:after="100" w:line="360"/>
        <w:jc w:val="both"/>
      </w:pPr>
      <w:r>
        <w:rPr>
          <w:rFonts w:ascii="Times New Roman" w:cs="Times New Roman" w:eastAsia="Times New Roman" w:hAnsi="Times New Roman"/>
          <w:sz w:val="22"/>
          <w:szCs w:val="22"/>
        </w:rPr>
        <w:t xml:space="preserve">Practice will use reasonable efforts to minimize patient-identifying information in uploads and to de-identify images where clinical review does not require identifiers.</w:t>
      </w:r>
    </w:p>
    <w:p>
      <w:pPr>
        <w:pStyle w:val="ListParagraph"/>
        <w:numPr>
          <w:ilvl w:val="0"/>
          <w:numId w:val="3"/>
        </w:numPr>
        <w:spacing w:after="100" w:line="360"/>
        <w:jc w:val="both"/>
      </w:pPr>
      <w:r>
        <w:rPr>
          <w:rFonts w:ascii="Times New Roman" w:cs="Times New Roman" w:eastAsia="Times New Roman" w:hAnsi="Times New Roman"/>
          <w:sz w:val="22"/>
          <w:szCs w:val="22"/>
        </w:rPr>
        <w:t xml:space="preserve">All Practice data will be segregated in a per-tenant database schema with encryption at rest using AES-256 or equivalent and encryption in transit using TLS 1.2 or higher.</w:t>
      </w:r>
    </w:p>
    <w:p>
      <w:pPr>
        <w:pStyle w:val="ListParagraph"/>
        <w:numPr>
          <w:ilvl w:val="0"/>
          <w:numId w:val="3"/>
        </w:numPr>
        <w:spacing w:after="100" w:line="360"/>
        <w:jc w:val="both"/>
      </w:pPr>
      <w:r>
        <w:rPr>
          <w:rFonts w:ascii="Times New Roman" w:cs="Times New Roman" w:eastAsia="Times New Roman" w:hAnsi="Times New Roman"/>
          <w:sz w:val="22"/>
          <w:szCs w:val="22"/>
        </w:rPr>
        <w:t xml:space="preserve">ClearSight will purge all Practice data within thirty (30) days of the end of the Pilot Term unless a successor production-tier agreement is executed.</w:t>
      </w:r>
    </w:p>
    <w:p>
      <w:pPr>
        <w:pStyle w:val="Heading1"/>
        <w:spacing w:after="180" w:before="360"/>
      </w:pPr>
      <w:r>
        <w:rPr>
          <w:rFonts w:ascii="Times New Roman" w:cs="Times New Roman" w:eastAsia="Times New Roman" w:hAnsi="Times New Roman"/>
          <w:b/>
          <w:bCs/>
          <w:color w:val="1B3A5C"/>
          <w:sz w:val="30"/>
          <w:szCs w:val="30"/>
        </w:rPr>
        <w:t xml:space="preserve">5.  Practice Responsibilities</w:t>
      </w:r>
    </w:p>
    <w:p>
      <w:pPr>
        <w:pStyle w:val="ListParagraph"/>
        <w:numPr>
          <w:ilvl w:val="0"/>
          <w:numId w:val="3"/>
        </w:numPr>
        <w:spacing w:after="100" w:line="360"/>
        <w:jc w:val="both"/>
      </w:pPr>
      <w:r>
        <w:rPr>
          <w:rFonts w:ascii="Times New Roman" w:cs="Times New Roman" w:eastAsia="Times New Roman" w:hAnsi="Times New Roman"/>
          <w:sz w:val="22"/>
          <w:szCs w:val="22"/>
        </w:rPr>
        <w:t xml:space="preserve">Practice will access the Preview only through credentialed users whom Practice has authorized and who have completed Practice’s HIPAA training.</w:t>
      </w:r>
    </w:p>
    <w:p>
      <w:pPr>
        <w:pStyle w:val="ListParagraph"/>
        <w:numPr>
          <w:ilvl w:val="0"/>
          <w:numId w:val="3"/>
        </w:numPr>
        <w:spacing w:after="100" w:line="360"/>
        <w:jc w:val="both"/>
      </w:pPr>
      <w:r>
        <w:rPr>
          <w:rFonts w:ascii="Times New Roman" w:cs="Times New Roman" w:eastAsia="Times New Roman" w:hAnsi="Times New Roman"/>
          <w:sz w:val="22"/>
          <w:szCs w:val="22"/>
        </w:rPr>
        <w:t xml:space="preserve">Practice will not attempt to reverse engineer, decompile, or disassemble the Preview or extract the underlying models.</w:t>
      </w:r>
    </w:p>
    <w:p>
      <w:pPr>
        <w:pStyle w:val="ListParagraph"/>
        <w:numPr>
          <w:ilvl w:val="0"/>
          <w:numId w:val="3"/>
        </w:numPr>
        <w:spacing w:after="100" w:line="360"/>
        <w:jc w:val="both"/>
      </w:pPr>
      <w:r>
        <w:rPr>
          <w:rFonts w:ascii="Times New Roman" w:cs="Times New Roman" w:eastAsia="Times New Roman" w:hAnsi="Times New Roman"/>
          <w:sz w:val="22"/>
          <w:szCs w:val="22"/>
        </w:rPr>
        <w:t xml:space="preserve">Practice will notify ClearSight within one (1) business day of any suspected security incident or unauthorized access.</w:t>
      </w:r>
    </w:p>
    <w:p>
      <w:pPr>
        <w:pStyle w:val="ListParagraph"/>
        <w:numPr>
          <w:ilvl w:val="0"/>
          <w:numId w:val="3"/>
        </w:numPr>
        <w:spacing w:after="100" w:line="360"/>
        <w:jc w:val="both"/>
      </w:pPr>
      <w:r>
        <w:rPr>
          <w:rFonts w:ascii="Times New Roman" w:cs="Times New Roman" w:eastAsia="Times New Roman" w:hAnsi="Times New Roman"/>
          <w:sz w:val="22"/>
          <w:szCs w:val="22"/>
        </w:rPr>
        <w:t xml:space="preserve">Practice will designate a single point of contact ("Practice Lead") for all pilot communications. Practice Lead as of the Effective Date is: [Name], [Title], [Email], [Phone].</w:t>
      </w:r>
    </w:p>
    <w:p>
      <w:pPr>
        <w:pStyle w:val="Heading1"/>
        <w:spacing w:after="180" w:before="360"/>
      </w:pPr>
      <w:r>
        <w:rPr>
          <w:rFonts w:ascii="Times New Roman" w:cs="Times New Roman" w:eastAsia="Times New Roman" w:hAnsi="Times New Roman"/>
          <w:b/>
          <w:bCs/>
          <w:color w:val="1B3A5C"/>
          <w:sz w:val="30"/>
          <w:szCs w:val="30"/>
        </w:rPr>
        <w:t xml:space="preserve">6.  Feedback</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Practice may, but is not required to, provide feedback regarding the Preview. Practice grants ClearSight a non-exclusive, royalty-free, perpetual, irrevocable license to use such feedback for any purpose, provided that feedback incorporating PHI or confidential Practice information remains subject to the BAA and §7 below.</w:t>
      </w:r>
    </w:p>
    <w:p>
      <w:pPr>
        <w:pStyle w:val="Heading1"/>
        <w:spacing w:after="180" w:before="360"/>
      </w:pPr>
      <w:r>
        <w:rPr>
          <w:rFonts w:ascii="Times New Roman" w:cs="Times New Roman" w:eastAsia="Times New Roman" w:hAnsi="Times New Roman"/>
          <w:b/>
          <w:bCs/>
          <w:color w:val="1B3A5C"/>
          <w:sz w:val="30"/>
          <w:szCs w:val="30"/>
        </w:rPr>
        <w:t xml:space="preserve">7.  Confidentiality</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Each Party will protect the other Party’s Confidential Information with the same degree of care it uses to protect its own confidential information, and in no event less than reasonable care. "Confidential Information" means non-public information disclosed by one Party to the other that is marked confidential or that a reasonable person would understand to be confidential given the nature of the information and the circumstances of disclosure, and includes without limitation the existence and terms of this Agreement, ClearSight’s product roadmap and technical architecture, and Practice’s patient information (which is separately governed by the BAA).</w:t>
      </w:r>
    </w:p>
    <w:p>
      <w:pPr>
        <w:pStyle w:val="Heading1"/>
        <w:spacing w:after="180" w:before="360"/>
      </w:pPr>
      <w:r>
        <w:rPr>
          <w:rFonts w:ascii="Times New Roman" w:cs="Times New Roman" w:eastAsia="Times New Roman" w:hAnsi="Times New Roman"/>
          <w:b/>
          <w:bCs/>
          <w:color w:val="1B3A5C"/>
          <w:sz w:val="30"/>
          <w:szCs w:val="30"/>
        </w:rPr>
        <w:t xml:space="preserve">8.  Intellectual Property</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Each Party retains all right, title, and interest in its own pre-existing intellectual property. ClearSight grants Practice a non-exclusive, non-transferable, non-sublicensable license to access and use the Preview for Practice’s internal clinical evaluation during the Pilot Term. All other rights are reserved. Practice retains all right, title, and interest in its clinical data.</w:t>
      </w:r>
    </w:p>
    <w:p>
      <w:pPr>
        <w:pStyle w:val="Heading1"/>
        <w:spacing w:after="180" w:before="360"/>
      </w:pPr>
      <w:r>
        <w:rPr>
          <w:rFonts w:ascii="Times New Roman" w:cs="Times New Roman" w:eastAsia="Times New Roman" w:hAnsi="Times New Roman"/>
          <w:b/>
          <w:bCs/>
          <w:color w:val="1B3A5C"/>
          <w:sz w:val="30"/>
          <w:szCs w:val="30"/>
        </w:rPr>
        <w:t xml:space="preserve">9.  Disclaimer of Warranties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THE PREVIEW IS PROVIDED "AS IS" AND "AS AVAILABLE" WITHOUT WARRANTY OF ANY KIND, EXPRESS OR IMPLIED. CLEARSIGHT EXPRESSLY DISCLAIMS ALL WARRANTIES, INCLUDING WITHOUT LIMITATION IMPLIED WARRANTIES OF MERCHANTABILITY, FITNESS FOR A PARTICULAR PURPOSE, NON-INFRINGEMENT, ACCURACY, AND ANY WARRANTY ARISING FROM COURSE OF DEALING OR COURSE OF PERFORMANCE. CLEARSIGHT DOES NOT WARRANT THAT THE PREVIEW WILL BE UNINTERRUPTED, ERROR-FREE, CLINICALLY ACCURATE, OR SUITABLE FOR ANY PARTICULAR PATIENT OR CONDITION.</w:t>
      </w:r>
    </w:p>
    <w:p>
      <w:pPr>
        <w:pStyle w:val="Heading1"/>
        <w:spacing w:after="180" w:before="360"/>
      </w:pPr>
      <w:r>
        <w:rPr>
          <w:rFonts w:ascii="Times New Roman" w:cs="Times New Roman" w:eastAsia="Times New Roman" w:hAnsi="Times New Roman"/>
          <w:b/>
          <w:bCs/>
          <w:color w:val="1B3A5C"/>
          <w:sz w:val="30"/>
          <w:szCs w:val="30"/>
        </w:rPr>
        <w:t xml:space="preserve">10.  Limitation of Liability</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EXCEPT FOR BREACHES OF THE BAA, BREACHES OF §7 (CONFIDENTIALITY), OR A PARTY’S INDEMNIFICATION OBLIGATIONS, NEITHER PARTY WILL BE LIABLE FOR ANY INDIRECT, INCIDENTAL, SPECIAL, CONSEQUENTIAL, OR PUNITIVE DAMAGES, OR FOR LOST PROFITS, REVENUE, OR DATA, ARISING OUT OF OR RELATING TO THIS AGREEMENT, EVEN IF ADVISED OF THE POSSIBILITY OF SUCH DAMAGES. CLEARSIGHT’S TOTAL AGGREGATE LIABILITY UNDER THIS AGREEMENT WILL NOT EXCEED ONE THOUSAND DOLLARS ($1,000). THE PARTIES ACKNOWLEDGE THAT THIS LIMITATION REFLECTS THE NO-FEE, EVALUATION-ONLY NATURE OF THE PILOT.</w:t>
      </w:r>
    </w:p>
    <w:p>
      <w:pPr>
        <w:pStyle w:val="Heading1"/>
        <w:spacing w:after="180" w:before="360"/>
      </w:pPr>
      <w:r>
        <w:rPr>
          <w:rFonts w:ascii="Times New Roman" w:cs="Times New Roman" w:eastAsia="Times New Roman" w:hAnsi="Times New Roman"/>
          <w:b/>
          <w:bCs/>
          <w:color w:val="1B3A5C"/>
          <w:sz w:val="30"/>
          <w:szCs w:val="30"/>
        </w:rPr>
        <w:t xml:space="preserve">11.  Indemnification</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Practice will defend, indemnify, and hold harmless ClearSight from and against third-party claims arising out of (a) Practice’s clinical decisions and patient care, (b) Practice’s breach of §5 (Practice Responsibilities), or (c) Practice’s misuse of the Preview contrary to its documentation. ClearSight will defend, indemnify, and hold harmless Practice from and against third-party claims that the Preview, as provided and used in accordance with its documentation, infringes a valid and enforceable United States patent, copyright, or trade secret.</w:t>
      </w:r>
    </w:p>
    <w:p>
      <w:pPr>
        <w:pStyle w:val="Heading1"/>
        <w:spacing w:after="180" w:before="360"/>
      </w:pPr>
      <w:r>
        <w:rPr>
          <w:rFonts w:ascii="Times New Roman" w:cs="Times New Roman" w:eastAsia="Times New Roman" w:hAnsi="Times New Roman"/>
          <w:b/>
          <w:bCs/>
          <w:color w:val="1B3A5C"/>
          <w:sz w:val="30"/>
          <w:szCs w:val="30"/>
        </w:rPr>
        <w:t xml:space="preserve">12.  Insurance</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ClearSight will maintain during the Pilot Term cyber-liability insurance with limits of not less than five million U.S. dollars ($5,000,000) per occurrence and in the aggregate, and will provide Practice with a certificate of insurance on request.</w:t>
      </w:r>
    </w:p>
    <w:p>
      <w:pPr>
        <w:pStyle w:val="Heading1"/>
        <w:spacing w:after="180" w:before="360"/>
      </w:pPr>
      <w:r>
        <w:rPr>
          <w:rFonts w:ascii="Times New Roman" w:cs="Times New Roman" w:eastAsia="Times New Roman" w:hAnsi="Times New Roman"/>
          <w:b/>
          <w:bCs/>
          <w:color w:val="1B3A5C"/>
          <w:sz w:val="30"/>
          <w:szCs w:val="30"/>
        </w:rPr>
        <w:t xml:space="preserve">13.  Governing Law and Disputes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This Agreement is governed by the laws of the State of [Governing Law State], without regard to conflicts-of-laws principles. The Parties will attempt to resolve any dispute through good-faith negotiation for thirty (30) days before initiating formal proceedings. Any action arising out of this Agreement will be brought exclusively in the state or federal courts located in [County], [State].</w:t>
      </w:r>
    </w:p>
    <w:p>
      <w:pPr>
        <w:pStyle w:val="Heading1"/>
        <w:spacing w:after="180" w:before="360"/>
      </w:pPr>
      <w:r>
        <w:rPr>
          <w:rFonts w:ascii="Times New Roman" w:cs="Times New Roman" w:eastAsia="Times New Roman" w:hAnsi="Times New Roman"/>
          <w:b/>
          <w:bCs/>
          <w:color w:val="1B3A5C"/>
          <w:sz w:val="30"/>
          <w:szCs w:val="30"/>
        </w:rPr>
        <w:t xml:space="preserve">14.  Miscellaneous</w:t>
      </w:r>
    </w:p>
    <w:p>
      <w:pPr>
        <w:pStyle w:val="ListParagraph"/>
        <w:numPr>
          <w:ilvl w:val="0"/>
          <w:numId w:val="3"/>
        </w:numPr>
        <w:spacing w:after="100" w:line="360"/>
        <w:jc w:val="both"/>
      </w:pPr>
      <w:r>
        <w:rPr>
          <w:rFonts w:ascii="Times New Roman" w:cs="Times New Roman" w:eastAsia="Times New Roman" w:hAnsi="Times New Roman"/>
          <w:sz w:val="22"/>
          <w:szCs w:val="22"/>
        </w:rPr>
        <w:t xml:space="preserve">This Agreement, together with the BAA, constitutes the entire agreement between the Parties with respect to the Preview and supersedes all prior agreements, whether written or oral.</w:t>
      </w:r>
    </w:p>
    <w:p>
      <w:pPr>
        <w:pStyle w:val="ListParagraph"/>
        <w:numPr>
          <w:ilvl w:val="0"/>
          <w:numId w:val="3"/>
        </w:numPr>
        <w:spacing w:after="100" w:line="360"/>
        <w:jc w:val="both"/>
      </w:pPr>
      <w:r>
        <w:rPr>
          <w:rFonts w:ascii="Times New Roman" w:cs="Times New Roman" w:eastAsia="Times New Roman" w:hAnsi="Times New Roman"/>
          <w:sz w:val="22"/>
          <w:szCs w:val="22"/>
        </w:rPr>
        <w:t xml:space="preserve">This Agreement may not be amended except in writing signed by both Parties.</w:t>
      </w:r>
    </w:p>
    <w:p>
      <w:pPr>
        <w:pStyle w:val="ListParagraph"/>
        <w:numPr>
          <w:ilvl w:val="0"/>
          <w:numId w:val="3"/>
        </w:numPr>
        <w:spacing w:after="100" w:line="360"/>
        <w:jc w:val="both"/>
      </w:pPr>
      <w:r>
        <w:rPr>
          <w:rFonts w:ascii="Times New Roman" w:cs="Times New Roman" w:eastAsia="Times New Roman" w:hAnsi="Times New Roman"/>
          <w:sz w:val="22"/>
          <w:szCs w:val="22"/>
        </w:rPr>
        <w:t xml:space="preserve">Neither Party may assign this Agreement without the other Party’s prior written consent, except to an affiliate or in connection with a merger, acquisition, or sale of substantially all assets.</w:t>
      </w:r>
    </w:p>
    <w:p>
      <w:pPr>
        <w:pStyle w:val="ListParagraph"/>
        <w:numPr>
          <w:ilvl w:val="0"/>
          <w:numId w:val="3"/>
        </w:numPr>
        <w:spacing w:after="100" w:line="360"/>
        <w:jc w:val="both"/>
      </w:pPr>
      <w:r>
        <w:rPr>
          <w:rFonts w:ascii="Times New Roman" w:cs="Times New Roman" w:eastAsia="Times New Roman" w:hAnsi="Times New Roman"/>
          <w:sz w:val="22"/>
          <w:szCs w:val="22"/>
        </w:rPr>
        <w:t xml:space="preserve">Notices must be in writing and delivered by email with acknowledgment of receipt, or by nationally recognized overnight courier, to the addresses set forth above.</w:t>
      </w:r>
    </w:p>
    <w:p>
      <w:r>
        <w:br w:type="page"/>
      </w:r>
    </w:p>
    <w:p>
      <w:pPr>
        <w:pStyle w:val="Heading1"/>
        <w:spacing w:after="180" w:before="360"/>
      </w:pPr>
      <w:r>
        <w:rPr>
          <w:rFonts w:ascii="Times New Roman" w:cs="Times New Roman" w:eastAsia="Times New Roman" w:hAnsi="Times New Roman"/>
          <w:b/>
          <w:bCs/>
          <w:color w:val="1B3A5C"/>
          <w:sz w:val="30"/>
          <w:szCs w:val="30"/>
        </w:rPr>
        <w:t xml:space="preserve">Signatures</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The Parties execute this Agreement as of the date last signed below.</w:t>
      </w:r>
    </w:p>
    <w:p>
      <w:pPr>
        <w:spacing w:after="120" w:before="0" w:line="360"/>
        <w:jc w:val="both"/>
      </w:pPr>
      <w:r>
        <w:rPr>
          <w:rFonts w:ascii="Times New Roman" w:cs="Times New Roman" w:eastAsia="Times New Roman" w:hAnsi="Times New Roman"/>
          <w:b w:val="false"/>
          <w:bCs w:val="false"/>
          <w:i w:val="false"/>
          <w:iCs w:val="false"/>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b/>
                <w:bCs/>
                <w:sz w:val="22"/>
                <w:szCs w:val="22"/>
              </w:rPr>
              <w:t xml:space="preserve">Practice</w:t>
            </w:r>
          </w:p>
        </w:tc>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b/>
                <w:bCs/>
                <w:sz w:val="22"/>
                <w:szCs w:val="22"/>
              </w:rPr>
              <w:t xml:space="preserve">ClearSight Dental</w:t>
            </w:r>
          </w:p>
        </w:tc>
      </w:tr>
      <w:tr>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b w:val="false"/>
                <w:bCs w:val="false"/>
                <w:sz w:val="22"/>
                <w:szCs w:val="22"/>
              </w:rPr>
              <w:t xml:space="preserve">[Practice Legal Name]</w:t>
            </w:r>
          </w:p>
        </w:tc>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b w:val="false"/>
                <w:bCs w:val="false"/>
                <w:sz w:val="22"/>
                <w:szCs w:val="22"/>
              </w:rPr>
              <w:t xml:space="preserve">Open Scaffold Labs LLC dba ClearSight Dental</w:t>
            </w:r>
          </w:p>
        </w:tc>
      </w:tr>
      <w:tr>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color w:val="666666"/>
                <w:sz w:val="20"/>
                <w:szCs w:val="20"/>
              </w:rPr>
              <w:t xml:space="preserve">Signature</w:t>
            </w:r>
          </w:p>
          <w:p>
            <w:pPr>
              <w:spacing w:before="240"/>
            </w:pPr>
            <w:r>
              <w:rPr>
                <w:rFonts w:ascii="Times New Roman" w:cs="Times New Roman" w:eastAsia="Times New Roman" w:hAnsi="Times New Roman"/>
                <w:sz w:val="20"/>
                <w:szCs w:val="20"/>
              </w:rPr>
              <w:t xml:space="preserve">____________________________</w:t>
            </w:r>
          </w:p>
        </w:tc>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color w:val="666666"/>
                <w:sz w:val="20"/>
                <w:szCs w:val="20"/>
              </w:rPr>
              <w:t xml:space="preserve">Signature</w:t>
            </w:r>
          </w:p>
          <w:p>
            <w:pPr>
              <w:spacing w:before="240"/>
            </w:pPr>
            <w:r>
              <w:rPr>
                <w:rFonts w:ascii="Times New Roman" w:cs="Times New Roman" w:eastAsia="Times New Roman" w:hAnsi="Times New Roman"/>
                <w:sz w:val="20"/>
                <w:szCs w:val="20"/>
              </w:rPr>
              <w:t xml:space="preserve">____________________________</w:t>
            </w:r>
          </w:p>
        </w:tc>
      </w:tr>
      <w:tr>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color w:val="666666"/>
                <w:sz w:val="20"/>
                <w:szCs w:val="20"/>
              </w:rPr>
              <w:t xml:space="preserve">Printed Name</w:t>
            </w:r>
          </w:p>
          <w:p>
            <w:pPr>
              <w:spacing w:before="240"/>
            </w:pPr>
            <w:r>
              <w:rPr>
                <w:rFonts w:ascii="Times New Roman" w:cs="Times New Roman" w:eastAsia="Times New Roman" w:hAnsi="Times New Roman"/>
                <w:sz w:val="20"/>
                <w:szCs w:val="20"/>
              </w:rPr>
              <w:t xml:space="preserve">____________________________</w:t>
            </w:r>
          </w:p>
        </w:tc>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color w:val="666666"/>
                <w:sz w:val="20"/>
                <w:szCs w:val="20"/>
              </w:rPr>
              <w:t xml:space="preserve">Printed Name</w:t>
            </w:r>
          </w:p>
          <w:p>
            <w:pPr>
              <w:spacing w:before="240"/>
            </w:pPr>
            <w:r>
              <w:rPr>
                <w:rFonts w:ascii="Times New Roman" w:cs="Times New Roman" w:eastAsia="Times New Roman" w:hAnsi="Times New Roman"/>
                <w:sz w:val="20"/>
                <w:szCs w:val="20"/>
              </w:rPr>
              <w:t xml:space="preserve">____________________________</w:t>
            </w:r>
          </w:p>
        </w:tc>
      </w:tr>
      <w:tr>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color w:val="666666"/>
                <w:sz w:val="20"/>
                <w:szCs w:val="20"/>
              </w:rPr>
              <w:t xml:space="preserve">Title</w:t>
            </w:r>
          </w:p>
          <w:p>
            <w:pPr>
              <w:spacing w:before="240"/>
            </w:pPr>
            <w:r>
              <w:rPr>
                <w:rFonts w:ascii="Times New Roman" w:cs="Times New Roman" w:eastAsia="Times New Roman" w:hAnsi="Times New Roman"/>
                <w:sz w:val="20"/>
                <w:szCs w:val="20"/>
              </w:rPr>
              <w:t xml:space="preserve">____________________________</w:t>
            </w:r>
          </w:p>
        </w:tc>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color w:val="666666"/>
                <w:sz w:val="20"/>
                <w:szCs w:val="20"/>
              </w:rPr>
              <w:t xml:space="preserve">Title</w:t>
            </w:r>
          </w:p>
          <w:p>
            <w:pPr>
              <w:spacing w:before="240"/>
            </w:pPr>
            <w:r>
              <w:rPr>
                <w:rFonts w:ascii="Times New Roman" w:cs="Times New Roman" w:eastAsia="Times New Roman" w:hAnsi="Times New Roman"/>
                <w:sz w:val="20"/>
                <w:szCs w:val="20"/>
              </w:rPr>
              <w:t xml:space="preserve">____________________________</w:t>
            </w:r>
          </w:p>
        </w:tc>
      </w:tr>
      <w:tr>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color w:val="666666"/>
                <w:sz w:val="20"/>
                <w:szCs w:val="20"/>
              </w:rPr>
              <w:t xml:space="preserve">Date</w:t>
            </w:r>
          </w:p>
          <w:p>
            <w:pPr>
              <w:spacing w:before="240"/>
            </w:pPr>
            <w:r>
              <w:rPr>
                <w:rFonts w:ascii="Times New Roman" w:cs="Times New Roman" w:eastAsia="Times New Roman" w:hAnsi="Times New Roman"/>
                <w:sz w:val="20"/>
                <w:szCs w:val="20"/>
              </w:rPr>
              <w:t xml:space="preserve">____________________________</w:t>
            </w:r>
          </w:p>
        </w:tc>
        <w:tc>
          <w:tcPr>
            <w:tcW w:type="dxa" w:w="4680"/>
            <w:tcBorders>
              <w:top w:val="single" w:color="CCCCCC" w:sz="4"/>
              <w:left w:val="single" w:color="CCCCCC" w:sz="4"/>
              <w:bottom w:val="single" w:color="CCCCCC" w:sz="4"/>
              <w:right w:val="single" w:color="CCCCCC" w:sz="4"/>
            </w:tcBorders>
            <w:tcMar>
              <w:top w:type="dxa" w:w="140"/>
              <w:left w:type="dxa" w:w="160"/>
              <w:bottom w:type="dxa" w:w="140"/>
              <w:right w:type="dxa" w:w="160"/>
            </w:tcMar>
          </w:tcPr>
          <w:p>
            <w:r>
              <w:rPr>
                <w:rFonts w:ascii="Times New Roman" w:cs="Times New Roman" w:eastAsia="Times New Roman" w:hAnsi="Times New Roman"/>
                <w:color w:val="666666"/>
                <w:sz w:val="20"/>
                <w:szCs w:val="20"/>
              </w:rPr>
              <w:t xml:space="preserve">Date</w:t>
            </w:r>
          </w:p>
          <w:p>
            <w:pPr>
              <w:spacing w:before="240"/>
            </w:pPr>
            <w:r>
              <w:rPr>
                <w:rFonts w:ascii="Times New Roman" w:cs="Times New Roman" w:eastAsia="Times New Roman" w:hAnsi="Times New Roman"/>
                <w:sz w:val="20"/>
                <w:szCs w:val="20"/>
              </w:rPr>
              <w:t xml:space="preserve">____________________________</w:t>
            </w:r>
          </w:p>
        </w:tc>
      </w:tr>
    </w:tbl>
    <w:p>
      <w:pPr>
        <w:spacing w:after="120" w:before="0" w:line="360"/>
        <w:jc w:val="both"/>
      </w:pPr>
      <w:r>
        <w:rPr>
          <w:rFonts w:ascii="Times New Roman" w:cs="Times New Roman" w:eastAsia="Times New Roman" w:hAnsi="Times New Roman"/>
          <w:b w:val="false"/>
          <w:bCs w:val="false"/>
          <w:i w:val="false"/>
          <w:iCs w:val="false"/>
          <w:sz w:val="22"/>
          <w:szCs w:val="22"/>
        </w:rPr>
        <w:t xml:space="preserve"> </w:t>
      </w:r>
    </w:p>
    <w:p>
      <w:pPr>
        <w:spacing w:after="120" w:before="0" w:line="360"/>
        <w:jc w:val="both"/>
      </w:pPr>
      <w:r>
        <w:rPr>
          <w:rFonts w:ascii="Times New Roman" w:cs="Times New Roman" w:eastAsia="Times New Roman" w:hAnsi="Times New Roman"/>
          <w:b w:val="false"/>
          <w:bCs w:val="false"/>
          <w:i/>
          <w:iCs/>
          <w:color w:val="666666"/>
          <w:sz w:val="20"/>
          <w:szCs w:val="20"/>
        </w:rPr>
        <w:t xml:space="preserve">DRAFTING NOTES (remove before signing): (1) confirm ClearSight / Open Scaffold Labs entity name and state of formation; (2) confirm governing-law state and venue; (3) counsel to review §10 liability cap — $1,000 reflects no-fee pilot; will move to a multiple-of-fees cap in production subscription agreement; (4) verify cyber-liability insurance in §12 is bound before the first pilot day; (5) counsel to confirm indemnification language in §11 aligns with carrier requirements.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CONFIDENTIAL DRAFT — FOR COUNSEL REVIEW  •  ClearSight Clinical Pilot Agreement v1.0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Pilot Agreement</dc:title>
  <dc:creator>ClearSight Dental</dc:creator>
  <dc:description>90-day clinical pilot agreement for ClearSight Dental hosted preview</dc:description>
  <cp:lastModifiedBy>Un-named</cp:lastModifiedBy>
  <cp:revision>1</cp:revision>
  <dcterms:created xsi:type="dcterms:W3CDTF">2026-04-14T00:53:07.188Z</dcterms:created>
  <dcterms:modified xsi:type="dcterms:W3CDTF">2026-04-14T00:53:07.188Z</dcterms:modified>
</cp:coreProperties>
</file>

<file path=docProps/custom.xml><?xml version="1.0" encoding="utf-8"?>
<Properties xmlns="http://schemas.openxmlformats.org/officeDocument/2006/custom-properties" xmlns:vt="http://schemas.openxmlformats.org/officeDocument/2006/docPropsVTypes"/>
</file>