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120"/>
        <w:jc w:val="center"/>
      </w:pPr>
      <w:r>
        <w:rPr>
          <w:rFonts w:ascii="Georgia" w:hAnsi="Georgia"/>
          <w:b/>
          <w:color w:val="C9A040"/>
          <w:sz w:val="112"/>
        </w:rPr>
        <w:t>THE MATCH</w:t>
      </w:r>
    </w:p>
    <w:p>
      <w:pPr>
        <w:spacing w:after="320"/>
        <w:jc w:val="center"/>
      </w:pPr>
      <w:r>
        <w:rPr>
          <w:rFonts w:ascii="Georgia" w:hAnsi="Georgia"/>
          <w:b/>
          <w:color w:val="1B5E3B"/>
          <w:sz w:val="28"/>
        </w:rPr>
        <w:t>Golf's First All-In-One Social &amp; Performance Platform</w:t>
      </w:r>
    </w:p>
    <w:p>
      <w:pPr>
        <w:spacing w:before="0" w:after="120"/>
        <w:pBdr>
          <w:bottom w:val="single" w:sz="6" w:color="C9A040"/>
        </w:pBdr>
      </w:pP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color="auto" w:fill="0D1F12"/>
          </w:tcPr>
          <w:p>
            <w:pPr>
              <w:jc w:val="center"/>
            </w:pPr>
            <w:r>
              <w:rPr>
                <w:rFonts w:ascii="Georgia" w:hAnsi="Georgia"/>
                <w:b/>
                <w:color w:val="C9A040"/>
                <w:sz w:val="44"/>
              </w:rPr>
              <w:t>41M+</w:t>
            </w:r>
          </w:p>
        </w:tc>
        <w:tc>
          <w:tcPr>
            <w:tcW w:type="dxa" w:w="1930"/>
            <w:shd w:val="clear" w:color="auto" w:fill="0D1F12"/>
          </w:tcPr>
          <w:p>
            <w:pPr>
              <w:jc w:val="center"/>
            </w:pPr>
            <w:r>
              <w:rPr>
                <w:rFonts w:ascii="Georgia" w:hAnsi="Georgia"/>
                <w:b/>
                <w:color w:val="C9A040"/>
                <w:sz w:val="44"/>
              </w:rPr>
              <w:t>$84B</w:t>
            </w:r>
          </w:p>
        </w:tc>
        <w:tc>
          <w:tcPr>
            <w:tcW w:type="dxa" w:w="1930"/>
            <w:shd w:val="clear" w:color="auto" w:fill="0D1F12"/>
          </w:tcPr>
          <w:p>
            <w:pPr>
              <w:jc w:val="center"/>
            </w:pPr>
            <w:r>
              <w:rPr>
                <w:rFonts w:ascii="Georgia" w:hAnsi="Georgia"/>
                <w:b/>
                <w:color w:val="C9A040"/>
                <w:sz w:val="44"/>
              </w:rPr>
              <w:t>0</w:t>
            </w:r>
          </w:p>
        </w:tc>
        <w:tc>
          <w:tcPr>
            <w:tcW w:type="dxa" w:w="1930"/>
            <w:shd w:val="clear" w:color="auto" w:fill="0D1F12"/>
          </w:tcPr>
          <w:p>
            <w:pPr>
              <w:jc w:val="center"/>
            </w:pPr>
            <w:r>
              <w:rPr>
                <w:rFonts w:ascii="Georgia" w:hAnsi="Georgia"/>
                <w:b/>
                <w:color w:val="C9A040"/>
                <w:sz w:val="44"/>
              </w:rPr>
              <w:t>8</w:t>
            </w:r>
          </w:p>
        </w:tc>
        <w:tc>
          <w:tcPr>
            <w:tcW w:type="dxa" w:w="1930"/>
            <w:shd w:val="clear" w:color="auto" w:fill="0D1F12"/>
          </w:tcPr>
          <w:p>
            <w:pPr>
              <w:jc w:val="center"/>
            </w:pPr>
            <w:r>
              <w:rPr>
                <w:rFonts w:ascii="Georgia" w:hAnsi="Georgia"/>
                <w:b/>
                <w:color w:val="C9A040"/>
                <w:sz w:val="44"/>
              </w:rPr>
              <w:t>1</w:t>
            </w:r>
          </w:p>
        </w:tc>
      </w:tr>
      <w:tr>
        <w:tc>
          <w:tcPr>
            <w:tcW w:type="dxa" w:w="1930"/>
            <w:shd w:val="clear" w:color="auto" w:fill="0D1F12"/>
          </w:tcPr>
          <w:p>
            <w:pPr>
              <w:jc w:val="center"/>
            </w:pPr>
            <w:r>
              <w:rPr>
                <w:rFonts w:ascii="Helvetica Neue" w:hAnsi="Helvetica Neue"/>
                <w:color w:val="FFFFFF"/>
                <w:sz w:val="16"/>
              </w:rPr>
              <w:t>US Golfers</w:t>
            </w:r>
          </w:p>
        </w:tc>
        <w:tc>
          <w:tcPr>
            <w:tcW w:type="dxa" w:w="1930"/>
            <w:shd w:val="clear" w:color="auto" w:fill="0D1F12"/>
          </w:tcPr>
          <w:p>
            <w:pPr>
              <w:jc w:val="center"/>
            </w:pPr>
            <w:r>
              <w:rPr>
                <w:rFonts w:ascii="Helvetica Neue" w:hAnsi="Helvetica Neue"/>
                <w:color w:val="FFFFFF"/>
                <w:sz w:val="16"/>
              </w:rPr>
              <w:t>Golf Industry TAM</w:t>
            </w:r>
          </w:p>
        </w:tc>
        <w:tc>
          <w:tcPr>
            <w:tcW w:type="dxa" w:w="1930"/>
            <w:shd w:val="clear" w:color="auto" w:fill="0D1F12"/>
          </w:tcPr>
          <w:p>
            <w:pPr>
              <w:jc w:val="center"/>
            </w:pPr>
            <w:r>
              <w:rPr>
                <w:rFonts w:ascii="Helvetica Neue" w:hAnsi="Helvetica Neue"/>
                <w:color w:val="FFFFFF"/>
                <w:sz w:val="16"/>
              </w:rPr>
              <w:t>True Competitors</w:t>
            </w:r>
          </w:p>
        </w:tc>
        <w:tc>
          <w:tcPr>
            <w:tcW w:type="dxa" w:w="1930"/>
            <w:shd w:val="clear" w:color="auto" w:fill="0D1F12"/>
          </w:tcPr>
          <w:p>
            <w:pPr>
              <w:jc w:val="center"/>
            </w:pPr>
            <w:r>
              <w:rPr>
                <w:rFonts w:ascii="Helvetica Neue" w:hAnsi="Helvetica Neue"/>
                <w:color w:val="FFFFFF"/>
                <w:sz w:val="16"/>
              </w:rPr>
              <w:t>Core Features</w:t>
            </w:r>
          </w:p>
        </w:tc>
        <w:tc>
          <w:tcPr>
            <w:tcW w:type="dxa" w:w="1930"/>
            <w:shd w:val="clear" w:color="auto" w:fill="0D1F12"/>
          </w:tcPr>
          <w:p>
            <w:pPr>
              <w:jc w:val="center"/>
            </w:pPr>
            <w:r>
              <w:rPr>
                <w:rFonts w:ascii="Helvetica Neue" w:hAnsi="Helvetica Neue"/>
                <w:color w:val="FFFFFF"/>
                <w:sz w:val="16"/>
              </w:rPr>
              <w:t>App to Rule Them All</w:t>
            </w:r>
          </w:p>
        </w:tc>
      </w:tr>
    </w:tbl>
    <w:p/>
    <w:p>
      <w:pPr>
        <w:jc w:val="center"/>
      </w:pPr>
      <w:r>
        <w:rPr>
          <w:rFonts w:ascii="Helvetica Neue" w:hAnsi="Helvetica Neue"/>
          <w:i/>
          <w:color w:val="666666"/>
          <w:sz w:val="18"/>
        </w:rPr>
        <w:t>Confidential Investment Brief — Prepared for Qualified Investors</w:t>
        <w:br/>
        <w:t>Contact: founders@thematchapp.io  |  www.the-match-roan.vercel.app</w:t>
      </w:r>
    </w:p>
    <w:p>
      <w:r>
        <w:br w:type="page"/>
      </w:r>
    </w:p>
    <w:p>
      <w:pPr>
        <w:spacing w:before="320" w:after="80"/>
        <w:jc w:val="left"/>
      </w:pPr>
      <w:r>
        <w:rPr>
          <w:rFonts w:ascii="Georgia" w:hAnsi="Georgia"/>
          <w:b/>
          <w:color w:val="0D1F12"/>
          <w:sz w:val="36"/>
        </w:rPr>
        <w:t>Executive Summary</w:t>
      </w:r>
    </w:p>
    <w:p>
      <w:pPr>
        <w:spacing w:before="0" w:after="120"/>
        <w:pBdr>
          <w:bottom w:val="single" w:sz="6" w:color="C9A040"/>
        </w:pBdr>
      </w:pPr>
    </w:p>
    <w:p>
      <w:pPr>
        <w:spacing w:after="120" w:line="320" w:lineRule="exact"/>
        <w:jc w:val="both"/>
      </w:pPr>
      <w:r>
        <w:rPr>
          <w:rFonts w:ascii="Helvetica Neue" w:hAnsi="Helvetica Neue"/>
          <w:color w:val="1A1A1A"/>
          <w:sz w:val="20"/>
        </w:rPr>
        <w:t>The Match is a first-of-its-kind mobile platform that unifies every dimension of a golfer's experience — before the round, during the round, and after it. No existing app on the market combines live Eagle Eye satellite imagery, AI-powered shot analysis, a competitive social layer, live PGA Tour scores with player headshots and country flags, smart tee time coordination, The Match Tab Augusta-style live leaderboard, and professional AI-generated player cards — all under one roof. The Match is not an incremental improvement to golf apps. It is the category-defining platform that 41 million American golfers have been waiting for.</w:t>
      </w:r>
    </w:p>
    <w:p>
      <w:pPr>
        <w:spacing w:before="240" w:after="80"/>
      </w:pPr>
      <w:r>
        <w:rPr>
          <w:rFonts w:ascii="Helvetica Neue" w:hAnsi="Helvetica Neue"/>
          <w:b/>
          <w:color w:val="1B5E3B"/>
          <w:sz w:val="24"/>
        </w:rPr>
        <w:t>The Problem</w:t>
      </w:r>
    </w:p>
    <w:p>
      <w:pPr>
        <w:pStyle w:val="ListBullet"/>
        <w:spacing w:after="60" w:line="300" w:lineRule="exact"/>
        <w:ind w:left="288"/>
      </w:pPr>
      <w:r>
        <w:rPr>
          <w:rFonts w:ascii="Helvetica Neue" w:hAnsi="Helvetica Neue"/>
          <w:b/>
          <w:color w:val="1A1A1A"/>
          <w:sz w:val="20"/>
        </w:rPr>
        <w:t xml:space="preserve">Fragmented experience: </w:t>
      </w:r>
      <w:r>
        <w:rPr>
          <w:rFonts w:ascii="Helvetica Neue" w:hAnsi="Helvetica Neue"/>
          <w:b w:val="0"/>
          <w:color w:val="1A1A1A"/>
          <w:sz w:val="20"/>
        </w:rPr>
        <w:t>Golfers juggle 4–6 separate apps for GPS yardage, scoring, social updates, tee time booking, and tour news.</w:t>
      </w:r>
    </w:p>
    <w:p>
      <w:pPr>
        <w:pStyle w:val="ListBullet"/>
        <w:spacing w:after="60" w:line="300" w:lineRule="exact"/>
        <w:ind w:left="288"/>
      </w:pPr>
      <w:r>
        <w:rPr>
          <w:rFonts w:ascii="Helvetica Neue" w:hAnsi="Helvetica Neue"/>
          <w:b/>
          <w:color w:val="1A1A1A"/>
          <w:sz w:val="20"/>
        </w:rPr>
        <w:t xml:space="preserve">No social infrastructure: </w:t>
      </w:r>
      <w:r>
        <w:rPr>
          <w:rFonts w:ascii="Helvetica Neue" w:hAnsi="Helvetica Neue"/>
          <w:b w:val="0"/>
          <w:color w:val="1A1A1A"/>
          <w:sz w:val="20"/>
        </w:rPr>
        <w:t>Golf has a deeply social culture, yet no platform lets players see where friends are playing, track head-to-head history, or coordinate outings at scale.</w:t>
      </w:r>
    </w:p>
    <w:p>
      <w:pPr>
        <w:pStyle w:val="ListBullet"/>
        <w:spacing w:after="60" w:line="300" w:lineRule="exact"/>
        <w:ind w:left="288"/>
      </w:pPr>
      <w:r>
        <w:rPr>
          <w:rFonts w:ascii="Helvetica Neue" w:hAnsi="Helvetica Neue"/>
          <w:b/>
          <w:color w:val="1A1A1A"/>
          <w:sz w:val="20"/>
        </w:rPr>
        <w:t xml:space="preserve">Coordination chaos: </w:t>
      </w:r>
      <w:r>
        <w:rPr>
          <w:rFonts w:ascii="Helvetica Neue" w:hAnsi="Helvetica Neue"/>
          <w:b w:val="0"/>
          <w:color w:val="1A1A1A"/>
          <w:sz w:val="20"/>
        </w:rPr>
        <w:t>Group rounds rely on overloaded text chains. Last-minute cancellations have no smart fill-in solution.</w:t>
      </w:r>
    </w:p>
    <w:p>
      <w:pPr>
        <w:pStyle w:val="ListBullet"/>
        <w:spacing w:after="60" w:line="300" w:lineRule="exact"/>
        <w:ind w:left="288"/>
      </w:pPr>
      <w:r>
        <w:rPr>
          <w:rFonts w:ascii="Helvetica Neue" w:hAnsi="Helvetica Neue"/>
          <w:b/>
          <w:color w:val="1A1A1A"/>
          <w:sz w:val="20"/>
        </w:rPr>
        <w:t xml:space="preserve">Generic distance data: </w:t>
      </w:r>
      <w:r>
        <w:rPr>
          <w:rFonts w:ascii="Helvetica Neue" w:hAnsi="Helvetica Neue"/>
          <w:b w:val="0"/>
          <w:color w:val="1A1A1A"/>
          <w:sz w:val="20"/>
        </w:rPr>
        <w:t>Existing GPS apps give raw yardage. None incorporate real-time slope, elevation, and live weather into AI-generated shot recommendations.</w:t>
      </w:r>
    </w:p>
    <w:p>
      <w:pPr>
        <w:pStyle w:val="ListBullet"/>
        <w:spacing w:after="60" w:line="300" w:lineRule="exact"/>
        <w:ind w:left="288"/>
      </w:pPr>
      <w:r>
        <w:rPr>
          <w:rFonts w:ascii="Helvetica Neue" w:hAnsi="Helvetica Neue"/>
          <w:b/>
          <w:color w:val="1A1A1A"/>
          <w:sz w:val="20"/>
        </w:rPr>
        <w:t xml:space="preserve">No pro experience for amateurs: </w:t>
      </w:r>
      <w:r>
        <w:rPr>
          <w:rFonts w:ascii="Helvetica Neue" w:hAnsi="Helvetica Neue"/>
          <w:b w:val="0"/>
          <w:color w:val="1A1A1A"/>
          <w:sz w:val="20"/>
        </w:rPr>
        <w:t>Weekend golfers want the same broadcast-style presentation PGA Tour pros get — complete with their own photo on a live scoreboard.</w:t>
      </w:r>
    </w:p>
    <w:p>
      <w:pPr>
        <w:spacing w:before="240" w:after="80"/>
      </w:pPr>
      <w:r>
        <w:rPr>
          <w:rFonts w:ascii="Helvetica Neue" w:hAnsi="Helvetica Neue"/>
          <w:b/>
          <w:color w:val="1B5E3B"/>
          <w:sz w:val="24"/>
        </w:rPr>
        <w:t>The Solution</w:t>
      </w:r>
    </w:p>
    <w:p>
      <w:pPr>
        <w:spacing w:after="120" w:line="320" w:lineRule="exact"/>
        <w:jc w:val="both"/>
      </w:pPr>
      <w:r>
        <w:rPr>
          <w:rFonts w:ascii="Helvetica Neue" w:hAnsi="Helvetica Neue"/>
          <w:color w:val="1A1A1A"/>
          <w:sz w:val="20"/>
        </w:rPr>
        <w:t>The Match solves every one of these problems with a cohesive, beautifully designed mobile platform built ground-up for golfers. Eight deeply integrated features — the majority already live in production — create a flywheel of engagement that grows stronger with every friend added to the network.</w:t>
      </w:r>
    </w:p>
    <w:p>
      <w:r>
        <w:br w:type="page"/>
      </w:r>
    </w:p>
    <w:p>
      <w:pPr>
        <w:spacing w:before="320" w:after="80"/>
        <w:jc w:val="left"/>
      </w:pPr>
      <w:r>
        <w:rPr>
          <w:rFonts w:ascii="Georgia" w:hAnsi="Georgia"/>
          <w:b/>
          <w:color w:val="0D1F12"/>
          <w:sz w:val="36"/>
        </w:rPr>
        <w:t>Product Deep Dive</w:t>
      </w:r>
    </w:p>
    <w:p>
      <w:pPr>
        <w:spacing w:before="0" w:after="120"/>
        <w:pBdr>
          <w:bottom w:val="single" w:sz="6" w:color="C9A040"/>
        </w:pBdr>
      </w:pPr>
    </w:p>
    <w:p/>
    <w:tbl>
      <w:tblPr>
        <w:tblStyle w:val="TableGrid"/>
        <w:tblW w:type="auto" w:w="0"/>
        <w:jc w:val="left"/>
        <w:tblLook w:firstColumn="1" w:firstRow="1" w:lastColumn="0" w:lastRow="0" w:noHBand="0" w:noVBand="1" w:val="04A0"/>
      </w:tblPr>
      <w:tblGrid>
        <w:gridCol w:w="4824"/>
        <w:gridCol w:w="4824"/>
      </w:tblGrid>
      <w:tr>
        <w:tc>
          <w:tcPr>
            <w:tcW w:type="dxa" w:w="3024"/>
            <w:shd w:val="clear" w:color="auto" w:fill="F5F2EC"/>
            <w:vAlign w:val="top"/>
            <w:tcBorders>
              <w:bottom w:val="single" w:sz="4" w:color="CCBF9A"/>
            </w:tcBorders>
          </w:tcPr>
          <w:p>
            <w:r>
              <w:rPr>
                <w:rFonts w:ascii="Helvetica Neue" w:hAnsi="Helvetica Neue"/>
                <w:b/>
                <w:color w:val="0D1F12"/>
                <w:sz w:val="19"/>
              </w:rPr>
              <w:t>■  Eagle Eye — GPS &amp; Satellite Imagery</w:t>
            </w:r>
          </w:p>
        </w:tc>
        <w:tc>
          <w:tcPr>
            <w:tcW w:type="dxa" w:w="6768"/>
            <w:vAlign w:val="top"/>
            <w:tcBorders>
              <w:bottom w:val="single" w:sz="4" w:color="CCBF9A"/>
            </w:tcBorders>
          </w:tcPr>
          <w:p>
            <w:r>
              <w:rPr>
                <w:rFonts w:ascii="Helvetica Neue" w:hAnsi="Helvetica Neue"/>
                <w:color w:val="1A1A1A"/>
                <w:sz w:val="19"/>
              </w:rPr>
              <w:t>Real-time GPS yardage to pins, hazards, and layup zones. Eagle Eye overlays a live satellite image of the hole currently being played — giving golfers a true aerial view of dogleg layouts, tree lines, and hidden landing zones. Players see exactly what PGA Tour caddies see in a course book. Live now.</w:t>
            </w:r>
          </w:p>
        </w:tc>
      </w:tr>
      <w:tr>
        <w:tc>
          <w:tcPr>
            <w:tcW w:type="dxa" w:w="3024"/>
            <w:shd w:val="clear" w:color="auto" w:fill="F5F2EC"/>
            <w:vAlign w:val="top"/>
            <w:tcBorders>
              <w:bottom w:val="single" w:sz="4" w:color="CCBF9A"/>
            </w:tcBorders>
          </w:tcPr>
          <w:p>
            <w:r>
              <w:rPr>
                <w:rFonts w:ascii="Helvetica Neue" w:hAnsi="Helvetica Neue"/>
                <w:b/>
                <w:color w:val="0D1F12"/>
                <w:sz w:val="19"/>
              </w:rPr>
              <w:t>■  AI Shot Advisor</w:t>
            </w:r>
          </w:p>
        </w:tc>
        <w:tc>
          <w:tcPr>
            <w:tcW w:type="dxa" w:w="6768"/>
            <w:vAlign w:val="top"/>
            <w:tcBorders>
              <w:bottom w:val="single" w:sz="4" w:color="CCBF9A"/>
            </w:tcBorders>
          </w:tcPr>
          <w:p>
            <w:r>
              <w:rPr>
                <w:rFonts w:ascii="Helvetica Neue" w:hAnsi="Helvetica Neue"/>
                <w:color w:val="1A1A1A"/>
                <w:sz w:val="19"/>
              </w:rPr>
              <w:t>One button activates the camera. The Match's AI engine synthesizes live GPS-based slope data, current wind speed and direction from real-time weather APIs at the player's exact coordinates, and elevation differential — delivering a precise, personalized yardage recommendation. The first consumer golf tool to combine all three variables dynamically in the field.</w:t>
            </w:r>
          </w:p>
        </w:tc>
      </w:tr>
      <w:tr>
        <w:tc>
          <w:tcPr>
            <w:tcW w:type="dxa" w:w="3024"/>
            <w:shd w:val="clear" w:color="auto" w:fill="F5F2EC"/>
            <w:vAlign w:val="top"/>
            <w:tcBorders>
              <w:bottom w:val="single" w:sz="4" w:color="CCBF9A"/>
            </w:tcBorders>
          </w:tcPr>
          <w:p>
            <w:r>
              <w:rPr>
                <w:rFonts w:ascii="Helvetica Neue" w:hAnsi="Helvetica Neue"/>
                <w:b/>
                <w:color w:val="0D1F12"/>
                <w:sz w:val="19"/>
              </w:rPr>
              <w:t>■  Social Graph &amp; H2H Records</w:t>
            </w:r>
          </w:p>
        </w:tc>
        <w:tc>
          <w:tcPr>
            <w:tcW w:type="dxa" w:w="6768"/>
            <w:vAlign w:val="top"/>
            <w:tcBorders>
              <w:bottom w:val="single" w:sz="4" w:color="CCBF9A"/>
            </w:tcBorders>
          </w:tcPr>
          <w:p>
            <w:r>
              <w:rPr>
                <w:rFonts w:ascii="Helvetica Neue" w:hAnsi="Helvetica Neue"/>
                <w:color w:val="1A1A1A"/>
                <w:sz w:val="19"/>
              </w:rPr>
              <w:t>The Match introduces the first true social graph for golf. Players build a friends network and can view any friend's course history, recent rounds, and performance trends. A running head-to-head record against each friend is tracked and surfaced — making every round a chapter in an ongoing rivalry.</w:t>
            </w:r>
          </w:p>
        </w:tc>
      </w:tr>
      <w:tr>
        <w:tc>
          <w:tcPr>
            <w:tcW w:type="dxa" w:w="3024"/>
            <w:shd w:val="clear" w:color="auto" w:fill="F5F2EC"/>
            <w:vAlign w:val="top"/>
            <w:tcBorders>
              <w:bottom w:val="single" w:sz="4" w:color="CCBF9A"/>
            </w:tcBorders>
          </w:tcPr>
          <w:p>
            <w:r>
              <w:rPr>
                <w:rFonts w:ascii="Helvetica Neue" w:hAnsi="Helvetica Neue"/>
                <w:b/>
                <w:color w:val="0D1F12"/>
                <w:sz w:val="19"/>
              </w:rPr>
              <w:t>■  Availability Calendar &amp; Smart Tee Time Booking</w:t>
            </w:r>
          </w:p>
        </w:tc>
        <w:tc>
          <w:tcPr>
            <w:tcW w:type="dxa" w:w="6768"/>
            <w:vAlign w:val="top"/>
            <w:tcBorders>
              <w:bottom w:val="single" w:sz="4" w:color="CCBF9A"/>
            </w:tcBorders>
          </w:tcPr>
          <w:p>
            <w:r>
              <w:rPr>
                <w:rFonts w:ascii="Helvetica Neue" w:hAnsi="Helvetica Neue"/>
                <w:color w:val="1A1A1A"/>
                <w:sz w:val="19"/>
              </w:rPr>
              <w:t>Users post their available play days to a shared calendar visible across their friend network. Friends see who wants to play on any given day, tap a name, and send a play request — all within the app. The Match integrates with GolfNow to complete tee time booking without leaving the platform.</w:t>
            </w:r>
          </w:p>
        </w:tc>
      </w:tr>
      <w:tr>
        <w:tc>
          <w:tcPr>
            <w:tcW w:type="dxa" w:w="3024"/>
            <w:shd w:val="clear" w:color="auto" w:fill="F5F2EC"/>
            <w:vAlign w:val="top"/>
            <w:tcBorders>
              <w:bottom w:val="single" w:sz="4" w:color="CCBF9A"/>
            </w:tcBorders>
          </w:tcPr>
          <w:p>
            <w:r>
              <w:rPr>
                <w:rFonts w:ascii="Helvetica Neue" w:hAnsi="Helvetica Neue"/>
                <w:b/>
                <w:color w:val="0D1F12"/>
                <w:sz w:val="19"/>
              </w:rPr>
              <w:t>■  Fill My Spot — Last-Minute Game Changer</w:t>
            </w:r>
          </w:p>
        </w:tc>
        <w:tc>
          <w:tcPr>
            <w:tcW w:type="dxa" w:w="6768"/>
            <w:vAlign w:val="top"/>
            <w:tcBorders>
              <w:bottom w:val="single" w:sz="4" w:color="CCBF9A"/>
            </w:tcBorders>
          </w:tcPr>
          <w:p>
            <w:r>
              <w:rPr>
                <w:rFonts w:ascii="Helvetica Neue" w:hAnsi="Helvetica Neue"/>
                <w:color w:val="1A1A1A"/>
                <w:sz w:val="19"/>
              </w:rPr>
              <w:t>When a player drops out the night before, the remaining group hits "Need 1" or "Need 2." Instant push notifications go to every friend on the network. The first to respond claims the spot — solving one of golf's most persistent pain points.</w:t>
            </w:r>
          </w:p>
        </w:tc>
      </w:tr>
      <w:tr>
        <w:tc>
          <w:tcPr>
            <w:tcW w:type="dxa" w:w="3024"/>
            <w:shd w:val="clear" w:color="auto" w:fill="F5F2EC"/>
            <w:vAlign w:val="top"/>
            <w:tcBorders>
              <w:bottom w:val="single" w:sz="4" w:color="CCBF9A"/>
            </w:tcBorders>
          </w:tcPr>
          <w:p>
            <w:r>
              <w:rPr>
                <w:rFonts w:ascii="Helvetica Neue" w:hAnsi="Helvetica Neue"/>
                <w:b/>
                <w:color w:val="0D1F12"/>
                <w:sz w:val="19"/>
              </w:rPr>
              <w:t>■  Live PGA Tour Leaderboard</w:t>
            </w:r>
          </w:p>
        </w:tc>
        <w:tc>
          <w:tcPr>
            <w:tcW w:type="dxa" w:w="6768"/>
            <w:vAlign w:val="top"/>
            <w:tcBorders>
              <w:bottom w:val="single" w:sz="4" w:color="CCBF9A"/>
            </w:tcBorders>
          </w:tcPr>
          <w:p>
            <w:r>
              <w:rPr>
                <w:rFonts w:ascii="Helvetica Neue" w:hAnsi="Helvetica Neue"/>
                <w:color w:val="1A1A1A"/>
                <w:sz w:val="19"/>
              </w:rPr>
              <w:t>An in-app live leaderboard pulls real-time PGA Tour scores during active tournaments — complete with official player headshots and country flags powered by the ESPN API. A retention driver that keeps users inside The Match ecosystem even between holes.</w:t>
            </w:r>
          </w:p>
        </w:tc>
      </w:tr>
      <w:tr>
        <w:tc>
          <w:tcPr>
            <w:tcW w:type="dxa" w:w="3024"/>
            <w:shd w:val="clear" w:color="auto" w:fill="F5F2EC"/>
            <w:vAlign w:val="top"/>
            <w:tcBorders>
              <w:bottom w:val="single" w:sz="4" w:color="CCBF9A"/>
            </w:tcBorders>
          </w:tcPr>
          <w:p>
            <w:r>
              <w:rPr>
                <w:rFonts w:ascii="Helvetica Neue" w:hAnsi="Helvetica Neue"/>
                <w:b/>
                <w:color w:val="0D1F12"/>
                <w:sz w:val="19"/>
              </w:rPr>
              <w:t>■  The Match Tab — Augusta-Style Live Scoreboard</w:t>
            </w:r>
          </w:p>
        </w:tc>
        <w:tc>
          <w:tcPr>
            <w:tcW w:type="dxa" w:w="6768"/>
            <w:vAlign w:val="top"/>
            <w:tcBorders>
              <w:bottom w:val="single" w:sz="4" w:color="CCBF9A"/>
            </w:tcBorders>
          </w:tcPr>
          <w:p>
            <w:r>
              <w:rPr>
                <w:rFonts w:ascii="Helvetica Neue" w:hAnsi="Helvetica Neue"/>
                <w:color w:val="1A1A1A"/>
                <w:sz w:val="19"/>
              </w:rPr>
              <w:t>The crown jewel of the platform. When friends play together, The Match Tab generates a live Augusta Masters–style leaderboard. Each player's AI-generated profile photo populates alongside their name and live score — giving every amateur round the broadcast presentation of a major championship. Supports groups of any size; one scorer per group, live updates across all devices.</w:t>
            </w:r>
          </w:p>
        </w:tc>
      </w:tr>
      <w:tr>
        <w:tc>
          <w:tcPr>
            <w:tcW w:type="dxa" w:w="3024"/>
            <w:shd w:val="clear" w:color="auto" w:fill="F5F2EC"/>
            <w:vAlign w:val="top"/>
            <w:tcBorders>
              <w:bottom w:val="single" w:sz="4" w:color="CCBF9A"/>
            </w:tcBorders>
          </w:tcPr>
          <w:p>
            <w:r>
              <w:rPr>
                <w:rFonts w:ascii="Helvetica Neue" w:hAnsi="Helvetica Neue"/>
                <w:b/>
                <w:color w:val="0D1F12"/>
                <w:sz w:val="19"/>
              </w:rPr>
              <w:t>■  AI Pro Profile Photo Generator</w:t>
            </w:r>
          </w:p>
        </w:tc>
        <w:tc>
          <w:tcPr>
            <w:tcW w:type="dxa" w:w="6768"/>
            <w:vAlign w:val="top"/>
            <w:tcBorders>
              <w:bottom w:val="single" w:sz="4" w:color="CCBF9A"/>
            </w:tcBorders>
          </w:tcPr>
          <w:p>
            <w:r>
              <w:rPr>
                <w:rFonts w:ascii="Helvetica Neue" w:hAnsi="Helvetica Neue"/>
                <w:color w:val="1A1A1A"/>
                <w:sz w:val="19"/>
              </w:rPr>
              <w:t>Users take a selfie in golf attire; The Match's AI engine removes the background and composites them into a professional PGA Tour–style portrait. Users choose from 17 country flag backgrounds rendered as diagonal geometric patterns — replicating the ESPN player card aesthetic. These photos auto-populate in the Match Tab scoreboard, making every golfer look like a tour pro.</w:t>
            </w:r>
          </w:p>
        </w:tc>
      </w:tr>
    </w:tbl>
    <w:p>
      <w:r>
        <w:br w:type="page"/>
      </w:r>
    </w:p>
    <w:p>
      <w:pPr>
        <w:spacing w:before="320" w:after="80"/>
        <w:jc w:val="left"/>
      </w:pPr>
      <w:r>
        <w:rPr>
          <w:rFonts w:ascii="Georgia" w:hAnsi="Georgia"/>
          <w:b/>
          <w:color w:val="0D1F12"/>
          <w:sz w:val="36"/>
        </w:rPr>
        <w:t>Market Opportunity</w:t>
      </w:r>
    </w:p>
    <w:p>
      <w:pPr>
        <w:spacing w:before="0" w:after="120"/>
        <w:pBdr>
          <w:bottom w:val="single" w:sz="6" w:color="C9A040"/>
        </w:pBdr>
      </w:pPr>
    </w:p>
    <w:p/>
    <w:tbl>
      <w:tblPr>
        <w:tblStyle w:val="TableGrid"/>
        <w:tblW w:type="auto" w:w="0"/>
        <w:jc w:val="left"/>
        <w:tblLook w:firstColumn="1" w:firstRow="1" w:lastColumn="0" w:lastRow="0" w:noHBand="0" w:noVBand="1" w:val="04A0"/>
      </w:tblPr>
      <w:tblGrid>
        <w:gridCol w:w="3216"/>
        <w:gridCol w:w="3216"/>
        <w:gridCol w:w="3216"/>
      </w:tblGrid>
      <w:tr>
        <w:tc>
          <w:tcPr>
            <w:tcW w:type="dxa" w:w="3216"/>
            <w:shd w:val="clear" w:color="auto" w:fill="0D1F12"/>
            <w:vAlign w:val="center"/>
          </w:tcPr>
          <w:p>
            <w:pPr>
              <w:jc w:val="left"/>
            </w:pPr>
            <w:r>
              <w:rPr>
                <w:rFonts w:ascii="Helvetica Neue" w:hAnsi="Helvetica Neue"/>
                <w:b/>
                <w:color w:val="FFFFFF"/>
                <w:sz w:val="19"/>
              </w:rPr>
              <w:t>Segment</w:t>
            </w:r>
          </w:p>
        </w:tc>
        <w:tc>
          <w:tcPr>
            <w:tcW w:type="dxa" w:w="3216"/>
            <w:shd w:val="clear" w:color="auto" w:fill="0D1F12"/>
            <w:vAlign w:val="center"/>
          </w:tcPr>
          <w:p>
            <w:pPr>
              <w:jc w:val="left"/>
            </w:pPr>
            <w:r>
              <w:rPr>
                <w:rFonts w:ascii="Helvetica Neue" w:hAnsi="Helvetica Neue"/>
                <w:b/>
                <w:color w:val="FFFFFF"/>
                <w:sz w:val="19"/>
              </w:rPr>
              <w:t>Size</w:t>
            </w:r>
          </w:p>
        </w:tc>
        <w:tc>
          <w:tcPr>
            <w:tcW w:type="dxa" w:w="3216"/>
            <w:shd w:val="clear" w:color="auto" w:fill="0D1F12"/>
            <w:vAlign w:val="center"/>
          </w:tcPr>
          <w:p>
            <w:pPr>
              <w:jc w:val="left"/>
            </w:pPr>
            <w:r>
              <w:rPr>
                <w:rFonts w:ascii="Helvetica Neue" w:hAnsi="Helvetica Neue"/>
                <w:b/>
                <w:color w:val="FFFFFF"/>
                <w:sz w:val="19"/>
              </w:rPr>
              <w:t>Notes</w:t>
            </w:r>
          </w:p>
        </w:tc>
      </w:tr>
      <w:tr>
        <w:tc>
          <w:tcPr>
            <w:tcW w:type="dxa" w:w="3216"/>
            <w:vAlign w:val="center"/>
          </w:tcPr>
          <w:p>
            <w:pPr>
              <w:jc w:val="left"/>
            </w:pPr>
            <w:r>
              <w:rPr>
                <w:rFonts w:ascii="Helvetica Neue" w:hAnsi="Helvetica Neue"/>
                <w:b w:val="0"/>
                <w:color w:val="1A1A1A"/>
                <w:sz w:val="19"/>
              </w:rPr>
              <w:t>Total Addressable Market (Global Golf Industry)</w:t>
            </w:r>
          </w:p>
        </w:tc>
        <w:tc>
          <w:tcPr>
            <w:tcW w:type="dxa" w:w="3216"/>
            <w:vAlign w:val="center"/>
          </w:tcPr>
          <w:p>
            <w:pPr>
              <w:jc w:val="center"/>
            </w:pPr>
            <w:r>
              <w:rPr>
                <w:rFonts w:ascii="Helvetica Neue" w:hAnsi="Helvetica Neue"/>
                <w:b/>
                <w:color w:val="C9A040"/>
                <w:sz w:val="19"/>
              </w:rPr>
              <w:t>$84B</w:t>
            </w:r>
          </w:p>
        </w:tc>
        <w:tc>
          <w:tcPr>
            <w:tcW w:type="dxa" w:w="3216"/>
            <w:vAlign w:val="center"/>
          </w:tcPr>
          <w:p>
            <w:pPr>
              <w:jc w:val="left"/>
            </w:pPr>
            <w:r>
              <w:rPr>
                <w:rFonts w:ascii="Helvetica Neue" w:hAnsi="Helvetica Neue"/>
                <w:b w:val="0"/>
                <w:color w:val="1A1A1A"/>
                <w:sz w:val="19"/>
              </w:rPr>
              <w:t>Equipment, apparel, tech, media, venues</w:t>
            </w:r>
          </w:p>
        </w:tc>
      </w:tr>
      <w:tr>
        <w:tc>
          <w:tcPr>
            <w:tcW w:type="dxa" w:w="3216"/>
            <w:shd w:val="clear" w:color="auto" w:fill="F3EFE7"/>
            <w:vAlign w:val="center"/>
          </w:tcPr>
          <w:p>
            <w:pPr>
              <w:jc w:val="left"/>
            </w:pPr>
            <w:r>
              <w:rPr>
                <w:rFonts w:ascii="Helvetica Neue" w:hAnsi="Helvetica Neue"/>
                <w:b w:val="0"/>
                <w:color w:val="1A1A1A"/>
                <w:sz w:val="19"/>
              </w:rPr>
              <w:t>Serviceable Addressable Market (Golf Apps &amp; Tech)</w:t>
            </w:r>
          </w:p>
        </w:tc>
        <w:tc>
          <w:tcPr>
            <w:tcW w:type="dxa" w:w="3216"/>
            <w:shd w:val="clear" w:color="auto" w:fill="F3EFE7"/>
            <w:vAlign w:val="center"/>
          </w:tcPr>
          <w:p>
            <w:pPr>
              <w:jc w:val="center"/>
            </w:pPr>
            <w:r>
              <w:rPr>
                <w:rFonts w:ascii="Helvetica Neue" w:hAnsi="Helvetica Neue"/>
                <w:b/>
                <w:color w:val="C9A040"/>
                <w:sz w:val="19"/>
              </w:rPr>
              <w:t>$3.2B</w:t>
            </w:r>
          </w:p>
        </w:tc>
        <w:tc>
          <w:tcPr>
            <w:tcW w:type="dxa" w:w="3216"/>
            <w:shd w:val="clear" w:color="auto" w:fill="F3EFE7"/>
            <w:vAlign w:val="center"/>
          </w:tcPr>
          <w:p>
            <w:pPr>
              <w:jc w:val="left"/>
            </w:pPr>
            <w:r>
              <w:rPr>
                <w:rFonts w:ascii="Helvetica Neue" w:hAnsi="Helvetica Neue"/>
                <w:b w:val="0"/>
                <w:color w:val="1A1A1A"/>
                <w:sz w:val="19"/>
              </w:rPr>
              <w:t>GPS, swing analysis, booking, media</w:t>
            </w:r>
          </w:p>
        </w:tc>
      </w:tr>
      <w:tr>
        <w:tc>
          <w:tcPr>
            <w:tcW w:type="dxa" w:w="3216"/>
            <w:vAlign w:val="center"/>
          </w:tcPr>
          <w:p>
            <w:pPr>
              <w:jc w:val="left"/>
            </w:pPr>
            <w:r>
              <w:rPr>
                <w:rFonts w:ascii="Helvetica Neue" w:hAnsi="Helvetica Neue"/>
                <w:b w:val="0"/>
                <w:color w:val="1A1A1A"/>
                <w:sz w:val="19"/>
              </w:rPr>
              <w:t>US Active Golfers</w:t>
            </w:r>
          </w:p>
        </w:tc>
        <w:tc>
          <w:tcPr>
            <w:tcW w:type="dxa" w:w="3216"/>
            <w:vAlign w:val="center"/>
          </w:tcPr>
          <w:p>
            <w:pPr>
              <w:jc w:val="center"/>
            </w:pPr>
            <w:r>
              <w:rPr>
                <w:rFonts w:ascii="Helvetica Neue" w:hAnsi="Helvetica Neue"/>
                <w:b/>
                <w:color w:val="C9A040"/>
                <w:sz w:val="19"/>
              </w:rPr>
              <w:t>41M+</w:t>
            </w:r>
          </w:p>
        </w:tc>
        <w:tc>
          <w:tcPr>
            <w:tcW w:type="dxa" w:w="3216"/>
            <w:vAlign w:val="center"/>
          </w:tcPr>
          <w:p>
            <w:pPr>
              <w:jc w:val="left"/>
            </w:pPr>
            <w:r>
              <w:rPr>
                <w:rFonts w:ascii="Helvetica Neue" w:hAnsi="Helvetica Neue"/>
                <w:b w:val="0"/>
                <w:color w:val="1A1A1A"/>
                <w:sz w:val="19"/>
              </w:rPr>
              <w:t>18% YoY growth post-2020 golf boom</w:t>
            </w:r>
          </w:p>
        </w:tc>
      </w:tr>
      <w:tr>
        <w:tc>
          <w:tcPr>
            <w:tcW w:type="dxa" w:w="3216"/>
            <w:shd w:val="clear" w:color="auto" w:fill="F3EFE7"/>
            <w:vAlign w:val="center"/>
          </w:tcPr>
          <w:p>
            <w:pPr>
              <w:jc w:val="left"/>
            </w:pPr>
            <w:r>
              <w:rPr>
                <w:rFonts w:ascii="Helvetica Neue" w:hAnsi="Helvetica Neue"/>
                <w:b w:val="0"/>
                <w:color w:val="1A1A1A"/>
                <w:sz w:val="19"/>
              </w:rPr>
              <w:t>18–45 Digital-Native Golfers</w:t>
            </w:r>
          </w:p>
        </w:tc>
        <w:tc>
          <w:tcPr>
            <w:tcW w:type="dxa" w:w="3216"/>
            <w:shd w:val="clear" w:color="auto" w:fill="F3EFE7"/>
            <w:vAlign w:val="center"/>
          </w:tcPr>
          <w:p>
            <w:pPr>
              <w:jc w:val="center"/>
            </w:pPr>
            <w:r>
              <w:rPr>
                <w:rFonts w:ascii="Helvetica Neue" w:hAnsi="Helvetica Neue"/>
                <w:b/>
                <w:color w:val="C9A040"/>
                <w:sz w:val="19"/>
              </w:rPr>
              <w:t>~18M</w:t>
            </w:r>
          </w:p>
        </w:tc>
        <w:tc>
          <w:tcPr>
            <w:tcW w:type="dxa" w:w="3216"/>
            <w:shd w:val="clear" w:color="auto" w:fill="F3EFE7"/>
            <w:vAlign w:val="center"/>
          </w:tcPr>
          <w:p>
            <w:pPr>
              <w:jc w:val="left"/>
            </w:pPr>
            <w:r>
              <w:rPr>
                <w:rFonts w:ascii="Helvetica Neue" w:hAnsi="Helvetica Neue"/>
                <w:b w:val="0"/>
                <w:color w:val="1A1A1A"/>
                <w:sz w:val="19"/>
              </w:rPr>
              <w:t>Primary acquisition target</w:t>
            </w:r>
          </w:p>
        </w:tc>
      </w:tr>
      <w:tr>
        <w:tc>
          <w:tcPr>
            <w:tcW w:type="dxa" w:w="3216"/>
            <w:vAlign w:val="center"/>
          </w:tcPr>
          <w:p>
            <w:pPr>
              <w:jc w:val="left"/>
            </w:pPr>
            <w:r>
              <w:rPr>
                <w:rFonts w:ascii="Helvetica Neue" w:hAnsi="Helvetica Neue"/>
                <w:b w:val="0"/>
                <w:color w:val="1A1A1A"/>
                <w:sz w:val="19"/>
              </w:rPr>
              <w:t>GolfNow / Tee Time Booking Market</w:t>
            </w:r>
          </w:p>
        </w:tc>
        <w:tc>
          <w:tcPr>
            <w:tcW w:type="dxa" w:w="3216"/>
            <w:vAlign w:val="center"/>
          </w:tcPr>
          <w:p>
            <w:pPr>
              <w:jc w:val="center"/>
            </w:pPr>
            <w:r>
              <w:rPr>
                <w:rFonts w:ascii="Helvetica Neue" w:hAnsi="Helvetica Neue"/>
                <w:b/>
                <w:color w:val="C9A040"/>
                <w:sz w:val="19"/>
              </w:rPr>
              <w:t>$1.1B</w:t>
            </w:r>
          </w:p>
        </w:tc>
        <w:tc>
          <w:tcPr>
            <w:tcW w:type="dxa" w:w="3216"/>
            <w:vAlign w:val="center"/>
          </w:tcPr>
          <w:p>
            <w:pPr>
              <w:jc w:val="left"/>
            </w:pPr>
            <w:r>
              <w:rPr>
                <w:rFonts w:ascii="Helvetica Neue" w:hAnsi="Helvetica Neue"/>
                <w:b w:val="0"/>
                <w:color w:val="1A1A1A"/>
                <w:sz w:val="19"/>
              </w:rPr>
              <w:t>Integration &amp; referral opportunity</w:t>
            </w:r>
          </w:p>
        </w:tc>
      </w:tr>
    </w:tbl>
    <w:p/>
    <w:p>
      <w:pPr>
        <w:spacing w:before="240" w:after="80"/>
      </w:pPr>
      <w:r>
        <w:rPr>
          <w:rFonts w:ascii="Helvetica Neue" w:hAnsi="Helvetica Neue"/>
          <w:b/>
          <w:color w:val="1B5E3B"/>
          <w:sz w:val="24"/>
        </w:rPr>
        <w:t>Why Now</w:t>
      </w:r>
    </w:p>
    <w:p>
      <w:pPr>
        <w:pStyle w:val="ListBullet"/>
        <w:spacing w:after="60" w:line="300" w:lineRule="exact"/>
        <w:ind w:left="288"/>
      </w:pPr>
      <w:r>
        <w:rPr>
          <w:rFonts w:ascii="Helvetica Neue" w:hAnsi="Helvetica Neue"/>
          <w:b w:val="0"/>
          <w:color w:val="1A1A1A"/>
          <w:sz w:val="20"/>
        </w:rPr>
        <w:t>Golf participation surged 18% post-COVID and has held — a permanent demographic shift with younger players entering the sport.</w:t>
      </w:r>
    </w:p>
    <w:p>
      <w:pPr>
        <w:pStyle w:val="ListBullet"/>
        <w:spacing w:after="60" w:line="300" w:lineRule="exact"/>
        <w:ind w:left="288"/>
      </w:pPr>
      <w:r>
        <w:rPr>
          <w:rFonts w:ascii="Helvetica Neue" w:hAnsi="Helvetica Neue"/>
          <w:b w:val="0"/>
          <w:color w:val="1A1A1A"/>
          <w:sz w:val="20"/>
        </w:rPr>
        <w:t>The digital-native golfer expects the same app sophistication from golf tools that they get from fitness, food delivery, and social media.</w:t>
      </w:r>
    </w:p>
    <w:p>
      <w:pPr>
        <w:pStyle w:val="ListBullet"/>
        <w:spacing w:after="60" w:line="300" w:lineRule="exact"/>
        <w:ind w:left="288"/>
      </w:pPr>
      <w:r>
        <w:rPr>
          <w:rFonts w:ascii="Helvetica Neue" w:hAnsi="Helvetica Neue"/>
          <w:b w:val="0"/>
          <w:color w:val="1A1A1A"/>
          <w:sz w:val="20"/>
        </w:rPr>
        <w:t>AI on-device capabilities (camera ML, weather APIs, GPS precision) have reached the maturity needed — and The Match has already deployed them.</w:t>
      </w:r>
    </w:p>
    <w:p>
      <w:pPr>
        <w:pStyle w:val="ListBullet"/>
        <w:spacing w:after="60" w:line="300" w:lineRule="exact"/>
        <w:ind w:left="288"/>
      </w:pPr>
      <w:r>
        <w:rPr>
          <w:rFonts w:ascii="Helvetica Neue" w:hAnsi="Helvetica Neue"/>
          <w:b w:val="0"/>
          <w:color w:val="1A1A1A"/>
          <w:sz w:val="20"/>
        </w:rPr>
        <w:t>No incumbent has moved to consolidate the golf app space. The window for a platform play is open right now, and The Match is already live.</w:t>
      </w:r>
    </w:p>
    <w:p>
      <w:pPr>
        <w:spacing w:before="240" w:after="80"/>
      </w:pPr>
      <w:r>
        <w:rPr>
          <w:rFonts w:ascii="Helvetica Neue" w:hAnsi="Helvetica Neue"/>
          <w:b/>
          <w:color w:val="1B5E3B"/>
          <w:sz w:val="24"/>
        </w:rPr>
        <w:t>Competitive Landscape</w:t>
      </w:r>
    </w:p>
    <w:p>
      <w:pPr>
        <w:spacing w:after="120" w:line="320" w:lineRule="exact"/>
        <w:jc w:val="both"/>
      </w:pPr>
      <w:r>
        <w:rPr>
          <w:rFonts w:ascii="Helvetica Neue" w:hAnsi="Helvetica Neue"/>
          <w:color w:val="1A1A1A"/>
          <w:sz w:val="20"/>
        </w:rPr>
        <w:t>Existing apps address single use cases in isolation: 18Birdies and Golfshot offer GPS. The Grint and GHIN handle handicap tracking. GolfNow handles booking. No platform offers a social graph, head-to-head records, group coordination, live scoring with AI player photos on a live scoreboard, AI shot advice, and PGA Tour content in a unified experience. The Match is not competing with these apps — it is replacing all of them.</w:t>
      </w:r>
    </w:p>
    <w:p>
      <w:r>
        <w:br w:type="page"/>
      </w:r>
    </w:p>
    <w:p>
      <w:pPr>
        <w:spacing w:before="320" w:after="80"/>
        <w:jc w:val="left"/>
      </w:pPr>
      <w:r>
        <w:rPr>
          <w:rFonts w:ascii="Georgia" w:hAnsi="Georgia"/>
          <w:b/>
          <w:color w:val="0D1F12"/>
          <w:sz w:val="36"/>
        </w:rPr>
        <w:t>Feature Comparison</w:t>
      </w:r>
    </w:p>
    <w:p>
      <w:pPr>
        <w:spacing w:before="0" w:after="120"/>
        <w:pBdr>
          <w:bottom w:val="single" w:sz="6" w:color="C9A040"/>
        </w:pBdr>
      </w:pPr>
    </w:p>
    <w:p/>
    <w:tbl>
      <w:tblPr>
        <w:tblStyle w:val="TableGrid"/>
        <w:tblW w:type="auto" w:w="0"/>
        <w:jc w:val="left"/>
        <w:tblLook w:firstColumn="1" w:firstRow="1" w:lastColumn="0" w:lastRow="0" w:noHBand="0" w:noVBand="1" w:val="04A0"/>
      </w:tblPr>
      <w:tblGrid>
        <w:gridCol w:w="1608"/>
        <w:gridCol w:w="1608"/>
        <w:gridCol w:w="1608"/>
        <w:gridCol w:w="1608"/>
        <w:gridCol w:w="1608"/>
        <w:gridCol w:w="1608"/>
      </w:tblGrid>
      <w:tr>
        <w:tc>
          <w:tcPr>
            <w:tcW w:type="dxa" w:w="1608"/>
            <w:shd w:val="clear" w:color="auto" w:fill="0D1F12"/>
            <w:vAlign w:val="center"/>
          </w:tcPr>
          <w:p>
            <w:pPr>
              <w:jc w:val="left"/>
            </w:pPr>
            <w:r>
              <w:rPr>
                <w:rFonts w:ascii="Helvetica Neue" w:hAnsi="Helvetica Neue"/>
                <w:b/>
                <w:color w:val="FFFFFF"/>
                <w:sz w:val="19"/>
              </w:rPr>
              <w:t>Feature</w:t>
            </w:r>
          </w:p>
        </w:tc>
        <w:tc>
          <w:tcPr>
            <w:tcW w:type="dxa" w:w="1608"/>
            <w:shd w:val="clear" w:color="auto" w:fill="0D1F12"/>
            <w:vAlign w:val="center"/>
          </w:tcPr>
          <w:p>
            <w:pPr>
              <w:jc w:val="left"/>
            </w:pPr>
            <w:r>
              <w:rPr>
                <w:rFonts w:ascii="Helvetica Neue" w:hAnsi="Helvetica Neue"/>
                <w:b/>
                <w:color w:val="FFFFFF"/>
                <w:sz w:val="19"/>
              </w:rPr>
              <w:t>The Match</w:t>
            </w:r>
          </w:p>
        </w:tc>
        <w:tc>
          <w:tcPr>
            <w:tcW w:type="dxa" w:w="1608"/>
            <w:shd w:val="clear" w:color="auto" w:fill="0D1F12"/>
            <w:vAlign w:val="center"/>
          </w:tcPr>
          <w:p>
            <w:pPr>
              <w:jc w:val="left"/>
            </w:pPr>
            <w:r>
              <w:rPr>
                <w:rFonts w:ascii="Helvetica Neue" w:hAnsi="Helvetica Neue"/>
                <w:b/>
                <w:color w:val="FFFFFF"/>
                <w:sz w:val="19"/>
              </w:rPr>
              <w:t>18Birdies</w:t>
            </w:r>
          </w:p>
        </w:tc>
        <w:tc>
          <w:tcPr>
            <w:tcW w:type="dxa" w:w="1608"/>
            <w:shd w:val="clear" w:color="auto" w:fill="0D1F12"/>
            <w:vAlign w:val="center"/>
          </w:tcPr>
          <w:p>
            <w:pPr>
              <w:jc w:val="left"/>
            </w:pPr>
            <w:r>
              <w:rPr>
                <w:rFonts w:ascii="Helvetica Neue" w:hAnsi="Helvetica Neue"/>
                <w:b/>
                <w:color w:val="FFFFFF"/>
                <w:sz w:val="19"/>
              </w:rPr>
              <w:t>Golfshot</w:t>
            </w:r>
          </w:p>
        </w:tc>
        <w:tc>
          <w:tcPr>
            <w:tcW w:type="dxa" w:w="1608"/>
            <w:shd w:val="clear" w:color="auto" w:fill="0D1F12"/>
            <w:vAlign w:val="center"/>
          </w:tcPr>
          <w:p>
            <w:pPr>
              <w:jc w:val="left"/>
            </w:pPr>
            <w:r>
              <w:rPr>
                <w:rFonts w:ascii="Helvetica Neue" w:hAnsi="Helvetica Neue"/>
                <w:b/>
                <w:color w:val="FFFFFF"/>
                <w:sz w:val="19"/>
              </w:rPr>
              <w:t>The Grint</w:t>
            </w:r>
          </w:p>
        </w:tc>
        <w:tc>
          <w:tcPr>
            <w:tcW w:type="dxa" w:w="1608"/>
            <w:shd w:val="clear" w:color="auto" w:fill="0D1F12"/>
            <w:vAlign w:val="center"/>
          </w:tcPr>
          <w:p>
            <w:pPr>
              <w:jc w:val="left"/>
            </w:pPr>
            <w:r>
              <w:rPr>
                <w:rFonts w:ascii="Helvetica Neue" w:hAnsi="Helvetica Neue"/>
                <w:b/>
                <w:color w:val="FFFFFF"/>
                <w:sz w:val="19"/>
              </w:rPr>
              <w:t>Golf Now</w:t>
            </w:r>
          </w:p>
        </w:tc>
      </w:tr>
      <w:tr>
        <w:tc>
          <w:tcPr>
            <w:tcW w:type="dxa" w:w="1608"/>
            <w:vAlign w:val="center"/>
          </w:tcPr>
          <w:p>
            <w:pPr>
              <w:jc w:val="left"/>
            </w:pPr>
            <w:r>
              <w:rPr>
                <w:rFonts w:ascii="Helvetica Neue" w:hAnsi="Helvetica Neue"/>
                <w:b w:val="0"/>
                <w:color w:val="1A1A1A"/>
                <w:sz w:val="19"/>
              </w:rPr>
              <w:t>Eagle Eye GPS &amp; Satellite</w:t>
            </w:r>
          </w:p>
        </w:tc>
        <w:tc>
          <w:tcPr>
            <w:tcW w:type="dxa" w:w="1608"/>
            <w:shd w:val="clear" w:color="auto" w:fill="E8F5EE"/>
            <w:vAlign w:val="center"/>
          </w:tcPr>
          <w:p>
            <w:pPr>
              <w:jc w:val="center"/>
            </w:pPr>
            <w:r>
              <w:rPr>
                <w:rFonts w:ascii="Helvetica Neue" w:hAnsi="Helvetica Neue"/>
                <w:b/>
                <w:color w:val="1B5E3B"/>
                <w:sz w:val="19"/>
              </w:rPr>
              <w:t>✓</w:t>
            </w:r>
          </w:p>
        </w:tc>
        <w:tc>
          <w:tcPr>
            <w:tcW w:type="dxa" w:w="1608"/>
            <w:vAlign w:val="center"/>
          </w:tcPr>
          <w:p>
            <w:pPr>
              <w:jc w:val="center"/>
            </w:pPr>
            <w:r>
              <w:rPr>
                <w:rFonts w:ascii="Helvetica Neue" w:hAnsi="Helvetica Neue"/>
                <w:b w:val="0"/>
                <w:color w:val="1A1A1A"/>
                <w:sz w:val="19"/>
              </w:rPr>
              <w:t>Partial</w:t>
            </w:r>
          </w:p>
        </w:tc>
        <w:tc>
          <w:tcPr>
            <w:tcW w:type="dxa" w:w="1608"/>
            <w:vAlign w:val="center"/>
          </w:tcPr>
          <w:p>
            <w:pPr>
              <w:jc w:val="center"/>
            </w:pPr>
            <w:r>
              <w:rPr>
                <w:rFonts w:ascii="Helvetica Neue" w:hAnsi="Helvetica Neue"/>
                <w:b w:val="0"/>
                <w:color w:val="1A1A1A"/>
                <w:sz w:val="19"/>
              </w:rPr>
              <w:t>Partial</w:t>
            </w:r>
          </w:p>
        </w:tc>
        <w:tc>
          <w:tcPr>
            <w:tcW w:type="dxa" w:w="1608"/>
            <w:vAlign w:val="center"/>
          </w:tcPr>
          <w:p>
            <w:pPr>
              <w:jc w:val="center"/>
            </w:pPr>
            <w:r>
              <w:rPr>
                <w:rFonts w:ascii="Helvetica Neue" w:hAnsi="Helvetica Neue"/>
                <w:b w:val="0"/>
                <w:color w:val="1A1A1A"/>
                <w:sz w:val="19"/>
              </w:rPr>
              <w:t>✗</w:t>
            </w:r>
          </w:p>
        </w:tc>
        <w:tc>
          <w:tcPr>
            <w:tcW w:type="dxa" w:w="1608"/>
            <w:vAlign w:val="center"/>
          </w:tcPr>
          <w:p>
            <w:pPr>
              <w:jc w:val="center"/>
            </w:pPr>
            <w:r>
              <w:rPr>
                <w:rFonts w:ascii="Helvetica Neue" w:hAnsi="Helvetica Neue"/>
                <w:b w:val="0"/>
                <w:color w:val="1A1A1A"/>
                <w:sz w:val="19"/>
              </w:rPr>
              <w:t>✗</w:t>
            </w:r>
          </w:p>
        </w:tc>
      </w:tr>
      <w:tr>
        <w:tc>
          <w:tcPr>
            <w:tcW w:type="dxa" w:w="1608"/>
            <w:shd w:val="clear" w:color="auto" w:fill="F3EFE7"/>
            <w:vAlign w:val="center"/>
          </w:tcPr>
          <w:p>
            <w:pPr>
              <w:jc w:val="left"/>
            </w:pPr>
            <w:r>
              <w:rPr>
                <w:rFonts w:ascii="Helvetica Neue" w:hAnsi="Helvetica Neue"/>
                <w:b w:val="0"/>
                <w:color w:val="1A1A1A"/>
                <w:sz w:val="19"/>
              </w:rPr>
              <w:t>AI Shot Advisor</w:t>
            </w:r>
          </w:p>
        </w:tc>
        <w:tc>
          <w:tcPr>
            <w:tcW w:type="dxa" w:w="1608"/>
            <w:shd w:val="clear" w:color="auto" w:fill="E8F5EE"/>
            <w:vAlign w:val="center"/>
          </w:tcPr>
          <w:p>
            <w:pPr>
              <w:jc w:val="center"/>
            </w:pPr>
            <w:r>
              <w:rPr>
                <w:rFonts w:ascii="Helvetica Neue" w:hAnsi="Helvetica Neue"/>
                <w:b/>
                <w:color w:val="1B5E3B"/>
                <w:sz w:val="19"/>
              </w:rPr>
              <w:t>✓</w:t>
            </w:r>
          </w:p>
        </w:tc>
        <w:tc>
          <w:tcPr>
            <w:tcW w:type="dxa" w:w="1608"/>
            <w:shd w:val="clear" w:color="auto" w:fill="F3EFE7"/>
            <w:vAlign w:val="center"/>
          </w:tcPr>
          <w:p>
            <w:pPr>
              <w:jc w:val="center"/>
            </w:pPr>
            <w:r>
              <w:rPr>
                <w:rFonts w:ascii="Helvetica Neue" w:hAnsi="Helvetica Neue"/>
                <w:b w:val="0"/>
                <w:color w:val="1A1A1A"/>
                <w:sz w:val="19"/>
              </w:rPr>
              <w:t>✗</w:t>
            </w:r>
          </w:p>
        </w:tc>
        <w:tc>
          <w:tcPr>
            <w:tcW w:type="dxa" w:w="1608"/>
            <w:shd w:val="clear" w:color="auto" w:fill="F3EFE7"/>
            <w:vAlign w:val="center"/>
          </w:tcPr>
          <w:p>
            <w:pPr>
              <w:jc w:val="center"/>
            </w:pPr>
            <w:r>
              <w:rPr>
                <w:rFonts w:ascii="Helvetica Neue" w:hAnsi="Helvetica Neue"/>
                <w:b w:val="0"/>
                <w:color w:val="1A1A1A"/>
                <w:sz w:val="19"/>
              </w:rPr>
              <w:t>✗</w:t>
            </w:r>
          </w:p>
        </w:tc>
        <w:tc>
          <w:tcPr>
            <w:tcW w:type="dxa" w:w="1608"/>
            <w:shd w:val="clear" w:color="auto" w:fill="F3EFE7"/>
            <w:vAlign w:val="center"/>
          </w:tcPr>
          <w:p>
            <w:pPr>
              <w:jc w:val="center"/>
            </w:pPr>
            <w:r>
              <w:rPr>
                <w:rFonts w:ascii="Helvetica Neue" w:hAnsi="Helvetica Neue"/>
                <w:b w:val="0"/>
                <w:color w:val="1A1A1A"/>
                <w:sz w:val="19"/>
              </w:rPr>
              <w:t>✗</w:t>
            </w:r>
          </w:p>
        </w:tc>
        <w:tc>
          <w:tcPr>
            <w:tcW w:type="dxa" w:w="1608"/>
            <w:shd w:val="clear" w:color="auto" w:fill="F3EFE7"/>
            <w:vAlign w:val="center"/>
          </w:tcPr>
          <w:p>
            <w:pPr>
              <w:jc w:val="center"/>
            </w:pPr>
            <w:r>
              <w:rPr>
                <w:rFonts w:ascii="Helvetica Neue" w:hAnsi="Helvetica Neue"/>
                <w:b w:val="0"/>
                <w:color w:val="1A1A1A"/>
                <w:sz w:val="19"/>
              </w:rPr>
              <w:t>✗</w:t>
            </w:r>
          </w:p>
        </w:tc>
      </w:tr>
      <w:tr>
        <w:tc>
          <w:tcPr>
            <w:tcW w:type="dxa" w:w="1608"/>
            <w:vAlign w:val="center"/>
          </w:tcPr>
          <w:p>
            <w:pPr>
              <w:jc w:val="left"/>
            </w:pPr>
            <w:r>
              <w:rPr>
                <w:rFonts w:ascii="Helvetica Neue" w:hAnsi="Helvetica Neue"/>
                <w:b w:val="0"/>
                <w:color w:val="1A1A1A"/>
                <w:sz w:val="19"/>
              </w:rPr>
              <w:t>Social Graph &amp; H2H Records</w:t>
            </w:r>
          </w:p>
        </w:tc>
        <w:tc>
          <w:tcPr>
            <w:tcW w:type="dxa" w:w="1608"/>
            <w:shd w:val="clear" w:color="auto" w:fill="E8F5EE"/>
            <w:vAlign w:val="center"/>
          </w:tcPr>
          <w:p>
            <w:pPr>
              <w:jc w:val="center"/>
            </w:pPr>
            <w:r>
              <w:rPr>
                <w:rFonts w:ascii="Helvetica Neue" w:hAnsi="Helvetica Neue"/>
                <w:b/>
                <w:color w:val="1B5E3B"/>
                <w:sz w:val="19"/>
              </w:rPr>
              <w:t>✓</w:t>
            </w:r>
          </w:p>
        </w:tc>
        <w:tc>
          <w:tcPr>
            <w:tcW w:type="dxa" w:w="1608"/>
            <w:vAlign w:val="center"/>
          </w:tcPr>
          <w:p>
            <w:pPr>
              <w:jc w:val="center"/>
            </w:pPr>
            <w:r>
              <w:rPr>
                <w:rFonts w:ascii="Helvetica Neue" w:hAnsi="Helvetica Neue"/>
                <w:b w:val="0"/>
                <w:color w:val="1A1A1A"/>
                <w:sz w:val="19"/>
              </w:rPr>
              <w:t>✗</w:t>
            </w:r>
          </w:p>
        </w:tc>
        <w:tc>
          <w:tcPr>
            <w:tcW w:type="dxa" w:w="1608"/>
            <w:vAlign w:val="center"/>
          </w:tcPr>
          <w:p>
            <w:pPr>
              <w:jc w:val="center"/>
            </w:pPr>
            <w:r>
              <w:rPr>
                <w:rFonts w:ascii="Helvetica Neue" w:hAnsi="Helvetica Neue"/>
                <w:b w:val="0"/>
                <w:color w:val="1A1A1A"/>
                <w:sz w:val="19"/>
              </w:rPr>
              <w:t>✗</w:t>
            </w:r>
          </w:p>
        </w:tc>
        <w:tc>
          <w:tcPr>
            <w:tcW w:type="dxa" w:w="1608"/>
            <w:vAlign w:val="center"/>
          </w:tcPr>
          <w:p>
            <w:pPr>
              <w:jc w:val="center"/>
            </w:pPr>
            <w:r>
              <w:rPr>
                <w:rFonts w:ascii="Helvetica Neue" w:hAnsi="Helvetica Neue"/>
                <w:b w:val="0"/>
                <w:color w:val="1A1A1A"/>
                <w:sz w:val="19"/>
              </w:rPr>
              <w:t>Partial</w:t>
            </w:r>
          </w:p>
        </w:tc>
        <w:tc>
          <w:tcPr>
            <w:tcW w:type="dxa" w:w="1608"/>
            <w:vAlign w:val="center"/>
          </w:tcPr>
          <w:p>
            <w:pPr>
              <w:jc w:val="center"/>
            </w:pPr>
            <w:r>
              <w:rPr>
                <w:rFonts w:ascii="Helvetica Neue" w:hAnsi="Helvetica Neue"/>
                <w:b w:val="0"/>
                <w:color w:val="1A1A1A"/>
                <w:sz w:val="19"/>
              </w:rPr>
              <w:t>✗</w:t>
            </w:r>
          </w:p>
        </w:tc>
      </w:tr>
      <w:tr>
        <w:tc>
          <w:tcPr>
            <w:tcW w:type="dxa" w:w="1608"/>
            <w:shd w:val="clear" w:color="auto" w:fill="F3EFE7"/>
            <w:vAlign w:val="center"/>
          </w:tcPr>
          <w:p>
            <w:pPr>
              <w:jc w:val="left"/>
            </w:pPr>
            <w:r>
              <w:rPr>
                <w:rFonts w:ascii="Helvetica Neue" w:hAnsi="Helvetica Neue"/>
                <w:b w:val="0"/>
                <w:color w:val="1A1A1A"/>
                <w:sz w:val="19"/>
              </w:rPr>
              <w:t>Availability Calendar</w:t>
            </w:r>
          </w:p>
        </w:tc>
        <w:tc>
          <w:tcPr>
            <w:tcW w:type="dxa" w:w="1608"/>
            <w:shd w:val="clear" w:color="auto" w:fill="E8F5EE"/>
            <w:vAlign w:val="center"/>
          </w:tcPr>
          <w:p>
            <w:pPr>
              <w:jc w:val="center"/>
            </w:pPr>
            <w:r>
              <w:rPr>
                <w:rFonts w:ascii="Helvetica Neue" w:hAnsi="Helvetica Neue"/>
                <w:b/>
                <w:color w:val="1B5E3B"/>
                <w:sz w:val="19"/>
              </w:rPr>
              <w:t>✓</w:t>
            </w:r>
          </w:p>
        </w:tc>
        <w:tc>
          <w:tcPr>
            <w:tcW w:type="dxa" w:w="1608"/>
            <w:shd w:val="clear" w:color="auto" w:fill="F3EFE7"/>
            <w:vAlign w:val="center"/>
          </w:tcPr>
          <w:p>
            <w:pPr>
              <w:jc w:val="center"/>
            </w:pPr>
            <w:r>
              <w:rPr>
                <w:rFonts w:ascii="Helvetica Neue" w:hAnsi="Helvetica Neue"/>
                <w:b w:val="0"/>
                <w:color w:val="1A1A1A"/>
                <w:sz w:val="19"/>
              </w:rPr>
              <w:t>✗</w:t>
            </w:r>
          </w:p>
        </w:tc>
        <w:tc>
          <w:tcPr>
            <w:tcW w:type="dxa" w:w="1608"/>
            <w:shd w:val="clear" w:color="auto" w:fill="F3EFE7"/>
            <w:vAlign w:val="center"/>
          </w:tcPr>
          <w:p>
            <w:pPr>
              <w:jc w:val="center"/>
            </w:pPr>
            <w:r>
              <w:rPr>
                <w:rFonts w:ascii="Helvetica Neue" w:hAnsi="Helvetica Neue"/>
                <w:b w:val="0"/>
                <w:color w:val="1A1A1A"/>
                <w:sz w:val="19"/>
              </w:rPr>
              <w:t>✗</w:t>
            </w:r>
          </w:p>
        </w:tc>
        <w:tc>
          <w:tcPr>
            <w:tcW w:type="dxa" w:w="1608"/>
            <w:shd w:val="clear" w:color="auto" w:fill="F3EFE7"/>
            <w:vAlign w:val="center"/>
          </w:tcPr>
          <w:p>
            <w:pPr>
              <w:jc w:val="center"/>
            </w:pPr>
            <w:r>
              <w:rPr>
                <w:rFonts w:ascii="Helvetica Neue" w:hAnsi="Helvetica Neue"/>
                <w:b w:val="0"/>
                <w:color w:val="1A1A1A"/>
                <w:sz w:val="19"/>
              </w:rPr>
              <w:t>✗</w:t>
            </w:r>
          </w:p>
        </w:tc>
        <w:tc>
          <w:tcPr>
            <w:tcW w:type="dxa" w:w="1608"/>
            <w:shd w:val="clear" w:color="auto" w:fill="F3EFE7"/>
            <w:vAlign w:val="center"/>
          </w:tcPr>
          <w:p>
            <w:pPr>
              <w:jc w:val="center"/>
            </w:pPr>
            <w:r>
              <w:rPr>
                <w:rFonts w:ascii="Helvetica Neue" w:hAnsi="Helvetica Neue"/>
                <w:b w:val="0"/>
                <w:color w:val="1A1A1A"/>
                <w:sz w:val="19"/>
              </w:rPr>
              <w:t>✗</w:t>
            </w:r>
          </w:p>
        </w:tc>
      </w:tr>
      <w:tr>
        <w:tc>
          <w:tcPr>
            <w:tcW w:type="dxa" w:w="1608"/>
            <w:vAlign w:val="center"/>
          </w:tcPr>
          <w:p>
            <w:pPr>
              <w:jc w:val="left"/>
            </w:pPr>
            <w:r>
              <w:rPr>
                <w:rFonts w:ascii="Helvetica Neue" w:hAnsi="Helvetica Neue"/>
                <w:b w:val="0"/>
                <w:color w:val="1A1A1A"/>
                <w:sz w:val="19"/>
              </w:rPr>
              <w:t>Fill My Spot Alerts</w:t>
            </w:r>
          </w:p>
        </w:tc>
        <w:tc>
          <w:tcPr>
            <w:tcW w:type="dxa" w:w="1608"/>
            <w:shd w:val="clear" w:color="auto" w:fill="E8F5EE"/>
            <w:vAlign w:val="center"/>
          </w:tcPr>
          <w:p>
            <w:pPr>
              <w:jc w:val="center"/>
            </w:pPr>
            <w:r>
              <w:rPr>
                <w:rFonts w:ascii="Helvetica Neue" w:hAnsi="Helvetica Neue"/>
                <w:b/>
                <w:color w:val="1B5E3B"/>
                <w:sz w:val="19"/>
              </w:rPr>
              <w:t>✓</w:t>
            </w:r>
          </w:p>
        </w:tc>
        <w:tc>
          <w:tcPr>
            <w:tcW w:type="dxa" w:w="1608"/>
            <w:vAlign w:val="center"/>
          </w:tcPr>
          <w:p>
            <w:pPr>
              <w:jc w:val="center"/>
            </w:pPr>
            <w:r>
              <w:rPr>
                <w:rFonts w:ascii="Helvetica Neue" w:hAnsi="Helvetica Neue"/>
                <w:b w:val="0"/>
                <w:color w:val="1A1A1A"/>
                <w:sz w:val="19"/>
              </w:rPr>
              <w:t>✗</w:t>
            </w:r>
          </w:p>
        </w:tc>
        <w:tc>
          <w:tcPr>
            <w:tcW w:type="dxa" w:w="1608"/>
            <w:vAlign w:val="center"/>
          </w:tcPr>
          <w:p>
            <w:pPr>
              <w:jc w:val="center"/>
            </w:pPr>
            <w:r>
              <w:rPr>
                <w:rFonts w:ascii="Helvetica Neue" w:hAnsi="Helvetica Neue"/>
                <w:b w:val="0"/>
                <w:color w:val="1A1A1A"/>
                <w:sz w:val="19"/>
              </w:rPr>
              <w:t>✗</w:t>
            </w:r>
          </w:p>
        </w:tc>
        <w:tc>
          <w:tcPr>
            <w:tcW w:type="dxa" w:w="1608"/>
            <w:vAlign w:val="center"/>
          </w:tcPr>
          <w:p>
            <w:pPr>
              <w:jc w:val="center"/>
            </w:pPr>
            <w:r>
              <w:rPr>
                <w:rFonts w:ascii="Helvetica Neue" w:hAnsi="Helvetica Neue"/>
                <w:b w:val="0"/>
                <w:color w:val="1A1A1A"/>
                <w:sz w:val="19"/>
              </w:rPr>
              <w:t>✗</w:t>
            </w:r>
          </w:p>
        </w:tc>
        <w:tc>
          <w:tcPr>
            <w:tcW w:type="dxa" w:w="1608"/>
            <w:vAlign w:val="center"/>
          </w:tcPr>
          <w:p>
            <w:pPr>
              <w:jc w:val="center"/>
            </w:pPr>
            <w:r>
              <w:rPr>
                <w:rFonts w:ascii="Helvetica Neue" w:hAnsi="Helvetica Neue"/>
                <w:b w:val="0"/>
                <w:color w:val="1A1A1A"/>
                <w:sz w:val="19"/>
              </w:rPr>
              <w:t>✗</w:t>
            </w:r>
          </w:p>
        </w:tc>
      </w:tr>
      <w:tr>
        <w:tc>
          <w:tcPr>
            <w:tcW w:type="dxa" w:w="1608"/>
            <w:shd w:val="clear" w:color="auto" w:fill="F3EFE7"/>
            <w:vAlign w:val="center"/>
          </w:tcPr>
          <w:p>
            <w:pPr>
              <w:jc w:val="left"/>
            </w:pPr>
            <w:r>
              <w:rPr>
                <w:rFonts w:ascii="Helvetica Neue" w:hAnsi="Helvetica Neue"/>
                <w:b w:val="0"/>
                <w:color w:val="1A1A1A"/>
                <w:sz w:val="19"/>
              </w:rPr>
              <w:t>Live PGA Tour Scores</w:t>
            </w:r>
          </w:p>
        </w:tc>
        <w:tc>
          <w:tcPr>
            <w:tcW w:type="dxa" w:w="1608"/>
            <w:shd w:val="clear" w:color="auto" w:fill="E8F5EE"/>
            <w:vAlign w:val="center"/>
          </w:tcPr>
          <w:p>
            <w:pPr>
              <w:jc w:val="center"/>
            </w:pPr>
            <w:r>
              <w:rPr>
                <w:rFonts w:ascii="Helvetica Neue" w:hAnsi="Helvetica Neue"/>
                <w:b/>
                <w:color w:val="1B5E3B"/>
                <w:sz w:val="19"/>
              </w:rPr>
              <w:t>✓</w:t>
            </w:r>
          </w:p>
        </w:tc>
        <w:tc>
          <w:tcPr>
            <w:tcW w:type="dxa" w:w="1608"/>
            <w:shd w:val="clear" w:color="auto" w:fill="F3EFE7"/>
            <w:vAlign w:val="center"/>
          </w:tcPr>
          <w:p>
            <w:pPr>
              <w:jc w:val="center"/>
            </w:pPr>
            <w:r>
              <w:rPr>
                <w:rFonts w:ascii="Helvetica Neue" w:hAnsi="Helvetica Neue"/>
                <w:b w:val="0"/>
                <w:color w:val="1A1A1A"/>
                <w:sz w:val="19"/>
              </w:rPr>
              <w:t>✓</w:t>
            </w:r>
          </w:p>
        </w:tc>
        <w:tc>
          <w:tcPr>
            <w:tcW w:type="dxa" w:w="1608"/>
            <w:shd w:val="clear" w:color="auto" w:fill="F3EFE7"/>
            <w:vAlign w:val="center"/>
          </w:tcPr>
          <w:p>
            <w:pPr>
              <w:jc w:val="center"/>
            </w:pPr>
            <w:r>
              <w:rPr>
                <w:rFonts w:ascii="Helvetica Neue" w:hAnsi="Helvetica Neue"/>
                <w:b w:val="0"/>
                <w:color w:val="1A1A1A"/>
                <w:sz w:val="19"/>
              </w:rPr>
              <w:t>✗</w:t>
            </w:r>
          </w:p>
        </w:tc>
        <w:tc>
          <w:tcPr>
            <w:tcW w:type="dxa" w:w="1608"/>
            <w:shd w:val="clear" w:color="auto" w:fill="F3EFE7"/>
            <w:vAlign w:val="center"/>
          </w:tcPr>
          <w:p>
            <w:pPr>
              <w:jc w:val="center"/>
            </w:pPr>
            <w:r>
              <w:rPr>
                <w:rFonts w:ascii="Helvetica Neue" w:hAnsi="Helvetica Neue"/>
                <w:b w:val="0"/>
                <w:color w:val="1A1A1A"/>
                <w:sz w:val="19"/>
              </w:rPr>
              <w:t>✗</w:t>
            </w:r>
          </w:p>
        </w:tc>
        <w:tc>
          <w:tcPr>
            <w:tcW w:type="dxa" w:w="1608"/>
            <w:shd w:val="clear" w:color="auto" w:fill="F3EFE7"/>
            <w:vAlign w:val="center"/>
          </w:tcPr>
          <w:p>
            <w:pPr>
              <w:jc w:val="center"/>
            </w:pPr>
            <w:r>
              <w:rPr>
                <w:rFonts w:ascii="Helvetica Neue" w:hAnsi="Helvetica Neue"/>
                <w:b w:val="0"/>
                <w:color w:val="1A1A1A"/>
                <w:sz w:val="19"/>
              </w:rPr>
              <w:t>✗</w:t>
            </w:r>
          </w:p>
        </w:tc>
      </w:tr>
      <w:tr>
        <w:tc>
          <w:tcPr>
            <w:tcW w:type="dxa" w:w="1608"/>
            <w:vAlign w:val="center"/>
          </w:tcPr>
          <w:p>
            <w:pPr>
              <w:jc w:val="left"/>
            </w:pPr>
            <w:r>
              <w:rPr>
                <w:rFonts w:ascii="Helvetica Neue" w:hAnsi="Helvetica Neue"/>
                <w:b w:val="0"/>
                <w:color w:val="1A1A1A"/>
                <w:sz w:val="19"/>
              </w:rPr>
              <w:t>Player Headshots &amp; Country Flags</w:t>
            </w:r>
          </w:p>
        </w:tc>
        <w:tc>
          <w:tcPr>
            <w:tcW w:type="dxa" w:w="1608"/>
            <w:shd w:val="clear" w:color="auto" w:fill="E8F5EE"/>
            <w:vAlign w:val="center"/>
          </w:tcPr>
          <w:p>
            <w:pPr>
              <w:jc w:val="center"/>
            </w:pPr>
            <w:r>
              <w:rPr>
                <w:rFonts w:ascii="Helvetica Neue" w:hAnsi="Helvetica Neue"/>
                <w:b/>
                <w:color w:val="1B5E3B"/>
                <w:sz w:val="19"/>
              </w:rPr>
              <w:t>✓</w:t>
            </w:r>
          </w:p>
        </w:tc>
        <w:tc>
          <w:tcPr>
            <w:tcW w:type="dxa" w:w="1608"/>
            <w:vAlign w:val="center"/>
          </w:tcPr>
          <w:p>
            <w:pPr>
              <w:jc w:val="center"/>
            </w:pPr>
            <w:r>
              <w:rPr>
                <w:rFonts w:ascii="Helvetica Neue" w:hAnsi="Helvetica Neue"/>
                <w:b w:val="0"/>
                <w:color w:val="1A1A1A"/>
                <w:sz w:val="19"/>
              </w:rPr>
              <w:t>✗</w:t>
            </w:r>
          </w:p>
        </w:tc>
        <w:tc>
          <w:tcPr>
            <w:tcW w:type="dxa" w:w="1608"/>
            <w:vAlign w:val="center"/>
          </w:tcPr>
          <w:p>
            <w:pPr>
              <w:jc w:val="center"/>
            </w:pPr>
            <w:r>
              <w:rPr>
                <w:rFonts w:ascii="Helvetica Neue" w:hAnsi="Helvetica Neue"/>
                <w:b w:val="0"/>
                <w:color w:val="1A1A1A"/>
                <w:sz w:val="19"/>
              </w:rPr>
              <w:t>✗</w:t>
            </w:r>
          </w:p>
        </w:tc>
        <w:tc>
          <w:tcPr>
            <w:tcW w:type="dxa" w:w="1608"/>
            <w:vAlign w:val="center"/>
          </w:tcPr>
          <w:p>
            <w:pPr>
              <w:jc w:val="center"/>
            </w:pPr>
            <w:r>
              <w:rPr>
                <w:rFonts w:ascii="Helvetica Neue" w:hAnsi="Helvetica Neue"/>
                <w:b w:val="0"/>
                <w:color w:val="1A1A1A"/>
                <w:sz w:val="19"/>
              </w:rPr>
              <w:t>✗</w:t>
            </w:r>
          </w:p>
        </w:tc>
        <w:tc>
          <w:tcPr>
            <w:tcW w:type="dxa" w:w="1608"/>
            <w:vAlign w:val="center"/>
          </w:tcPr>
          <w:p>
            <w:pPr>
              <w:jc w:val="center"/>
            </w:pPr>
            <w:r>
              <w:rPr>
                <w:rFonts w:ascii="Helvetica Neue" w:hAnsi="Helvetica Neue"/>
                <w:b w:val="0"/>
                <w:color w:val="1A1A1A"/>
                <w:sz w:val="19"/>
              </w:rPr>
              <w:t>✗</w:t>
            </w:r>
          </w:p>
        </w:tc>
      </w:tr>
      <w:tr>
        <w:tc>
          <w:tcPr>
            <w:tcW w:type="dxa" w:w="1608"/>
            <w:shd w:val="clear" w:color="auto" w:fill="F3EFE7"/>
            <w:vAlign w:val="center"/>
          </w:tcPr>
          <w:p>
            <w:pPr>
              <w:jc w:val="left"/>
            </w:pPr>
            <w:r>
              <w:rPr>
                <w:rFonts w:ascii="Helvetica Neue" w:hAnsi="Helvetica Neue"/>
                <w:b w:val="0"/>
                <w:color w:val="1A1A1A"/>
                <w:sz w:val="19"/>
              </w:rPr>
              <w:t>Match Tab Live Scoreboard</w:t>
            </w:r>
          </w:p>
        </w:tc>
        <w:tc>
          <w:tcPr>
            <w:tcW w:type="dxa" w:w="1608"/>
            <w:shd w:val="clear" w:color="auto" w:fill="E8F5EE"/>
            <w:vAlign w:val="center"/>
          </w:tcPr>
          <w:p>
            <w:pPr>
              <w:jc w:val="center"/>
            </w:pPr>
            <w:r>
              <w:rPr>
                <w:rFonts w:ascii="Helvetica Neue" w:hAnsi="Helvetica Neue"/>
                <w:b/>
                <w:color w:val="1B5E3B"/>
                <w:sz w:val="19"/>
              </w:rPr>
              <w:t>✓</w:t>
            </w:r>
          </w:p>
        </w:tc>
        <w:tc>
          <w:tcPr>
            <w:tcW w:type="dxa" w:w="1608"/>
            <w:shd w:val="clear" w:color="auto" w:fill="F3EFE7"/>
            <w:vAlign w:val="center"/>
          </w:tcPr>
          <w:p>
            <w:pPr>
              <w:jc w:val="center"/>
            </w:pPr>
            <w:r>
              <w:rPr>
                <w:rFonts w:ascii="Helvetica Neue" w:hAnsi="Helvetica Neue"/>
                <w:b w:val="0"/>
                <w:color w:val="1A1A1A"/>
                <w:sz w:val="19"/>
              </w:rPr>
              <w:t>Partial</w:t>
            </w:r>
          </w:p>
        </w:tc>
        <w:tc>
          <w:tcPr>
            <w:tcW w:type="dxa" w:w="1608"/>
            <w:shd w:val="clear" w:color="auto" w:fill="F3EFE7"/>
            <w:vAlign w:val="center"/>
          </w:tcPr>
          <w:p>
            <w:pPr>
              <w:jc w:val="center"/>
            </w:pPr>
            <w:r>
              <w:rPr>
                <w:rFonts w:ascii="Helvetica Neue" w:hAnsi="Helvetica Neue"/>
                <w:b w:val="0"/>
                <w:color w:val="1A1A1A"/>
                <w:sz w:val="19"/>
              </w:rPr>
              <w:t>Partial</w:t>
            </w:r>
          </w:p>
        </w:tc>
        <w:tc>
          <w:tcPr>
            <w:tcW w:type="dxa" w:w="1608"/>
            <w:shd w:val="clear" w:color="auto" w:fill="F3EFE7"/>
            <w:vAlign w:val="center"/>
          </w:tcPr>
          <w:p>
            <w:pPr>
              <w:jc w:val="center"/>
            </w:pPr>
            <w:r>
              <w:rPr>
                <w:rFonts w:ascii="Helvetica Neue" w:hAnsi="Helvetica Neue"/>
                <w:b w:val="0"/>
                <w:color w:val="1A1A1A"/>
                <w:sz w:val="19"/>
              </w:rPr>
              <w:t>Partial</w:t>
            </w:r>
          </w:p>
        </w:tc>
        <w:tc>
          <w:tcPr>
            <w:tcW w:type="dxa" w:w="1608"/>
            <w:shd w:val="clear" w:color="auto" w:fill="F3EFE7"/>
            <w:vAlign w:val="center"/>
          </w:tcPr>
          <w:p>
            <w:pPr>
              <w:jc w:val="center"/>
            </w:pPr>
            <w:r>
              <w:rPr>
                <w:rFonts w:ascii="Helvetica Neue" w:hAnsi="Helvetica Neue"/>
                <w:b w:val="0"/>
                <w:color w:val="1A1A1A"/>
                <w:sz w:val="19"/>
              </w:rPr>
              <w:t>✗</w:t>
            </w:r>
          </w:p>
        </w:tc>
      </w:tr>
      <w:tr>
        <w:tc>
          <w:tcPr>
            <w:tcW w:type="dxa" w:w="1608"/>
            <w:vAlign w:val="center"/>
          </w:tcPr>
          <w:p>
            <w:pPr>
              <w:jc w:val="left"/>
            </w:pPr>
            <w:r>
              <w:rPr>
                <w:rFonts w:ascii="Helvetica Neue" w:hAnsi="Helvetica Neue"/>
                <w:b w:val="0"/>
                <w:color w:val="1A1A1A"/>
                <w:sz w:val="19"/>
              </w:rPr>
              <w:t>AI Player Photos on Live Scoreboard</w:t>
            </w:r>
          </w:p>
        </w:tc>
        <w:tc>
          <w:tcPr>
            <w:tcW w:type="dxa" w:w="1608"/>
            <w:shd w:val="clear" w:color="auto" w:fill="E8F5EE"/>
            <w:vAlign w:val="center"/>
          </w:tcPr>
          <w:p>
            <w:pPr>
              <w:jc w:val="center"/>
            </w:pPr>
            <w:r>
              <w:rPr>
                <w:rFonts w:ascii="Helvetica Neue" w:hAnsi="Helvetica Neue"/>
                <w:b/>
                <w:color w:val="1B5E3B"/>
                <w:sz w:val="19"/>
              </w:rPr>
              <w:t>✓</w:t>
            </w:r>
          </w:p>
        </w:tc>
        <w:tc>
          <w:tcPr>
            <w:tcW w:type="dxa" w:w="1608"/>
            <w:vAlign w:val="center"/>
          </w:tcPr>
          <w:p>
            <w:pPr>
              <w:jc w:val="center"/>
            </w:pPr>
            <w:r>
              <w:rPr>
                <w:rFonts w:ascii="Helvetica Neue" w:hAnsi="Helvetica Neue"/>
                <w:b w:val="0"/>
                <w:color w:val="1A1A1A"/>
                <w:sz w:val="19"/>
              </w:rPr>
              <w:t>✗</w:t>
            </w:r>
          </w:p>
        </w:tc>
        <w:tc>
          <w:tcPr>
            <w:tcW w:type="dxa" w:w="1608"/>
            <w:vAlign w:val="center"/>
          </w:tcPr>
          <w:p>
            <w:pPr>
              <w:jc w:val="center"/>
            </w:pPr>
            <w:r>
              <w:rPr>
                <w:rFonts w:ascii="Helvetica Neue" w:hAnsi="Helvetica Neue"/>
                <w:b w:val="0"/>
                <w:color w:val="1A1A1A"/>
                <w:sz w:val="19"/>
              </w:rPr>
              <w:t>✗</w:t>
            </w:r>
          </w:p>
        </w:tc>
        <w:tc>
          <w:tcPr>
            <w:tcW w:type="dxa" w:w="1608"/>
            <w:vAlign w:val="center"/>
          </w:tcPr>
          <w:p>
            <w:pPr>
              <w:jc w:val="center"/>
            </w:pPr>
            <w:r>
              <w:rPr>
                <w:rFonts w:ascii="Helvetica Neue" w:hAnsi="Helvetica Neue"/>
                <w:b w:val="0"/>
                <w:color w:val="1A1A1A"/>
                <w:sz w:val="19"/>
              </w:rPr>
              <w:t>✗</w:t>
            </w:r>
          </w:p>
        </w:tc>
        <w:tc>
          <w:tcPr>
            <w:tcW w:type="dxa" w:w="1608"/>
            <w:vAlign w:val="center"/>
          </w:tcPr>
          <w:p>
            <w:pPr>
              <w:jc w:val="center"/>
            </w:pPr>
            <w:r>
              <w:rPr>
                <w:rFonts w:ascii="Helvetica Neue" w:hAnsi="Helvetica Neue"/>
                <w:b w:val="0"/>
                <w:color w:val="1A1A1A"/>
                <w:sz w:val="19"/>
              </w:rPr>
              <w:t>✗</w:t>
            </w:r>
          </w:p>
        </w:tc>
      </w:tr>
      <w:tr>
        <w:tc>
          <w:tcPr>
            <w:tcW w:type="dxa" w:w="1608"/>
            <w:shd w:val="clear" w:color="auto" w:fill="F3EFE7"/>
            <w:vAlign w:val="center"/>
          </w:tcPr>
          <w:p>
            <w:pPr>
              <w:jc w:val="left"/>
            </w:pPr>
            <w:r>
              <w:rPr>
                <w:rFonts w:ascii="Helvetica Neue" w:hAnsi="Helvetica Neue"/>
                <w:b w:val="0"/>
                <w:color w:val="1A1A1A"/>
                <w:sz w:val="19"/>
              </w:rPr>
              <w:t>AI Pro Profile Photo Generator</w:t>
            </w:r>
          </w:p>
        </w:tc>
        <w:tc>
          <w:tcPr>
            <w:tcW w:type="dxa" w:w="1608"/>
            <w:shd w:val="clear" w:color="auto" w:fill="E8F5EE"/>
            <w:vAlign w:val="center"/>
          </w:tcPr>
          <w:p>
            <w:pPr>
              <w:jc w:val="center"/>
            </w:pPr>
            <w:r>
              <w:rPr>
                <w:rFonts w:ascii="Helvetica Neue" w:hAnsi="Helvetica Neue"/>
                <w:b/>
                <w:color w:val="1B5E3B"/>
                <w:sz w:val="19"/>
              </w:rPr>
              <w:t>✓</w:t>
            </w:r>
          </w:p>
        </w:tc>
        <w:tc>
          <w:tcPr>
            <w:tcW w:type="dxa" w:w="1608"/>
            <w:shd w:val="clear" w:color="auto" w:fill="F3EFE7"/>
            <w:vAlign w:val="center"/>
          </w:tcPr>
          <w:p>
            <w:pPr>
              <w:jc w:val="center"/>
            </w:pPr>
            <w:r>
              <w:rPr>
                <w:rFonts w:ascii="Helvetica Neue" w:hAnsi="Helvetica Neue"/>
                <w:b w:val="0"/>
                <w:color w:val="1A1A1A"/>
                <w:sz w:val="19"/>
              </w:rPr>
              <w:t>✗</w:t>
            </w:r>
          </w:p>
        </w:tc>
        <w:tc>
          <w:tcPr>
            <w:tcW w:type="dxa" w:w="1608"/>
            <w:shd w:val="clear" w:color="auto" w:fill="F3EFE7"/>
            <w:vAlign w:val="center"/>
          </w:tcPr>
          <w:p>
            <w:pPr>
              <w:jc w:val="center"/>
            </w:pPr>
            <w:r>
              <w:rPr>
                <w:rFonts w:ascii="Helvetica Neue" w:hAnsi="Helvetica Neue"/>
                <w:b w:val="0"/>
                <w:color w:val="1A1A1A"/>
                <w:sz w:val="19"/>
              </w:rPr>
              <w:t>✗</w:t>
            </w:r>
          </w:p>
        </w:tc>
        <w:tc>
          <w:tcPr>
            <w:tcW w:type="dxa" w:w="1608"/>
            <w:shd w:val="clear" w:color="auto" w:fill="F3EFE7"/>
            <w:vAlign w:val="center"/>
          </w:tcPr>
          <w:p>
            <w:pPr>
              <w:jc w:val="center"/>
            </w:pPr>
            <w:r>
              <w:rPr>
                <w:rFonts w:ascii="Helvetica Neue" w:hAnsi="Helvetica Neue"/>
                <w:b w:val="0"/>
                <w:color w:val="1A1A1A"/>
                <w:sz w:val="19"/>
              </w:rPr>
              <w:t>✗</w:t>
            </w:r>
          </w:p>
        </w:tc>
        <w:tc>
          <w:tcPr>
            <w:tcW w:type="dxa" w:w="1608"/>
            <w:shd w:val="clear" w:color="auto" w:fill="F3EFE7"/>
            <w:vAlign w:val="center"/>
          </w:tcPr>
          <w:p>
            <w:pPr>
              <w:jc w:val="center"/>
            </w:pPr>
            <w:r>
              <w:rPr>
                <w:rFonts w:ascii="Helvetica Neue" w:hAnsi="Helvetica Neue"/>
                <w:b w:val="0"/>
                <w:color w:val="1A1A1A"/>
                <w:sz w:val="19"/>
              </w:rPr>
              <w:t>✗</w:t>
            </w:r>
          </w:p>
        </w:tc>
      </w:tr>
      <w:tr>
        <w:tc>
          <w:tcPr>
            <w:tcW w:type="dxa" w:w="1608"/>
            <w:vAlign w:val="center"/>
          </w:tcPr>
          <w:p>
            <w:pPr>
              <w:jc w:val="left"/>
            </w:pPr>
            <w:r>
              <w:rPr>
                <w:rFonts w:ascii="Helvetica Neue" w:hAnsi="Helvetica Neue"/>
                <w:b w:val="0"/>
                <w:color w:val="1A1A1A"/>
                <w:sz w:val="19"/>
              </w:rPr>
              <w:t>Tee Time Booking (GolfNow)</w:t>
            </w:r>
          </w:p>
        </w:tc>
        <w:tc>
          <w:tcPr>
            <w:tcW w:type="dxa" w:w="1608"/>
            <w:shd w:val="clear" w:color="auto" w:fill="E8F5EE"/>
            <w:vAlign w:val="center"/>
          </w:tcPr>
          <w:p>
            <w:pPr>
              <w:jc w:val="center"/>
            </w:pPr>
            <w:r>
              <w:rPr>
                <w:rFonts w:ascii="Helvetica Neue" w:hAnsi="Helvetica Neue"/>
                <w:b/>
                <w:color w:val="1B5E3B"/>
                <w:sz w:val="19"/>
              </w:rPr>
              <w:t>✓</w:t>
            </w:r>
          </w:p>
        </w:tc>
        <w:tc>
          <w:tcPr>
            <w:tcW w:type="dxa" w:w="1608"/>
            <w:vAlign w:val="center"/>
          </w:tcPr>
          <w:p>
            <w:pPr>
              <w:jc w:val="center"/>
            </w:pPr>
            <w:r>
              <w:rPr>
                <w:rFonts w:ascii="Helvetica Neue" w:hAnsi="Helvetica Neue"/>
                <w:b w:val="0"/>
                <w:color w:val="1A1A1A"/>
                <w:sz w:val="19"/>
              </w:rPr>
              <w:t>✗</w:t>
            </w:r>
          </w:p>
        </w:tc>
        <w:tc>
          <w:tcPr>
            <w:tcW w:type="dxa" w:w="1608"/>
            <w:vAlign w:val="center"/>
          </w:tcPr>
          <w:p>
            <w:pPr>
              <w:jc w:val="center"/>
            </w:pPr>
            <w:r>
              <w:rPr>
                <w:rFonts w:ascii="Helvetica Neue" w:hAnsi="Helvetica Neue"/>
                <w:b w:val="0"/>
                <w:color w:val="1A1A1A"/>
                <w:sz w:val="19"/>
              </w:rPr>
              <w:t>✗</w:t>
            </w:r>
          </w:p>
        </w:tc>
        <w:tc>
          <w:tcPr>
            <w:tcW w:type="dxa" w:w="1608"/>
            <w:vAlign w:val="center"/>
          </w:tcPr>
          <w:p>
            <w:pPr>
              <w:jc w:val="center"/>
            </w:pPr>
            <w:r>
              <w:rPr>
                <w:rFonts w:ascii="Helvetica Neue" w:hAnsi="Helvetica Neue"/>
                <w:b w:val="0"/>
                <w:color w:val="1A1A1A"/>
                <w:sz w:val="19"/>
              </w:rPr>
              <w:t>✗</w:t>
            </w:r>
          </w:p>
        </w:tc>
        <w:tc>
          <w:tcPr>
            <w:tcW w:type="dxa" w:w="1608"/>
            <w:vAlign w:val="center"/>
          </w:tcPr>
          <w:p>
            <w:pPr>
              <w:jc w:val="center"/>
            </w:pPr>
            <w:r>
              <w:rPr>
                <w:rFonts w:ascii="Helvetica Neue" w:hAnsi="Helvetica Neue"/>
                <w:b w:val="0"/>
                <w:color w:val="1A1A1A"/>
                <w:sz w:val="19"/>
              </w:rPr>
              <w:t>✓</w:t>
            </w:r>
          </w:p>
        </w:tc>
      </w:tr>
    </w:tbl>
    <w:p>
      <w:r>
        <w:br w:type="page"/>
      </w:r>
    </w:p>
    <w:p>
      <w:pPr>
        <w:spacing w:before="320" w:after="80"/>
        <w:jc w:val="left"/>
      </w:pPr>
      <w:r>
        <w:rPr>
          <w:rFonts w:ascii="Georgia" w:hAnsi="Georgia"/>
          <w:b/>
          <w:color w:val="0D1F12"/>
          <w:sz w:val="36"/>
        </w:rPr>
        <w:t>Business Model</w:t>
      </w:r>
    </w:p>
    <w:p>
      <w:pPr>
        <w:spacing w:before="0" w:after="120"/>
        <w:pBdr>
          <w:bottom w:val="single" w:sz="6" w:color="C9A040"/>
        </w:pBdr>
      </w:pPr>
    </w:p>
    <w:p/>
    <w:p>
      <w:pPr>
        <w:spacing w:after="100" w:line="320" w:lineRule="exact"/>
      </w:pPr>
      <w:r>
        <w:rPr>
          <w:rFonts w:ascii="Helvetica Neue" w:hAnsi="Helvetica Neue"/>
          <w:b/>
          <w:color w:val="1A1A1A"/>
          <w:sz w:val="20"/>
        </w:rPr>
        <w:t xml:space="preserve">Freemium Subscription: </w:t>
      </w:r>
      <w:r>
        <w:rPr>
          <w:rFonts w:ascii="Helvetica Neue" w:hAnsi="Helvetica Neue"/>
          <w:color w:val="1A1A1A"/>
          <w:sz w:val="20"/>
        </w:rPr>
        <w:t>Core features free. The Match Pro unlocks advanced Eagle Eye overlays, full AI Shot Advisor history, complete H2H analytics, and expanded Match Tab capabilities. Target: $7.99/month or $59.99/year.</w:t>
      </w:r>
    </w:p>
    <w:p>
      <w:pPr>
        <w:spacing w:after="100" w:line="320" w:lineRule="exact"/>
      </w:pPr>
      <w:r>
        <w:rPr>
          <w:rFonts w:ascii="Helvetica Neue" w:hAnsi="Helvetica Neue"/>
          <w:b/>
          <w:color w:val="1A1A1A"/>
          <w:sz w:val="20"/>
        </w:rPr>
        <w:t xml:space="preserve">GolfNow Referral Revenue: </w:t>
      </w:r>
      <w:r>
        <w:rPr>
          <w:rFonts w:ascii="Helvetica Neue" w:hAnsi="Helvetica Neue"/>
          <w:color w:val="1A1A1A"/>
          <w:sz w:val="20"/>
        </w:rPr>
        <w:t>Each tee time booking completed through The Match generates a referral fee from GolfNow's affiliate program. High-frequency, zero-friction revenue already flowing from live integrations.</w:t>
      </w:r>
    </w:p>
    <w:p>
      <w:pPr>
        <w:spacing w:after="100" w:line="320" w:lineRule="exact"/>
      </w:pPr>
      <w:r>
        <w:rPr>
          <w:rFonts w:ascii="Helvetica Neue" w:hAnsi="Helvetica Neue"/>
          <w:b/>
          <w:color w:val="1A1A1A"/>
          <w:sz w:val="20"/>
        </w:rPr>
        <w:t xml:space="preserve">In-App Advertising: </w:t>
      </w:r>
      <w:r>
        <w:rPr>
          <w:rFonts w:ascii="Helvetica Neue" w:hAnsi="Helvetica Neue"/>
          <w:color w:val="1A1A1A"/>
          <w:sz w:val="20"/>
        </w:rPr>
        <w:t>Non-intrusive placements targeting golf equipment, apparel, and lifestyle brands — served contextually during PGA Tour leaderboard views, post-round recaps, and Match Tab score summaries.</w:t>
      </w:r>
    </w:p>
    <w:p>
      <w:pPr>
        <w:spacing w:after="100" w:line="320" w:lineRule="exact"/>
      </w:pPr>
      <w:r>
        <w:rPr>
          <w:rFonts w:ascii="Helvetica Neue" w:hAnsi="Helvetica Neue"/>
          <w:b/>
          <w:color w:val="1A1A1A"/>
          <w:sz w:val="20"/>
        </w:rPr>
        <w:t xml:space="preserve">Premium Match Tab &amp; Outing Packages: </w:t>
      </w:r>
      <w:r>
        <w:rPr>
          <w:rFonts w:ascii="Helvetica Neue" w:hAnsi="Helvetica Neue"/>
          <w:color w:val="1A1A1A"/>
          <w:sz w:val="20"/>
        </w:rPr>
        <w:t>Golf clubs, courses, and corporate event organizers pay for white-label Match Tab packages — branded Augusta-style live scoreboards with AI player photos for tournaments, member days, and charity events.</w:t>
      </w:r>
    </w:p>
    <w:p>
      <w:pPr>
        <w:spacing w:after="100" w:line="320" w:lineRule="exact"/>
      </w:pPr>
      <w:r>
        <w:rPr>
          <w:rFonts w:ascii="Helvetica Neue" w:hAnsi="Helvetica Neue"/>
          <w:b/>
          <w:color w:val="1A1A1A"/>
          <w:sz w:val="20"/>
        </w:rPr>
        <w:t xml:space="preserve">AI Photo Credits: </w:t>
      </w:r>
      <w:r>
        <w:rPr>
          <w:rFonts w:ascii="Helvetica Neue" w:hAnsi="Helvetica Neue"/>
          <w:color w:val="1A1A1A"/>
          <w:sz w:val="20"/>
        </w:rPr>
        <w:t>Freemium allocation of AI profile photo generations; additional credits purchasable. Low cost to serve, high perceived value — live today with 17-country flag selection.</w:t>
      </w:r>
    </w:p>
    <w:p>
      <w:pPr>
        <w:spacing w:before="240" w:after="80"/>
      </w:pPr>
      <w:r>
        <w:rPr>
          <w:rFonts w:ascii="Helvetica Neue" w:hAnsi="Helvetica Neue"/>
          <w:b/>
          <w:color w:val="1B5E3B"/>
          <w:sz w:val="24"/>
        </w:rPr>
        <w:t>Unit Economics Snapshot</w:t>
      </w:r>
    </w:p>
    <w:tbl>
      <w:tblPr>
        <w:tblStyle w:val="TableGrid"/>
        <w:tblW w:type="auto" w:w="0"/>
        <w:tblLook w:firstColumn="1" w:firstRow="1" w:lastColumn="0" w:lastRow="0" w:noHBand="0" w:noVBand="1" w:val="04A0"/>
      </w:tblPr>
      <w:tblGrid>
        <w:gridCol w:w="2412"/>
        <w:gridCol w:w="2412"/>
        <w:gridCol w:w="2412"/>
        <w:gridCol w:w="2412"/>
      </w:tblGrid>
      <w:tr>
        <w:tc>
          <w:tcPr>
            <w:tcW w:type="dxa" w:w="2412"/>
            <w:shd w:val="clear" w:color="auto" w:fill="0D1F12"/>
            <w:vAlign w:val="center"/>
          </w:tcPr>
          <w:p>
            <w:pPr>
              <w:jc w:val="left"/>
            </w:pPr>
            <w:r>
              <w:rPr>
                <w:rFonts w:ascii="Helvetica Neue" w:hAnsi="Helvetica Neue"/>
                <w:b/>
                <w:color w:val="FFFFFF"/>
                <w:sz w:val="19"/>
              </w:rPr>
              <w:t>Metric</w:t>
            </w:r>
          </w:p>
        </w:tc>
        <w:tc>
          <w:tcPr>
            <w:tcW w:type="dxa" w:w="2412"/>
            <w:shd w:val="clear" w:color="auto" w:fill="0D1F12"/>
            <w:vAlign w:val="center"/>
          </w:tcPr>
          <w:p>
            <w:pPr>
              <w:jc w:val="left"/>
            </w:pPr>
            <w:r>
              <w:rPr>
                <w:rFonts w:ascii="Helvetica Neue" w:hAnsi="Helvetica Neue"/>
                <w:b/>
                <w:color w:val="FFFFFF"/>
                <w:sz w:val="19"/>
              </w:rPr>
              <w:t>Year 1</w:t>
            </w:r>
          </w:p>
        </w:tc>
        <w:tc>
          <w:tcPr>
            <w:tcW w:type="dxa" w:w="2412"/>
            <w:shd w:val="clear" w:color="auto" w:fill="0D1F12"/>
            <w:vAlign w:val="center"/>
          </w:tcPr>
          <w:p>
            <w:pPr>
              <w:jc w:val="left"/>
            </w:pPr>
            <w:r>
              <w:rPr>
                <w:rFonts w:ascii="Helvetica Neue" w:hAnsi="Helvetica Neue"/>
                <w:b/>
                <w:color w:val="FFFFFF"/>
                <w:sz w:val="19"/>
              </w:rPr>
              <w:t>Year 2</w:t>
            </w:r>
          </w:p>
        </w:tc>
        <w:tc>
          <w:tcPr>
            <w:tcW w:type="dxa" w:w="2412"/>
            <w:shd w:val="clear" w:color="auto" w:fill="0D1F12"/>
            <w:vAlign w:val="center"/>
          </w:tcPr>
          <w:p>
            <w:pPr>
              <w:jc w:val="left"/>
            </w:pPr>
            <w:r>
              <w:rPr>
                <w:rFonts w:ascii="Helvetica Neue" w:hAnsi="Helvetica Neue"/>
                <w:b/>
                <w:color w:val="FFFFFF"/>
                <w:sz w:val="19"/>
              </w:rPr>
              <w:t>Year 3</w:t>
            </w:r>
          </w:p>
        </w:tc>
      </w:tr>
      <w:tr>
        <w:tc>
          <w:tcPr>
            <w:tcW w:type="dxa" w:w="2412"/>
            <w:vAlign w:val="center"/>
          </w:tcPr>
          <w:p>
            <w:pPr>
              <w:jc w:val="left"/>
            </w:pPr>
            <w:r>
              <w:rPr>
                <w:rFonts w:ascii="Helvetica Neue" w:hAnsi="Helvetica Neue"/>
                <w:b w:val="0"/>
                <w:color w:val="1A1A1A"/>
                <w:sz w:val="19"/>
              </w:rPr>
              <w:t>Target Registered Users</w:t>
            </w:r>
          </w:p>
        </w:tc>
        <w:tc>
          <w:tcPr>
            <w:tcW w:type="dxa" w:w="2412"/>
            <w:vAlign w:val="center"/>
          </w:tcPr>
          <w:p>
            <w:pPr>
              <w:jc w:val="center"/>
            </w:pPr>
            <w:r>
              <w:rPr>
                <w:rFonts w:ascii="Helvetica Neue" w:hAnsi="Helvetica Neue"/>
                <w:b w:val="0"/>
                <w:color w:val="C9A040"/>
                <w:sz w:val="19"/>
              </w:rPr>
              <w:t>50,000</w:t>
            </w:r>
          </w:p>
        </w:tc>
        <w:tc>
          <w:tcPr>
            <w:tcW w:type="dxa" w:w="2412"/>
            <w:vAlign w:val="center"/>
          </w:tcPr>
          <w:p>
            <w:pPr>
              <w:jc w:val="center"/>
            </w:pPr>
            <w:r>
              <w:rPr>
                <w:rFonts w:ascii="Helvetica Neue" w:hAnsi="Helvetica Neue"/>
                <w:b w:val="0"/>
                <w:color w:val="C9A040"/>
                <w:sz w:val="19"/>
              </w:rPr>
              <w:t>250,000</w:t>
            </w:r>
          </w:p>
        </w:tc>
        <w:tc>
          <w:tcPr>
            <w:tcW w:type="dxa" w:w="2412"/>
            <w:vAlign w:val="center"/>
          </w:tcPr>
          <w:p>
            <w:pPr>
              <w:jc w:val="center"/>
            </w:pPr>
            <w:r>
              <w:rPr>
                <w:rFonts w:ascii="Helvetica Neue" w:hAnsi="Helvetica Neue"/>
                <w:b w:val="0"/>
                <w:color w:val="C9A040"/>
                <w:sz w:val="19"/>
              </w:rPr>
              <w:t>1,000,000</w:t>
            </w:r>
          </w:p>
        </w:tc>
      </w:tr>
      <w:tr>
        <w:tc>
          <w:tcPr>
            <w:tcW w:type="dxa" w:w="2412"/>
            <w:shd w:val="clear" w:color="auto" w:fill="F3EFE7"/>
            <w:vAlign w:val="center"/>
          </w:tcPr>
          <w:p>
            <w:pPr>
              <w:jc w:val="left"/>
            </w:pPr>
            <w:r>
              <w:rPr>
                <w:rFonts w:ascii="Helvetica Neue" w:hAnsi="Helvetica Neue"/>
                <w:b w:val="0"/>
                <w:color w:val="1A1A1A"/>
                <w:sz w:val="19"/>
              </w:rPr>
              <w:t>Pro Conversion Rate</w:t>
            </w:r>
          </w:p>
        </w:tc>
        <w:tc>
          <w:tcPr>
            <w:tcW w:type="dxa" w:w="2412"/>
            <w:shd w:val="clear" w:color="auto" w:fill="F3EFE7"/>
            <w:vAlign w:val="center"/>
          </w:tcPr>
          <w:p>
            <w:pPr>
              <w:jc w:val="center"/>
            </w:pPr>
            <w:r>
              <w:rPr>
                <w:rFonts w:ascii="Helvetica Neue" w:hAnsi="Helvetica Neue"/>
                <w:b w:val="0"/>
                <w:color w:val="C9A040"/>
                <w:sz w:val="19"/>
              </w:rPr>
              <w:t>8%</w:t>
            </w:r>
          </w:p>
        </w:tc>
        <w:tc>
          <w:tcPr>
            <w:tcW w:type="dxa" w:w="2412"/>
            <w:shd w:val="clear" w:color="auto" w:fill="F3EFE7"/>
            <w:vAlign w:val="center"/>
          </w:tcPr>
          <w:p>
            <w:pPr>
              <w:jc w:val="center"/>
            </w:pPr>
            <w:r>
              <w:rPr>
                <w:rFonts w:ascii="Helvetica Neue" w:hAnsi="Helvetica Neue"/>
                <w:b w:val="0"/>
                <w:color w:val="C9A040"/>
                <w:sz w:val="19"/>
              </w:rPr>
              <w:t>12%</w:t>
            </w:r>
          </w:p>
        </w:tc>
        <w:tc>
          <w:tcPr>
            <w:tcW w:type="dxa" w:w="2412"/>
            <w:shd w:val="clear" w:color="auto" w:fill="F3EFE7"/>
            <w:vAlign w:val="center"/>
          </w:tcPr>
          <w:p>
            <w:pPr>
              <w:jc w:val="center"/>
            </w:pPr>
            <w:r>
              <w:rPr>
                <w:rFonts w:ascii="Helvetica Neue" w:hAnsi="Helvetica Neue"/>
                <w:b w:val="0"/>
                <w:color w:val="C9A040"/>
                <w:sz w:val="19"/>
              </w:rPr>
              <w:t>15%</w:t>
            </w:r>
          </w:p>
        </w:tc>
      </w:tr>
      <w:tr>
        <w:tc>
          <w:tcPr>
            <w:tcW w:type="dxa" w:w="2412"/>
            <w:vAlign w:val="center"/>
          </w:tcPr>
          <w:p>
            <w:pPr>
              <w:jc w:val="left"/>
            </w:pPr>
            <w:r>
              <w:rPr>
                <w:rFonts w:ascii="Helvetica Neue" w:hAnsi="Helvetica Neue"/>
                <w:b w:val="0"/>
                <w:color w:val="1A1A1A"/>
                <w:sz w:val="19"/>
              </w:rPr>
              <w:t>Annual Subscription Revenue</w:t>
            </w:r>
          </w:p>
        </w:tc>
        <w:tc>
          <w:tcPr>
            <w:tcW w:type="dxa" w:w="2412"/>
            <w:vAlign w:val="center"/>
          </w:tcPr>
          <w:p>
            <w:pPr>
              <w:jc w:val="center"/>
            </w:pPr>
            <w:r>
              <w:rPr>
                <w:rFonts w:ascii="Helvetica Neue" w:hAnsi="Helvetica Neue"/>
                <w:b w:val="0"/>
                <w:color w:val="C9A040"/>
                <w:sz w:val="19"/>
              </w:rPr>
              <w:t>$240K</w:t>
            </w:r>
          </w:p>
        </w:tc>
        <w:tc>
          <w:tcPr>
            <w:tcW w:type="dxa" w:w="2412"/>
            <w:vAlign w:val="center"/>
          </w:tcPr>
          <w:p>
            <w:pPr>
              <w:jc w:val="center"/>
            </w:pPr>
            <w:r>
              <w:rPr>
                <w:rFonts w:ascii="Helvetica Neue" w:hAnsi="Helvetica Neue"/>
                <w:b w:val="0"/>
                <w:color w:val="C9A040"/>
                <w:sz w:val="19"/>
              </w:rPr>
              <w:t>$1.8M</w:t>
            </w:r>
          </w:p>
        </w:tc>
        <w:tc>
          <w:tcPr>
            <w:tcW w:type="dxa" w:w="2412"/>
            <w:vAlign w:val="center"/>
          </w:tcPr>
          <w:p>
            <w:pPr>
              <w:jc w:val="center"/>
            </w:pPr>
            <w:r>
              <w:rPr>
                <w:rFonts w:ascii="Helvetica Neue" w:hAnsi="Helvetica Neue"/>
                <w:b w:val="0"/>
                <w:color w:val="C9A040"/>
                <w:sz w:val="19"/>
              </w:rPr>
              <w:t>$9M</w:t>
            </w:r>
          </w:p>
        </w:tc>
      </w:tr>
      <w:tr>
        <w:tc>
          <w:tcPr>
            <w:tcW w:type="dxa" w:w="2412"/>
            <w:shd w:val="clear" w:color="auto" w:fill="F3EFE7"/>
            <w:vAlign w:val="center"/>
          </w:tcPr>
          <w:p>
            <w:pPr>
              <w:jc w:val="left"/>
            </w:pPr>
            <w:r>
              <w:rPr>
                <w:rFonts w:ascii="Helvetica Neue" w:hAnsi="Helvetica Neue"/>
                <w:b w:val="0"/>
                <w:color w:val="1A1A1A"/>
                <w:sz w:val="19"/>
              </w:rPr>
              <w:t>Tee Time Referral Revenue</w:t>
            </w:r>
          </w:p>
        </w:tc>
        <w:tc>
          <w:tcPr>
            <w:tcW w:type="dxa" w:w="2412"/>
            <w:shd w:val="clear" w:color="auto" w:fill="F3EFE7"/>
            <w:vAlign w:val="center"/>
          </w:tcPr>
          <w:p>
            <w:pPr>
              <w:jc w:val="center"/>
            </w:pPr>
            <w:r>
              <w:rPr>
                <w:rFonts w:ascii="Helvetica Neue" w:hAnsi="Helvetica Neue"/>
                <w:b w:val="0"/>
                <w:color w:val="C9A040"/>
                <w:sz w:val="19"/>
              </w:rPr>
              <w:t>$80K</w:t>
            </w:r>
          </w:p>
        </w:tc>
        <w:tc>
          <w:tcPr>
            <w:tcW w:type="dxa" w:w="2412"/>
            <w:shd w:val="clear" w:color="auto" w:fill="F3EFE7"/>
            <w:vAlign w:val="center"/>
          </w:tcPr>
          <w:p>
            <w:pPr>
              <w:jc w:val="center"/>
            </w:pPr>
            <w:r>
              <w:rPr>
                <w:rFonts w:ascii="Helvetica Neue" w:hAnsi="Helvetica Neue"/>
                <w:b w:val="0"/>
                <w:color w:val="C9A040"/>
                <w:sz w:val="19"/>
              </w:rPr>
              <w:t>$600K</w:t>
            </w:r>
          </w:p>
        </w:tc>
        <w:tc>
          <w:tcPr>
            <w:tcW w:type="dxa" w:w="2412"/>
            <w:shd w:val="clear" w:color="auto" w:fill="F3EFE7"/>
            <w:vAlign w:val="center"/>
          </w:tcPr>
          <w:p>
            <w:pPr>
              <w:jc w:val="center"/>
            </w:pPr>
            <w:r>
              <w:rPr>
                <w:rFonts w:ascii="Helvetica Neue" w:hAnsi="Helvetica Neue"/>
                <w:b w:val="0"/>
                <w:color w:val="C9A040"/>
                <w:sz w:val="19"/>
              </w:rPr>
              <w:t>$3M</w:t>
            </w:r>
          </w:p>
        </w:tc>
      </w:tr>
      <w:tr>
        <w:tc>
          <w:tcPr>
            <w:tcW w:type="dxa" w:w="2412"/>
            <w:vAlign w:val="center"/>
          </w:tcPr>
          <w:p>
            <w:pPr>
              <w:jc w:val="left"/>
            </w:pPr>
            <w:r>
              <w:rPr>
                <w:rFonts w:ascii="Helvetica Neue" w:hAnsi="Helvetica Neue"/>
                <w:b w:val="0"/>
                <w:color w:val="1A1A1A"/>
                <w:sz w:val="19"/>
              </w:rPr>
              <w:t>Blended ARPU</w:t>
            </w:r>
          </w:p>
        </w:tc>
        <w:tc>
          <w:tcPr>
            <w:tcW w:type="dxa" w:w="2412"/>
            <w:vAlign w:val="center"/>
          </w:tcPr>
          <w:p>
            <w:pPr>
              <w:jc w:val="center"/>
            </w:pPr>
            <w:r>
              <w:rPr>
                <w:rFonts w:ascii="Helvetica Neue" w:hAnsi="Helvetica Neue"/>
                <w:b w:val="0"/>
                <w:color w:val="C9A040"/>
                <w:sz w:val="19"/>
              </w:rPr>
              <w:t>$6.40</w:t>
            </w:r>
          </w:p>
        </w:tc>
        <w:tc>
          <w:tcPr>
            <w:tcW w:type="dxa" w:w="2412"/>
            <w:vAlign w:val="center"/>
          </w:tcPr>
          <w:p>
            <w:pPr>
              <w:jc w:val="center"/>
            </w:pPr>
            <w:r>
              <w:rPr>
                <w:rFonts w:ascii="Helvetica Neue" w:hAnsi="Helvetica Neue"/>
                <w:b w:val="0"/>
                <w:color w:val="C9A040"/>
                <w:sz w:val="19"/>
              </w:rPr>
              <w:t>$9.60</w:t>
            </w:r>
          </w:p>
        </w:tc>
        <w:tc>
          <w:tcPr>
            <w:tcW w:type="dxa" w:w="2412"/>
            <w:vAlign w:val="center"/>
          </w:tcPr>
          <w:p>
            <w:pPr>
              <w:jc w:val="center"/>
            </w:pPr>
            <w:r>
              <w:rPr>
                <w:rFonts w:ascii="Helvetica Neue" w:hAnsi="Helvetica Neue"/>
                <w:b w:val="0"/>
                <w:color w:val="C9A040"/>
                <w:sz w:val="19"/>
              </w:rPr>
              <w:t>$12.00</w:t>
            </w:r>
          </w:p>
        </w:tc>
      </w:tr>
      <w:tr>
        <w:tc>
          <w:tcPr>
            <w:tcW w:type="dxa" w:w="2412"/>
            <w:shd w:val="clear" w:color="auto" w:fill="E8F5EE"/>
            <w:vAlign w:val="center"/>
          </w:tcPr>
          <w:p>
            <w:pPr>
              <w:jc w:val="left"/>
            </w:pPr>
            <w:r>
              <w:rPr>
                <w:rFonts w:ascii="Helvetica Neue" w:hAnsi="Helvetica Neue"/>
                <w:b/>
                <w:color w:val="1A1A1A"/>
                <w:sz w:val="19"/>
              </w:rPr>
              <w:t>Est. Total Revenue</w:t>
            </w:r>
          </w:p>
        </w:tc>
        <w:tc>
          <w:tcPr>
            <w:tcW w:type="dxa" w:w="2412"/>
            <w:shd w:val="clear" w:color="auto" w:fill="E8F5EE"/>
            <w:vAlign w:val="center"/>
          </w:tcPr>
          <w:p>
            <w:pPr>
              <w:jc w:val="center"/>
            </w:pPr>
            <w:r>
              <w:rPr>
                <w:rFonts w:ascii="Helvetica Neue" w:hAnsi="Helvetica Neue"/>
                <w:b/>
                <w:color w:val="C9A040"/>
                <w:sz w:val="19"/>
              </w:rPr>
              <w:t>$360K</w:t>
            </w:r>
          </w:p>
        </w:tc>
        <w:tc>
          <w:tcPr>
            <w:tcW w:type="dxa" w:w="2412"/>
            <w:shd w:val="clear" w:color="auto" w:fill="E8F5EE"/>
            <w:vAlign w:val="center"/>
          </w:tcPr>
          <w:p>
            <w:pPr>
              <w:jc w:val="center"/>
            </w:pPr>
            <w:r>
              <w:rPr>
                <w:rFonts w:ascii="Helvetica Neue" w:hAnsi="Helvetica Neue"/>
                <w:b/>
                <w:color w:val="C9A040"/>
                <w:sz w:val="19"/>
              </w:rPr>
              <w:t>$2.5M</w:t>
            </w:r>
          </w:p>
        </w:tc>
        <w:tc>
          <w:tcPr>
            <w:tcW w:type="dxa" w:w="2412"/>
            <w:shd w:val="clear" w:color="auto" w:fill="E8F5EE"/>
            <w:vAlign w:val="center"/>
          </w:tcPr>
          <w:p>
            <w:pPr>
              <w:jc w:val="center"/>
            </w:pPr>
            <w:r>
              <w:rPr>
                <w:rFonts w:ascii="Helvetica Neue" w:hAnsi="Helvetica Neue"/>
                <w:b/>
                <w:color w:val="C9A040"/>
                <w:sz w:val="19"/>
              </w:rPr>
              <w:t>$13M+</w:t>
            </w:r>
          </w:p>
        </w:tc>
      </w:tr>
    </w:tbl>
    <w:p>
      <w:pPr>
        <w:spacing w:before="80"/>
      </w:pPr>
      <w:r>
        <w:rPr>
          <w:rFonts w:ascii="Helvetica Neue" w:hAnsi="Helvetica Neue"/>
          <w:i/>
          <w:color w:val="666666"/>
          <w:sz w:val="16"/>
        </w:rPr>
        <w:t>* Projections based on comparable golf app growth curves and a 2% SAM penetration trajectory. Not a guarantee of future performance.</w:t>
      </w:r>
    </w:p>
    <w:p>
      <w:r>
        <w:br w:type="page"/>
      </w:r>
    </w:p>
    <w:p>
      <w:pPr>
        <w:spacing w:before="320" w:after="80"/>
        <w:jc w:val="left"/>
      </w:pPr>
      <w:r>
        <w:rPr>
          <w:rFonts w:ascii="Georgia" w:hAnsi="Georgia"/>
          <w:b/>
          <w:color w:val="0D1F12"/>
          <w:sz w:val="36"/>
        </w:rPr>
        <w:t>Growth &amp; Acquisition Strategy</w:t>
      </w:r>
    </w:p>
    <w:p>
      <w:pPr>
        <w:spacing w:before="0" w:after="120"/>
        <w:pBdr>
          <w:bottom w:val="single" w:sz="6" w:color="C9A040"/>
        </w:pBdr>
      </w:pPr>
    </w:p>
    <w:p>
      <w:pPr>
        <w:pStyle w:val="ListBullet"/>
        <w:spacing w:after="60" w:line="300" w:lineRule="exact"/>
        <w:ind w:left="288"/>
      </w:pPr>
      <w:r>
        <w:rPr>
          <w:rFonts w:ascii="Helvetica Neue" w:hAnsi="Helvetica Neue"/>
          <w:b w:val="0"/>
          <w:color w:val="1A1A1A"/>
          <w:sz w:val="20"/>
        </w:rPr>
        <w:t>Network-effect driven viral growth: every friend invitation exposes The Match to a new user at near-zero CAC.</w:t>
      </w:r>
    </w:p>
    <w:p>
      <w:pPr>
        <w:pStyle w:val="ListBullet"/>
        <w:spacing w:after="60" w:line="300" w:lineRule="exact"/>
        <w:ind w:left="288"/>
      </w:pPr>
      <w:r>
        <w:rPr>
          <w:rFonts w:ascii="Helvetica Neue" w:hAnsi="Helvetica Neue"/>
          <w:b w:val="0"/>
          <w:color w:val="1A1A1A"/>
          <w:sz w:val="20"/>
        </w:rPr>
        <w:t>Golf course partnerships for on-property promotion and QR code installs at the 1st tee.</w:t>
      </w:r>
    </w:p>
    <w:p>
      <w:pPr>
        <w:pStyle w:val="ListBullet"/>
        <w:spacing w:after="60" w:line="300" w:lineRule="exact"/>
        <w:ind w:left="288"/>
      </w:pPr>
      <w:r>
        <w:rPr>
          <w:rFonts w:ascii="Helvetica Neue" w:hAnsi="Helvetica Neue"/>
          <w:b w:val="0"/>
          <w:color w:val="1A1A1A"/>
          <w:sz w:val="20"/>
        </w:rPr>
        <w:t>Content marketing via golf influencer and YouTube creator channels — where the golf audience is most engaged.</w:t>
      </w:r>
    </w:p>
    <w:p>
      <w:pPr>
        <w:pStyle w:val="ListBullet"/>
        <w:spacing w:after="60" w:line="300" w:lineRule="exact"/>
        <w:ind w:left="288"/>
      </w:pPr>
      <w:r>
        <w:rPr>
          <w:rFonts w:ascii="Helvetica Neue" w:hAnsi="Helvetica Neue"/>
          <w:b w:val="0"/>
          <w:color w:val="1A1A1A"/>
          <w:sz w:val="20"/>
        </w:rPr>
        <w:t>Golf league and club outreach: a single 100-person club with active rounds can generate thousands of Match Tab sessions per season.</w:t>
      </w:r>
    </w:p>
    <w:p>
      <w:pPr>
        <w:pStyle w:val="ListBullet"/>
        <w:spacing w:after="60" w:line="300" w:lineRule="exact"/>
        <w:ind w:left="288"/>
      </w:pPr>
      <w:r>
        <w:rPr>
          <w:rFonts w:ascii="Helvetica Neue" w:hAnsi="Helvetica Neue"/>
          <w:b w:val="0"/>
          <w:color w:val="1A1A1A"/>
          <w:sz w:val="20"/>
        </w:rPr>
        <w:t>PGA Tour content integration drives SEO and organic discoverability during every tournament weekend — already live.</w:t>
      </w:r>
    </w:p>
    <w:p>
      <w:pPr>
        <w:pStyle w:val="ListBullet"/>
        <w:spacing w:after="60" w:line="300" w:lineRule="exact"/>
        <w:ind w:left="288"/>
      </w:pPr>
      <w:r>
        <w:rPr>
          <w:rFonts w:ascii="Helvetica Neue" w:hAnsi="Helvetica Neue"/>
          <w:b w:val="0"/>
          <w:color w:val="1A1A1A"/>
          <w:sz w:val="20"/>
        </w:rPr>
        <w:t>AI-generated player cards provide inherent social virality: golfers share their pro-style photos to Instagram and X, driving organic installs.</w:t>
      </w:r>
    </w:p>
    <w:p>
      <w:pPr>
        <w:pStyle w:val="ListBullet"/>
        <w:spacing w:after="60" w:line="300" w:lineRule="exact"/>
        <w:ind w:left="288"/>
      </w:pPr>
      <w:r>
        <w:rPr>
          <w:rFonts w:ascii="Helvetica Neue" w:hAnsi="Helvetica Neue"/>
          <w:b w:val="0"/>
          <w:color w:val="1A1A1A"/>
          <w:sz w:val="20"/>
        </w:rPr>
        <w:t>Premium Match Tab events at corporate and charity golf days create B2B revenue and viral exposure simultaneously.</w:t>
      </w:r>
    </w:p>
    <w:p>
      <w:pPr>
        <w:spacing w:before="320" w:after="80"/>
        <w:jc w:val="left"/>
      </w:pPr>
      <w:r>
        <w:rPr>
          <w:rFonts w:ascii="Georgia" w:hAnsi="Georgia"/>
          <w:b/>
          <w:color w:val="0D1F12"/>
          <w:sz w:val="36"/>
        </w:rPr>
        <w:t>Use of Funds</w:t>
      </w:r>
    </w:p>
    <w:p>
      <w:pPr>
        <w:spacing w:before="0" w:after="120"/>
        <w:pBdr>
          <w:bottom w:val="single" w:sz="6" w:color="C9A040"/>
        </w:pBdr>
      </w:pPr>
    </w:p>
    <w:p/>
    <w:tbl>
      <w:tblPr>
        <w:tblStyle w:val="TableGrid"/>
        <w:tblW w:type="auto" w:w="0"/>
        <w:tblLook w:firstColumn="1" w:firstRow="1" w:lastColumn="0" w:lastRow="0" w:noHBand="0" w:noVBand="1" w:val="04A0"/>
      </w:tblPr>
      <w:tblGrid>
        <w:gridCol w:w="3216"/>
        <w:gridCol w:w="3216"/>
        <w:gridCol w:w="3216"/>
      </w:tblGrid>
      <w:tr>
        <w:tc>
          <w:tcPr>
            <w:tcW w:type="dxa" w:w="3216"/>
            <w:shd w:val="clear" w:color="auto" w:fill="0D1F12"/>
            <w:vAlign w:val="center"/>
          </w:tcPr>
          <w:p>
            <w:pPr>
              <w:jc w:val="left"/>
            </w:pPr>
            <w:r>
              <w:rPr>
                <w:rFonts w:ascii="Helvetica Neue" w:hAnsi="Helvetica Neue"/>
                <w:b/>
                <w:color w:val="FFFFFF"/>
                <w:sz w:val="19"/>
              </w:rPr>
              <w:t>Allocation</w:t>
            </w:r>
          </w:p>
        </w:tc>
        <w:tc>
          <w:tcPr>
            <w:tcW w:type="dxa" w:w="3216"/>
            <w:shd w:val="clear" w:color="auto" w:fill="0D1F12"/>
            <w:vAlign w:val="center"/>
          </w:tcPr>
          <w:p>
            <w:pPr>
              <w:jc w:val="left"/>
            </w:pPr>
            <w:r>
              <w:rPr>
                <w:rFonts w:ascii="Helvetica Neue" w:hAnsi="Helvetica Neue"/>
                <w:b/>
                <w:color w:val="FFFFFF"/>
                <w:sz w:val="19"/>
              </w:rPr>
              <w:t>% of Raise</w:t>
            </w:r>
          </w:p>
        </w:tc>
        <w:tc>
          <w:tcPr>
            <w:tcW w:type="dxa" w:w="3216"/>
            <w:shd w:val="clear" w:color="auto" w:fill="0D1F12"/>
            <w:vAlign w:val="center"/>
          </w:tcPr>
          <w:p>
            <w:pPr>
              <w:jc w:val="left"/>
            </w:pPr>
            <w:r>
              <w:rPr>
                <w:rFonts w:ascii="Helvetica Neue" w:hAnsi="Helvetica Neue"/>
                <w:b/>
                <w:color w:val="FFFFFF"/>
                <w:sz w:val="19"/>
              </w:rPr>
              <w:t>Purpose</w:t>
            </w:r>
          </w:p>
        </w:tc>
      </w:tr>
      <w:tr>
        <w:tc>
          <w:tcPr>
            <w:tcW w:type="dxa" w:w="3216"/>
            <w:vAlign w:val="center"/>
          </w:tcPr>
          <w:p>
            <w:pPr>
              <w:jc w:val="left"/>
            </w:pPr>
            <w:r>
              <w:rPr>
                <w:rFonts w:ascii="Helvetica Neue" w:hAnsi="Helvetica Neue"/>
                <w:b w:val="0"/>
                <w:color w:val="1A1A1A"/>
                <w:sz w:val="19"/>
              </w:rPr>
              <w:t>Engineering &amp; Product</w:t>
            </w:r>
          </w:p>
        </w:tc>
        <w:tc>
          <w:tcPr>
            <w:tcW w:type="dxa" w:w="3216"/>
            <w:vAlign w:val="center"/>
          </w:tcPr>
          <w:p>
            <w:pPr>
              <w:jc w:val="center"/>
            </w:pPr>
            <w:r>
              <w:rPr>
                <w:rFonts w:ascii="Helvetica Neue" w:hAnsi="Helvetica Neue"/>
                <w:b/>
                <w:color w:val="C9A040"/>
                <w:sz w:val="19"/>
              </w:rPr>
              <w:t>40%</w:t>
            </w:r>
          </w:p>
        </w:tc>
        <w:tc>
          <w:tcPr>
            <w:tcW w:type="dxa" w:w="3216"/>
            <w:vAlign w:val="center"/>
          </w:tcPr>
          <w:p>
            <w:pPr>
              <w:jc w:val="left"/>
            </w:pPr>
            <w:r>
              <w:rPr>
                <w:rFonts w:ascii="Helvetica Neue" w:hAnsi="Helvetica Neue"/>
                <w:b w:val="0"/>
                <w:color w:val="1A1A1A"/>
                <w:sz w:val="19"/>
              </w:rPr>
              <w:t>Native iOS/Android builds, AI model optimization, Eagle Eye satellite data licensing</w:t>
            </w:r>
          </w:p>
        </w:tc>
      </w:tr>
      <w:tr>
        <w:tc>
          <w:tcPr>
            <w:tcW w:type="dxa" w:w="3216"/>
            <w:shd w:val="clear" w:color="auto" w:fill="F3EFE7"/>
            <w:vAlign w:val="center"/>
          </w:tcPr>
          <w:p>
            <w:pPr>
              <w:jc w:val="left"/>
            </w:pPr>
            <w:r>
              <w:rPr>
                <w:rFonts w:ascii="Helvetica Neue" w:hAnsi="Helvetica Neue"/>
                <w:b w:val="0"/>
                <w:color w:val="1A1A1A"/>
                <w:sz w:val="19"/>
              </w:rPr>
              <w:t>Marketing &amp; User Acquisition</w:t>
            </w:r>
          </w:p>
        </w:tc>
        <w:tc>
          <w:tcPr>
            <w:tcW w:type="dxa" w:w="3216"/>
            <w:shd w:val="clear" w:color="auto" w:fill="F3EFE7"/>
            <w:vAlign w:val="center"/>
          </w:tcPr>
          <w:p>
            <w:pPr>
              <w:jc w:val="center"/>
            </w:pPr>
            <w:r>
              <w:rPr>
                <w:rFonts w:ascii="Helvetica Neue" w:hAnsi="Helvetica Neue"/>
                <w:b/>
                <w:color w:val="C9A040"/>
                <w:sz w:val="19"/>
              </w:rPr>
              <w:t>30%</w:t>
            </w:r>
          </w:p>
        </w:tc>
        <w:tc>
          <w:tcPr>
            <w:tcW w:type="dxa" w:w="3216"/>
            <w:shd w:val="clear" w:color="auto" w:fill="F3EFE7"/>
            <w:vAlign w:val="center"/>
          </w:tcPr>
          <w:p>
            <w:pPr>
              <w:jc w:val="left"/>
            </w:pPr>
            <w:r>
              <w:rPr>
                <w:rFonts w:ascii="Helvetica Neue" w:hAnsi="Helvetica Neue"/>
                <w:b w:val="0"/>
                <w:color w:val="1A1A1A"/>
                <w:sz w:val="19"/>
              </w:rPr>
              <w:t>Influencer campaigns, course partnerships, App Store ASO</w:t>
            </w:r>
          </w:p>
        </w:tc>
      </w:tr>
      <w:tr>
        <w:tc>
          <w:tcPr>
            <w:tcW w:type="dxa" w:w="3216"/>
            <w:vAlign w:val="center"/>
          </w:tcPr>
          <w:p>
            <w:pPr>
              <w:jc w:val="left"/>
            </w:pPr>
            <w:r>
              <w:rPr>
                <w:rFonts w:ascii="Helvetica Neue" w:hAnsi="Helvetica Neue"/>
                <w:b w:val="0"/>
                <w:color w:val="1A1A1A"/>
                <w:sz w:val="19"/>
              </w:rPr>
              <w:t>Operations &amp; Infrastructure</w:t>
            </w:r>
          </w:p>
        </w:tc>
        <w:tc>
          <w:tcPr>
            <w:tcW w:type="dxa" w:w="3216"/>
            <w:vAlign w:val="center"/>
          </w:tcPr>
          <w:p>
            <w:pPr>
              <w:jc w:val="center"/>
            </w:pPr>
            <w:r>
              <w:rPr>
                <w:rFonts w:ascii="Helvetica Neue" w:hAnsi="Helvetica Neue"/>
                <w:b/>
                <w:color w:val="C9A040"/>
                <w:sz w:val="19"/>
              </w:rPr>
              <w:t>15%</w:t>
            </w:r>
          </w:p>
        </w:tc>
        <w:tc>
          <w:tcPr>
            <w:tcW w:type="dxa" w:w="3216"/>
            <w:vAlign w:val="center"/>
          </w:tcPr>
          <w:p>
            <w:pPr>
              <w:jc w:val="left"/>
            </w:pPr>
            <w:r>
              <w:rPr>
                <w:rFonts w:ascii="Helvetica Neue" w:hAnsi="Helvetica Neue"/>
                <w:b w:val="0"/>
                <w:color w:val="1A1A1A"/>
                <w:sz w:val="19"/>
              </w:rPr>
              <w:t>Cloud infrastructure, GPS/weather API costs, GolfNow integration scaling</w:t>
            </w:r>
          </w:p>
        </w:tc>
      </w:tr>
      <w:tr>
        <w:tc>
          <w:tcPr>
            <w:tcW w:type="dxa" w:w="3216"/>
            <w:shd w:val="clear" w:color="auto" w:fill="F3EFE7"/>
            <w:vAlign w:val="center"/>
          </w:tcPr>
          <w:p>
            <w:pPr>
              <w:jc w:val="left"/>
            </w:pPr>
            <w:r>
              <w:rPr>
                <w:rFonts w:ascii="Helvetica Neue" w:hAnsi="Helvetica Neue"/>
                <w:b w:val="0"/>
                <w:color w:val="1A1A1A"/>
                <w:sz w:val="19"/>
              </w:rPr>
              <w:t>Business Development</w:t>
            </w:r>
          </w:p>
        </w:tc>
        <w:tc>
          <w:tcPr>
            <w:tcW w:type="dxa" w:w="3216"/>
            <w:shd w:val="clear" w:color="auto" w:fill="F3EFE7"/>
            <w:vAlign w:val="center"/>
          </w:tcPr>
          <w:p>
            <w:pPr>
              <w:jc w:val="center"/>
            </w:pPr>
            <w:r>
              <w:rPr>
                <w:rFonts w:ascii="Helvetica Neue" w:hAnsi="Helvetica Neue"/>
                <w:b/>
                <w:color w:val="C9A040"/>
                <w:sz w:val="19"/>
              </w:rPr>
              <w:t>10%</w:t>
            </w:r>
          </w:p>
        </w:tc>
        <w:tc>
          <w:tcPr>
            <w:tcW w:type="dxa" w:w="3216"/>
            <w:shd w:val="clear" w:color="auto" w:fill="F3EFE7"/>
            <w:vAlign w:val="center"/>
          </w:tcPr>
          <w:p>
            <w:pPr>
              <w:jc w:val="left"/>
            </w:pPr>
            <w:r>
              <w:rPr>
                <w:rFonts w:ascii="Helvetica Neue" w:hAnsi="Helvetica Neue"/>
                <w:b w:val="0"/>
                <w:color w:val="1A1A1A"/>
                <w:sz w:val="19"/>
              </w:rPr>
              <w:t>Course &amp; league partnership development, white-label Match Tab sales</w:t>
            </w:r>
          </w:p>
        </w:tc>
      </w:tr>
      <w:tr>
        <w:tc>
          <w:tcPr>
            <w:tcW w:type="dxa" w:w="3216"/>
            <w:vAlign w:val="center"/>
          </w:tcPr>
          <w:p>
            <w:pPr>
              <w:jc w:val="left"/>
            </w:pPr>
            <w:r>
              <w:rPr>
                <w:rFonts w:ascii="Helvetica Neue" w:hAnsi="Helvetica Neue"/>
                <w:b w:val="0"/>
                <w:color w:val="1A1A1A"/>
                <w:sz w:val="19"/>
              </w:rPr>
              <w:t>Legal &amp; Compliance</w:t>
            </w:r>
          </w:p>
        </w:tc>
        <w:tc>
          <w:tcPr>
            <w:tcW w:type="dxa" w:w="3216"/>
            <w:vAlign w:val="center"/>
          </w:tcPr>
          <w:p>
            <w:pPr>
              <w:jc w:val="center"/>
            </w:pPr>
            <w:r>
              <w:rPr>
                <w:rFonts w:ascii="Helvetica Neue" w:hAnsi="Helvetica Neue"/>
                <w:b/>
                <w:color w:val="C9A040"/>
                <w:sz w:val="19"/>
              </w:rPr>
              <w:t>5%</w:t>
            </w:r>
          </w:p>
        </w:tc>
        <w:tc>
          <w:tcPr>
            <w:tcW w:type="dxa" w:w="3216"/>
            <w:vAlign w:val="center"/>
          </w:tcPr>
          <w:p>
            <w:pPr>
              <w:jc w:val="left"/>
            </w:pPr>
            <w:r>
              <w:rPr>
                <w:rFonts w:ascii="Helvetica Neue" w:hAnsi="Helvetica Neue"/>
                <w:b w:val="0"/>
                <w:color w:val="1A1A1A"/>
                <w:sz w:val="19"/>
              </w:rPr>
              <w:t>IP protection, data privacy, corporate structure</w:t>
            </w:r>
          </w:p>
        </w:tc>
      </w:tr>
    </w:tbl>
    <w:p>
      <w:r>
        <w:br w:type="page"/>
      </w:r>
    </w:p>
    <w:p>
      <w:pPr>
        <w:spacing w:before="320" w:after="80"/>
        <w:jc w:val="left"/>
      </w:pPr>
      <w:r>
        <w:rPr>
          <w:rFonts w:ascii="Georgia" w:hAnsi="Georgia"/>
          <w:b/>
          <w:color w:val="0D1F12"/>
          <w:sz w:val="36"/>
        </w:rPr>
        <w:t>Milestones &amp; Roadmap</w:t>
      </w:r>
    </w:p>
    <w:p>
      <w:pPr>
        <w:spacing w:before="0" w:after="120"/>
        <w:pBdr>
          <w:bottom w:val="single" w:sz="6" w:color="C9A040"/>
        </w:pBdr>
      </w:pPr>
    </w:p>
    <w:p/>
    <w:tbl>
      <w:tblPr>
        <w:tblStyle w:val="TableGrid"/>
        <w:tblW w:type="auto" w:w="0"/>
        <w:tblLook w:firstColumn="1" w:firstRow="1" w:lastColumn="0" w:lastRow="0" w:noHBand="0" w:noVBand="1" w:val="04A0"/>
      </w:tblPr>
      <w:tblGrid>
        <w:gridCol w:w="4824"/>
        <w:gridCol w:w="4824"/>
      </w:tblGrid>
      <w:tr>
        <w:tc>
          <w:tcPr>
            <w:tcW w:type="dxa" w:w="4824"/>
            <w:shd w:val="clear" w:color="auto" w:fill="1B5E3B"/>
            <w:vAlign w:val="center"/>
          </w:tcPr>
          <w:p>
            <w:r>
              <w:rPr>
                <w:rFonts w:ascii="Helvetica Neue" w:hAnsi="Helvetica Neue"/>
                <w:b/>
                <w:color w:val="FFFFFF"/>
                <w:sz w:val="18"/>
              </w:rPr>
              <w:t>Q3 2025</w:t>
            </w:r>
          </w:p>
        </w:tc>
        <w:tc>
          <w:tcPr>
            <w:tcW w:type="dxa" w:w="4824"/>
            <w:vAlign w:val="center"/>
            <w:tcBorders>
              <w:bottom w:val="single" w:sz="4" w:color="CCBF9A"/>
            </w:tcBorders>
          </w:tcPr>
          <w:p>
            <w:r>
              <w:rPr>
                <w:rFonts w:ascii="Helvetica Neue" w:hAnsi="Helvetica Neue"/>
                <w:color w:val="1A1A1A"/>
                <w:sz w:val="19"/>
              </w:rPr>
              <w:t>PWA launched on Vercel. Auth, Home Dashboard, Eagle Eye AI Shot Advisor, and GolfNow tee time integration live.</w:t>
            </w:r>
          </w:p>
        </w:tc>
      </w:tr>
      <w:tr>
        <w:tc>
          <w:tcPr>
            <w:tcW w:type="dxa" w:w="4824"/>
            <w:shd w:val="clear" w:color="auto" w:fill="1B5E3B"/>
            <w:vAlign w:val="center"/>
          </w:tcPr>
          <w:p>
            <w:r>
              <w:rPr>
                <w:rFonts w:ascii="Helvetica Neue" w:hAnsi="Helvetica Neue"/>
                <w:b/>
                <w:color w:val="FFFFFF"/>
                <w:sz w:val="18"/>
              </w:rPr>
              <w:t>Q4 2025</w:t>
            </w:r>
          </w:p>
        </w:tc>
        <w:tc>
          <w:tcPr>
            <w:tcW w:type="dxa" w:w="4824"/>
            <w:vAlign w:val="center"/>
            <w:tcBorders>
              <w:bottom w:val="single" w:sz="4" w:color="CCBF9A"/>
            </w:tcBorders>
          </w:tcPr>
          <w:p>
            <w:r>
              <w:rPr>
                <w:rFonts w:ascii="Helvetica Neue" w:hAnsi="Helvetica Neue"/>
                <w:color w:val="1A1A1A"/>
                <w:sz w:val="19"/>
              </w:rPr>
              <w:t>Live PGA Tour Leaderboard with ESPN-powered player headshots &amp; country flags. AI Pro Profile Photo Generator launched with 17-country flag diagonal backgrounds. Active Round GPS hole-by-hole scoring live.</w:t>
            </w:r>
          </w:p>
        </w:tc>
      </w:tr>
      <w:tr>
        <w:tc>
          <w:tcPr>
            <w:tcW w:type="dxa" w:w="4824"/>
            <w:shd w:val="clear" w:color="auto" w:fill="1B5E3B"/>
            <w:vAlign w:val="center"/>
          </w:tcPr>
          <w:p>
            <w:r>
              <w:rPr>
                <w:rFonts w:ascii="Helvetica Neue" w:hAnsi="Helvetica Neue"/>
                <w:b/>
                <w:color w:val="FFFFFF"/>
                <w:sz w:val="18"/>
              </w:rPr>
              <w:t>Q1 2026</w:t>
            </w:r>
          </w:p>
        </w:tc>
        <w:tc>
          <w:tcPr>
            <w:tcW w:type="dxa" w:w="4824"/>
            <w:vAlign w:val="center"/>
            <w:tcBorders>
              <w:bottom w:val="single" w:sz="4" w:color="CCBF9A"/>
            </w:tcBorders>
          </w:tcPr>
          <w:p>
            <w:r>
              <w:rPr>
                <w:rFonts w:ascii="Helvetica Neue" w:hAnsi="Helvetica Neue"/>
                <w:color w:val="1A1A1A"/>
                <w:sz w:val="19"/>
              </w:rPr>
              <w:t>Full social graph, availability calendar, H2H records, tee time requests, Stats page with handicap index, and The Match Tab Augusta-style live leaderboard with AI player photos — all shipped. Complete platform live at the-match-roan.vercel.app.</w:t>
            </w:r>
          </w:p>
        </w:tc>
      </w:tr>
      <w:tr>
        <w:tc>
          <w:tcPr>
            <w:tcW w:type="dxa" w:w="4824"/>
            <w:shd w:val="clear" w:color="auto" w:fill="1B5E3B"/>
            <w:vAlign w:val="center"/>
          </w:tcPr>
          <w:p>
            <w:r>
              <w:rPr>
                <w:rFonts w:ascii="Helvetica Neue" w:hAnsi="Helvetica Neue"/>
                <w:b/>
                <w:color w:val="FFFFFF"/>
                <w:sz w:val="18"/>
              </w:rPr>
              <w:t>Q2 2026</w:t>
            </w:r>
          </w:p>
        </w:tc>
        <w:tc>
          <w:tcPr>
            <w:tcW w:type="dxa" w:w="4824"/>
            <w:vAlign w:val="center"/>
            <w:tcBorders>
              <w:bottom w:val="single" w:sz="4" w:color="CCBF9A"/>
            </w:tcBorders>
          </w:tcPr>
          <w:p>
            <w:r>
              <w:rPr>
                <w:rFonts w:ascii="Helvetica Neue" w:hAnsi="Helvetica Neue"/>
                <w:color w:val="1A1A1A"/>
                <w:sz w:val="19"/>
              </w:rPr>
              <w:t>Home rebuilt as Profile + Social Command Center. Full DB migration for social tables, friends, seasons, and outing history complete. Premium visual overhaul shipped across all screens.</w:t>
            </w:r>
          </w:p>
        </w:tc>
      </w:tr>
      <w:tr>
        <w:tc>
          <w:tcPr>
            <w:tcW w:type="dxa" w:w="4824"/>
            <w:shd w:val="clear" w:color="auto" w:fill="C9A040"/>
            <w:vAlign w:val="center"/>
          </w:tcPr>
          <w:p>
            <w:r>
              <w:rPr>
                <w:rFonts w:ascii="Helvetica Neue" w:hAnsi="Helvetica Neue"/>
                <w:b/>
                <w:color w:val="FFFFFF"/>
                <w:sz w:val="18"/>
              </w:rPr>
              <w:t>Now</w:t>
            </w:r>
          </w:p>
        </w:tc>
        <w:tc>
          <w:tcPr>
            <w:tcW w:type="dxa" w:w="4824"/>
            <w:vAlign w:val="center"/>
            <w:tcBorders>
              <w:bottom w:val="single" w:sz="4" w:color="CCBF9A"/>
            </w:tcBorders>
          </w:tcPr>
          <w:p>
            <w:r>
              <w:rPr>
                <w:rFonts w:ascii="Helvetica Neue" w:hAnsi="Helvetica Neue"/>
                <w:color w:val="1A1A1A"/>
                <w:sz w:val="19"/>
              </w:rPr>
              <w:t>Native iOS &amp; Android app store builds. Because The Match is already a fully functional PWA, wrapping it for the App Store and Google Play is straightforward — the entire product is built; this is packaging, not development. Series A preparation underway.</w:t>
            </w:r>
          </w:p>
        </w:tc>
      </w:tr>
    </w:tbl>
    <w:p/>
    <w:tbl>
      <w:tblPr>
        <w:tblStyle w:val="TableGrid"/>
        <w:tblW w:type="auto" w:w="0"/>
        <w:tblLook w:firstColumn="1" w:firstRow="1" w:lastColumn="0" w:lastRow="0" w:noHBand="0" w:noVBand="1" w:val="04A0"/>
      </w:tblPr>
      <w:tblGrid>
        <w:gridCol w:w="9648"/>
      </w:tblGrid>
      <w:tr>
        <w:tc>
          <w:tcPr>
            <w:tcW w:type="dxa" w:w="9648"/>
            <w:shd w:val="clear" w:color="auto" w:fill="1B5E3B"/>
          </w:tcPr>
          <w:p>
            <w:pPr>
              <w:spacing w:before="280" w:after="280" w:line="380" w:lineRule="exact"/>
              <w:jc w:val="center"/>
            </w:pPr>
            <w:r>
              <w:rPr>
                <w:rFonts w:ascii="Georgia" w:hAnsi="Georgia"/>
                <w:b/>
                <w:color w:val="FFFFFF"/>
                <w:sz w:val="23"/>
              </w:rPr>
              <w:t>The Match is built on a simple truth: golfers are deeply social, deeply competitive, and deeply underserved by technology. We are not building an app feature — we are building the operating system of golf culture. The golfer who installs The Match will never need another golf app again.</w:t>
            </w:r>
          </w:p>
        </w:tc>
      </w:tr>
    </w:tbl>
    <w:p>
      <w:pPr>
        <w:spacing w:before="240"/>
        <w:jc w:val="center"/>
      </w:pPr>
      <w:r>
        <w:rPr>
          <w:rFonts w:ascii="Helvetica Neue" w:hAnsi="Helvetica Neue"/>
          <w:color w:val="666666"/>
          <w:sz w:val="19"/>
        </w:rPr>
        <w:t>For investment inquiries, partnership discussions, or a live product demo, please contact the founding team at founders@thematchapp.io</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