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8.png" ContentType="image/png"/>
  <Override PartName="/word/media/rId51.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Atorvastatin</w:t>
      </w:r>
      <w:r>
        <w:t xml:space="preserve"> </w:t>
      </w:r>
      <w:r>
        <w:t xml:space="preserve">Acid</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https://github.com/Open-Systems-Pharmacology/Atorvastatin-Model/releases/tag/v1.0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1" w:name="1"/>
      <w:bookmarkEnd w:id="1"/>
    </w:p>
    <w:p>
      <w:pPr>
        <w:pStyle w:val="FirstParagraph"/>
      </w:pPr>
      <w:r>
        <w:t xml:space="preserve">Atorvastatin, a 3-hydroxy-3-methylglutaryl-coenzyme A (HMG-CoA) reductase inhibitor, is a widely prescribed statin to treat hypercholesterolemia (</w:t>
      </w:r>
      <w:hyperlink w:anchor="Xa559bd5247f9128e74e6edcc17de37648e8cde6">
        <w:r>
          <w:rPr>
            <w:rStyle w:val="Hyperlink"/>
          </w:rPr>
          <w:t xml:space="preserve">Morse 2019</w:t>
        </w:r>
      </w:hyperlink>
      <w:r>
        <w:t xml:space="preserve">). The recommended dosage for adults ranges from 10 to 80 mg once daily (</w:t>
      </w:r>
      <w:hyperlink w:anchor="Xa559bd5247f9128e74e6edcc17de37648e8cde6">
        <w:r>
          <w:rPr>
            <w:rStyle w:val="Hyperlink"/>
          </w:rPr>
          <w:t xml:space="preserve">Pfizer 2019</w:t>
        </w:r>
      </w:hyperlink>
      <w:r>
        <w:t xml:space="preserve">). Following oral administration, atorvastatin acid is rapidly absorbed from the gastrointestinal tract, reaching maximum plasma concentrations within one to two hours (</w:t>
      </w:r>
      <w:hyperlink w:anchor="Xa559bd5247f9128e74e6edcc17de37648e8cde6">
        <w:r>
          <w:rPr>
            <w:rStyle w:val="Hyperlink"/>
          </w:rPr>
          <w:t xml:space="preserve">Pfizer 2019</w:t>
        </w:r>
      </w:hyperlink>
      <w:r>
        <w:t xml:space="preserve">). However, its bioavailability is notably low (~14%) due to extensive first pass metabolism by cytochrome P450 (CYP) 3A4 (</w:t>
      </w:r>
      <w:hyperlink w:anchor="Xa559bd5247f9128e74e6edcc17de37648e8cde6">
        <w:r>
          <w:rPr>
            <w:rStyle w:val="Hyperlink"/>
          </w:rPr>
          <w:t xml:space="preserve">Pfizer 2019</w:t>
        </w:r>
      </w:hyperlink>
      <w:r>
        <w:t xml:space="preserve">). Atorvastatin acid is also a substrate of multiple transporters, including the influx transporters organic anion transporting polypeptides (OATP) 1B1 and OATP1B3 (</w:t>
      </w:r>
      <w:hyperlink w:anchor="Xa559bd5247f9128e74e6edcc17de37648e8cde6">
        <w:r>
          <w:rPr>
            <w:rStyle w:val="Hyperlink"/>
          </w:rPr>
          <w:t xml:space="preserve">Vildhede 2014</w:t>
        </w:r>
      </w:hyperlink>
      <w:r>
        <w:t xml:space="preserve">), as well as the efflux transporters P-glycoprotein (P-gp) and breast cancer resistant protein (BCRP) (</w:t>
      </w:r>
      <w:hyperlink w:anchor="Xa559bd5247f9128e74e6edcc17de37648e8cde6">
        <w:r>
          <w:rPr>
            <w:rStyle w:val="Hyperlink"/>
          </w:rPr>
          <w:t xml:space="preserve">Deng 2021</w:t>
        </w:r>
      </w:hyperlink>
      <w:r>
        <w:t xml:space="preserve">), which makes atorvastatin acid highly susceptible to drug–drug interactions (DDIs) mediated by both enzymes and transporters.</w:t>
      </w:r>
    </w:p>
    <w:p>
      <w:pPr>
        <w:pStyle w:val="BodyText"/>
      </w:pPr>
      <w:r>
        <w:t xml:space="preserve">This whole-body atorvastatin acid PBPK model is intended to be used as a victim drug in CYP3A4- and OATP1B1/1B3-mediated DDIs. It has been developed using published pharmacokinetic clinical data by Backman 2005 (</w:t>
      </w:r>
      <w:hyperlink w:anchor="Xa559bd5247f9128e74e6edcc17de37648e8cde6">
        <w:r>
          <w:rPr>
            <w:rStyle w:val="Hyperlink"/>
          </w:rPr>
          <w:t xml:space="preserve">Backman 2005</w:t>
        </w:r>
      </w:hyperlink>
      <w:r>
        <w:t xml:space="preserve">), Bullman 2011 (</w:t>
      </w:r>
      <w:hyperlink w:anchor="Xa559bd5247f9128e74e6edcc17de37648e8cde6">
        <w:r>
          <w:rPr>
            <w:rStyle w:val="Hyperlink"/>
          </w:rPr>
          <w:t xml:space="preserve">Bullman 2011</w:t>
        </w:r>
      </w:hyperlink>
      <w:r>
        <w:t xml:space="preserve">), Di Spirito 2008 (</w:t>
      </w:r>
      <w:hyperlink w:anchor="Xa559bd5247f9128e74e6edcc17de37648e8cde6">
        <w:r>
          <w:rPr>
            <w:rStyle w:val="Hyperlink"/>
          </w:rPr>
          <w:t xml:space="preserve">Di Spirito 2008</w:t>
        </w:r>
      </w:hyperlink>
      <w:r>
        <w:t xml:space="preserve">), Gandelman 2011 (</w:t>
      </w:r>
      <w:hyperlink w:anchor="Xa559bd5247f9128e74e6edcc17de37648e8cde6">
        <w:r>
          <w:rPr>
            <w:rStyle w:val="Hyperlink"/>
          </w:rPr>
          <w:t xml:space="preserve">Gandelman 2011</w:t>
        </w:r>
      </w:hyperlink>
      <w:r>
        <w:t xml:space="preserve">), Kantola 1998 (</w:t>
      </w:r>
      <w:hyperlink w:anchor="Xa559bd5247f9128e74e6edcc17de37648e8cde6">
        <w:r>
          <w:rPr>
            <w:rStyle w:val="Hyperlink"/>
          </w:rPr>
          <w:t xml:space="preserve">Kantola 1998</w:t>
        </w:r>
      </w:hyperlink>
      <w:r>
        <w:t xml:space="preserve">), Lau 2007 (</w:t>
      </w:r>
      <w:hyperlink w:anchor="Xa559bd5247f9128e74e6edcc17de37648e8cde6">
        <w:r>
          <w:rPr>
            <w:rStyle w:val="Hyperlink"/>
          </w:rPr>
          <w:t xml:space="preserve">Lau 2007</w:t>
        </w:r>
      </w:hyperlink>
      <w:r>
        <w:t xml:space="preserve">), Mazzu 2000 (</w:t>
      </w:r>
      <w:hyperlink w:anchor="Xa559bd5247f9128e74e6edcc17de37648e8cde6">
        <w:r>
          <w:rPr>
            <w:rStyle w:val="Hyperlink"/>
          </w:rPr>
          <w:t xml:space="preserve">Mazzu 2000</w:t>
        </w:r>
      </w:hyperlink>
      <w:r>
        <w:t xml:space="preserve">), Mori 2020 (</w:t>
      </w:r>
      <w:hyperlink w:anchor="Xa559bd5247f9128e74e6edcc17de37648e8cde6">
        <w:r>
          <w:rPr>
            <w:rStyle w:val="Hyperlink"/>
          </w:rPr>
          <w:t xml:space="preserve">Mori 2020</w:t>
        </w:r>
      </w:hyperlink>
      <w:r>
        <w:t xml:space="preserve">), Park 2022</w:t>
      </w:r>
      <w:r>
        <w:t xml:space="preserve"> </w:t>
      </w:r>
      <w:hyperlink w:anchor="Xa559bd5247f9128e74e6edcc17de37648e8cde6">
        <w:r>
          <w:rPr>
            <w:rStyle w:val="Hyperlink"/>
          </w:rPr>
          <w:t xml:space="preserve">Park 2022</w:t>
        </w:r>
      </w:hyperlink>
      <w:r>
        <w:t xml:space="preserve">, Patiño-Rodríguez 2015 (</w:t>
      </w:r>
      <w:hyperlink w:anchor="Xa559bd5247f9128e74e6edcc17de37648e8cde6">
        <w:r>
          <w:rPr>
            <w:rStyle w:val="Hyperlink"/>
          </w:rPr>
          <w:t xml:space="preserve">Patiño-Rodríguez 2015</w:t>
        </w:r>
      </w:hyperlink>
      <w:r>
        <w:t xml:space="preserve">), Shin 2011 (</w:t>
      </w:r>
      <w:hyperlink w:anchor="Xa559bd5247f9128e74e6edcc17de37648e8cde6">
        <w:r>
          <w:rPr>
            <w:rStyle w:val="Hyperlink"/>
          </w:rPr>
          <w:t xml:space="preserve">Shin 2011</w:t>
        </w:r>
      </w:hyperlink>
      <w:r>
        <w:t xml:space="preserve">), Siedlik 1999 (</w:t>
      </w:r>
      <w:hyperlink w:anchor="Xa559bd5247f9128e74e6edcc17de37648e8cde6">
        <w:r>
          <w:rPr>
            <w:rStyle w:val="Hyperlink"/>
          </w:rPr>
          <w:t xml:space="preserve">Siedlik 1999</w:t>
        </w:r>
      </w:hyperlink>
      <w:r>
        <w:t xml:space="preserve">), Takehara 2018 (</w:t>
      </w:r>
      <w:hyperlink w:anchor="Xa559bd5247f9128e74e6edcc17de37648e8cde6">
        <w:r>
          <w:rPr>
            <w:rStyle w:val="Hyperlink"/>
          </w:rPr>
          <w:t xml:space="preserve">Takehara 2018</w:t>
        </w:r>
      </w:hyperlink>
      <w:r>
        <w:t xml:space="preserve">), Teng 2013 (</w:t>
      </w:r>
      <w:hyperlink w:anchor="Xa559bd5247f9128e74e6edcc17de37648e8cde6">
        <w:r>
          <w:rPr>
            <w:rStyle w:val="Hyperlink"/>
          </w:rPr>
          <w:t xml:space="preserve">Teng 2013</w:t>
        </w:r>
      </w:hyperlink>
      <w:r>
        <w:t xml:space="preserve">) and Whitfield 2010 (</w:t>
      </w:r>
      <w:hyperlink w:anchor="Xa559bd5247f9128e74e6edcc17de37648e8cde6">
        <w:r>
          <w:rPr>
            <w:rStyle w:val="Hyperlink"/>
          </w:rPr>
          <w:t xml:space="preserve">Whitfield 2010</w:t>
        </w:r>
      </w:hyperlink>
      <w:r>
        <w:t xml:space="preserve">) after oral administration. The selected clinical study data captures a broad dosing range of 1.0 to 80.0 mg atorvastatin acid.</w:t>
      </w:r>
    </w:p>
    <w:p>
      <w:pPr>
        <w:pStyle w:val="BodyText"/>
      </w:pPr>
      <w:r>
        <w:t xml:space="preserve">The model has then been evaluated by simulating clinical studies and comparing with respective observed data.</w:t>
      </w:r>
    </w:p>
    <w:p>
      <w:pPr>
        <w:pStyle w:val="BodyText"/>
      </w:pPr>
      <w:r>
        <w:t xml:space="preserve">The presented model includes the following features:</w:t>
      </w:r>
    </w:p>
    <w:p>
      <w:pPr>
        <w:numPr>
          <w:ilvl w:val="0"/>
          <w:numId w:val="1001"/>
        </w:numPr>
        <w:pStyle w:val="Compact"/>
      </w:pPr>
      <w:r>
        <w:t xml:space="preserve">Metabolism by CYP3A4,</w:t>
      </w:r>
    </w:p>
    <w:p>
      <w:pPr>
        <w:numPr>
          <w:ilvl w:val="0"/>
          <w:numId w:val="1001"/>
        </w:numPr>
        <w:pStyle w:val="Compact"/>
      </w:pPr>
      <w:r>
        <w:t xml:space="preserve">Metabolism by CYP3A5 (only implemented in Park 2022 for CYP3A5 normal metabolizers (</w:t>
      </w:r>
      <w:hyperlink w:anchor="Xa559bd5247f9128e74e6edcc17de37648e8cde6">
        <w:r>
          <w:rPr>
            <w:rStyle w:val="Hyperlink"/>
          </w:rPr>
          <w:t xml:space="preserve">Park 2022</w:t>
        </w:r>
      </w:hyperlink>
      <w:r>
        <w:t xml:space="preserve">); otherwise, the kcat has been set to 0),</w:t>
      </w:r>
    </w:p>
    <w:p>
      <w:pPr>
        <w:numPr>
          <w:ilvl w:val="0"/>
          <w:numId w:val="1001"/>
        </w:numPr>
        <w:pStyle w:val="Compact"/>
      </w:pPr>
      <w:r>
        <w:t xml:space="preserve">Transport by BCRP,</w:t>
      </w:r>
    </w:p>
    <w:p>
      <w:pPr>
        <w:numPr>
          <w:ilvl w:val="0"/>
          <w:numId w:val="1001"/>
        </w:numPr>
        <w:pStyle w:val="Compact"/>
      </w:pPr>
      <w:r>
        <w:t xml:space="preserve">Transport by P-gp, and</w:t>
      </w:r>
    </w:p>
    <w:p>
      <w:pPr>
        <w:numPr>
          <w:ilvl w:val="0"/>
          <w:numId w:val="1001"/>
        </w:numPr>
        <w:pStyle w:val="Compact"/>
      </w:pPr>
      <w:r>
        <w:t xml:space="preserve">Transport by OATP1B1/1B3.</w:t>
      </w:r>
    </w:p>
    <w:bookmarkEnd w:id="20"/>
    <w:bookmarkStart w:id="30" w:name="methods"/>
    <w:p>
      <w:pPr>
        <w:pStyle w:val="Heading1"/>
      </w:pPr>
      <w:r>
        <w:t xml:space="preserve">Methods</w:t>
      </w:r>
      <w:bookmarkStart w:id="2" w:name="2"/>
      <w:bookmarkEnd w:id="2"/>
    </w:p>
    <w:bookmarkStart w:id="21" w:name="modeling-strategy"/>
    <w:p>
      <w:pPr>
        <w:pStyle w:val="Heading2"/>
      </w:pPr>
      <w:r>
        <w:t xml:space="preserve">Modeling strategy</w:t>
      </w:r>
      <w:bookmarkStart w:id="21" w:name="21"/>
      <w:bookmarkEnd w:id="21"/>
    </w:p>
    <w:p>
      <w:pPr>
        <w:pStyle w:val="FirstParagraph"/>
      </w:pPr>
      <w:r>
        <w:t xml:space="preserve">The general concept of building a PBPK model has previously been described by Kuepfer et al. (</w:t>
      </w:r>
      <w:hyperlink w:anchor="Xa559bd5247f9128e74e6edcc17de37648e8cde6">
        <w:r>
          <w:rPr>
            <w:rStyle w:val="Hyperlink"/>
          </w:rPr>
          <w:t xml:space="preserve">Kuepfer 2016</w:t>
        </w:r>
      </w:hyperlink>
      <w:r>
        <w:t xml:space="preserve">). Relevant information on anthropometric (height, weight) and physiological parameters (e.g. blood flows, organ volumes, binding protein concentrations, hematocrit, cardiac output) in adults was gathered from the literature and has been previously published (</w:t>
      </w:r>
      <w:hyperlink w:anchor="Xa559bd5247f9128e74e6edcc17de37648e8cde6">
        <w:r>
          <w:rPr>
            <w:rStyle w:val="Hyperlink"/>
          </w:rPr>
          <w:t xml:space="preserve">Willmann 2007</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w:t>
      </w:r>
      <w:hyperlink w:anchor="Xa559bd5247f9128e74e6edcc17de37648e8cde6">
        <w:r>
          <w:rPr>
            <w:rStyle w:val="Hyperlink"/>
          </w:rPr>
          <w:t xml:space="preserve">PK-Sim Ontogeny Database Version 7.3</w:t>
        </w:r>
      </w:hyperlink>
      <w:r>
        <w:t xml:space="preserve">) or otherwise referenced for the specific process.</w:t>
      </w:r>
    </w:p>
    <w:p>
      <w:pPr>
        <w:pStyle w:val="BodyText"/>
      </w:pPr>
      <w:r>
        <w:t xml:space="preserve">A PBPK model was built based on seven mean plasma concentration-time profiles after oral administration of atorvastatin acid obtained from the clinical studies by Backman 2005 (</w:t>
      </w:r>
      <w:hyperlink w:anchor="Xa559bd5247f9128e74e6edcc17de37648e8cde6">
        <w:r>
          <w:rPr>
            <w:rStyle w:val="Hyperlink"/>
          </w:rPr>
          <w:t xml:space="preserve">Backman 2005</w:t>
        </w:r>
      </w:hyperlink>
      <w:r>
        <w:t xml:space="preserve">), Bullman 2011 (</w:t>
      </w:r>
      <w:hyperlink w:anchor="Xa559bd5247f9128e74e6edcc17de37648e8cde6">
        <w:r>
          <w:rPr>
            <w:rStyle w:val="Hyperlink"/>
          </w:rPr>
          <w:t xml:space="preserve">Bullman 2011</w:t>
        </w:r>
      </w:hyperlink>
      <w:r>
        <w:t xml:space="preserve">), Gandelman 2011 (</w:t>
      </w:r>
      <w:hyperlink w:anchor="Xa559bd5247f9128e74e6edcc17de37648e8cde6">
        <w:r>
          <w:rPr>
            <w:rStyle w:val="Hyperlink"/>
          </w:rPr>
          <w:t xml:space="preserve">Gandelman 2011</w:t>
        </w:r>
      </w:hyperlink>
      <w:r>
        <w:t xml:space="preserve">), Kantola 1998 (</w:t>
      </w:r>
      <w:hyperlink w:anchor="Xa559bd5247f9128e74e6edcc17de37648e8cde6">
        <w:r>
          <w:rPr>
            <w:rStyle w:val="Hyperlink"/>
          </w:rPr>
          <w:t xml:space="preserve">Kantola 1998</w:t>
        </w:r>
      </w:hyperlink>
      <w:r>
        <w:t xml:space="preserve">) and Teng 2013 (</w:t>
      </w:r>
      <w:hyperlink w:anchor="Xa559bd5247f9128e74e6edcc17de37648e8cde6">
        <w:r>
          <w:rPr>
            <w:rStyle w:val="Hyperlink"/>
          </w:rPr>
          <w:t xml:space="preserve">Teng 2013</w:t>
        </w:r>
      </w:hyperlink>
      <w:r>
        <w:t xml:space="preserve">). To inform CYP3A4- and OATP1B1/1B3-mediated pathways, the DDI studies with itraconazole (</w:t>
      </w:r>
      <w:hyperlink w:anchor="Xa559bd5247f9128e74e6edcc17de37648e8cde6">
        <w:r>
          <w:rPr>
            <w:rStyle w:val="Hyperlink"/>
          </w:rPr>
          <w:t xml:space="preserve">Kantola 1998</w:t>
        </w:r>
      </w:hyperlink>
      <w:r>
        <w:t xml:space="preserve">) and rifampicin (</w:t>
      </w:r>
      <w:hyperlink w:anchor="Xa559bd5247f9128e74e6edcc17de37648e8cde6">
        <w:r>
          <w:rPr>
            <w:rStyle w:val="Hyperlink"/>
          </w:rPr>
          <w:t xml:space="preserve">Lau 2007</w:t>
        </w:r>
      </w:hyperlink>
      <w:r>
        <w:t xml:space="preserve">) were included in the model building. Virtual mean individuals were generated for each study based on the reported mean and mode demographic information (including sex, ethnicity, body weight, height, body mass index, and age). If demographic information was missing, provided mean values in PK-Sim®, that were computed from the respective population database, were applied. The relative tissue-specific expressions of the enzyme and transporter predominantly being involved in the metabolism/transport of atorvastatin acid (CYP3A4, CYP3A5, BCRP, OATP1B1/1B3, and P-gp) were considered (</w:t>
      </w:r>
      <w:hyperlink w:anchor="Xa559bd5247f9128e74e6edcc17de37648e8cde6">
        <w:r>
          <w:rPr>
            <w:rStyle w:val="Hyperlink"/>
          </w:rPr>
          <w:t xml:space="preserve">Nishimura 2003</w:t>
        </w:r>
      </w:hyperlink>
      <w:r>
        <w:t xml:space="preserve">,</w:t>
      </w:r>
      <w:r>
        <w:t xml:space="preserve"> </w:t>
      </w:r>
      <w:hyperlink w:anchor="Xa559bd5247f9128e74e6edcc17de37648e8cde6">
        <w:r>
          <w:rPr>
            <w:rStyle w:val="Hyperlink"/>
          </w:rPr>
          <w:t xml:space="preserve">Nishimura 2005</w:t>
        </w:r>
      </w:hyperlink>
      <w:r>
        <w:t xml:space="preserve">,</w:t>
      </w:r>
      <w:r>
        <w:t xml:space="preserve"> </w:t>
      </w:r>
      <w:hyperlink w:anchor="Xa559bd5247f9128e74e6edcc17de37648e8cde6">
        <w:r>
          <w:rPr>
            <w:rStyle w:val="Hyperlink"/>
          </w:rPr>
          <w:t xml:space="preserve">Kolesnikov 2015</w:t>
        </w:r>
      </w:hyperlink>
      <w:r>
        <w:t xml:space="preserve">).</w:t>
      </w:r>
    </w:p>
    <w:p>
      <w:pPr>
        <w:pStyle w:val="BodyText"/>
      </w:pPr>
      <w:r>
        <w:t xml:space="preserve">A specific set of parameters (see</w:t>
      </w:r>
      <w:r>
        <w:t xml:space="preserve"> </w:t>
      </w:r>
      <w:hyperlink w:anchor="X0b62e72ceadb2b02355ac38b64e6cd07b105dd2">
        <w:r>
          <w:rPr>
            <w:rStyle w:val="Hyperlink"/>
          </w:rPr>
          <w:t xml:space="preserve">Section 3.1</w:t>
        </w:r>
      </w:hyperlink>
      <w:r>
        <w:t xml:space="preserve">) was optimized to describe the disposition of atorvastatin acid using the Parameter Identification module provided in PK-Sim®.</w:t>
      </w:r>
    </w:p>
    <w:p>
      <w:pPr>
        <w:pStyle w:val="BodyText"/>
      </w:pPr>
      <w:r>
        <w:t xml:space="preserve">The model was then verified by simulating further clinical studies reporting pharmacokinetic concentration-time profiles after oral administration of atorvastatin acid.</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96ac2a02c49e5946643b6fb28b6a29308f08cb0">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used"/>
    <w:p>
      <w:pPr>
        <w:pStyle w:val="Heading2"/>
      </w:pPr>
      <w:r>
        <w:t xml:space="preserve">Data used</w:t>
      </w:r>
      <w:bookmarkStart w:id="22" w:name="22"/>
      <w:bookmarkEnd w:id="22"/>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atorvastatin acid. The obtained information from the literature is summarized in the table below, and is used for model building.</w:t>
      </w:r>
    </w:p>
    <w:tbl>
      <w:tblPr>
        <w:tblStyle w:val="Table"/>
        <w:tblW w:type="pct" w:w="5000"/>
        <w:tblLook w:firstRow="1" w:lastRow="0" w:firstColumn="0" w:lastColumn="0" w:noHBand="0" w:noVBand="0" w:val="0020"/>
        <w:jc w:val="start"/>
      </w:tblPr>
      <w:tblGrid>
        <w:gridCol w:w="1434"/>
        <w:gridCol w:w="459"/>
        <w:gridCol w:w="516"/>
        <w:gridCol w:w="2066"/>
        <w:gridCol w:w="3443"/>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558.66</w:t>
            </w:r>
          </w:p>
        </w:tc>
        <w:tc>
          <w:tcPr/>
          <w:p>
            <w:pPr>
              <w:pStyle w:val="Compact"/>
              <w:jc w:val="left"/>
            </w:pPr>
            <w:hyperlink w:anchor="Xa559bd5247f9128e74e6edcc17de37648e8cde6">
              <w:r>
                <w:rPr>
                  <w:rStyle w:val="Hyperlink"/>
                </w:rPr>
                <w:t xml:space="preserve">Zhang 2015</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w:t>
            </w:r>
            <w:r>
              <w:t xml:space="preserve"> </w:t>
            </w:r>
            <w:r>
              <w:t xml:space="preserve">(acid)</w:t>
            </w:r>
          </w:p>
        </w:tc>
        <w:tc>
          <w:tcPr/>
          <w:p>
            <w:pPr>
              <w:pStyle w:val="Compact"/>
            </w:pPr>
          </w:p>
        </w:tc>
        <w:tc>
          <w:tcPr/>
          <w:p>
            <w:pPr>
              <w:pStyle w:val="Compact"/>
              <w:jc w:val="left"/>
            </w:pPr>
            <w:r>
              <w:t xml:space="preserve">4.46</w:t>
            </w:r>
          </w:p>
        </w:tc>
        <w:tc>
          <w:tcPr/>
          <w:p>
            <w:pPr>
              <w:pStyle w:val="Compact"/>
              <w:jc w:val="left"/>
            </w:pPr>
            <w:hyperlink w:anchor="Xa559bd5247f9128e74e6edcc17de37648e8cde6">
              <w:r>
                <w:rPr>
                  <w:rStyle w:val="Hyperlink"/>
                </w:rPr>
                <w:t xml:space="preserve">Zhang 2015</w:t>
              </w:r>
            </w:hyperlink>
          </w:p>
        </w:tc>
        <w:tc>
          <w:tcPr/>
          <w:p>
            <w:pPr>
              <w:pStyle w:val="Compact"/>
              <w:jc w:val="left"/>
            </w:pPr>
            <w:r>
              <w:t xml:space="preserve">Acid dissociation constant of conjugate acid</w:t>
            </w:r>
          </w:p>
        </w:tc>
      </w:tr>
      <w:tr>
        <w:tc>
          <w:tcPr/>
          <w:p>
            <w:pPr>
              <w:pStyle w:val="Compact"/>
              <w:jc w:val="left"/>
            </w:pPr>
            <w:r>
              <w:t xml:space="preserve">Solubility (pH=6)</w:t>
            </w:r>
          </w:p>
        </w:tc>
        <w:tc>
          <w:tcPr/>
          <w:p>
            <w:pPr>
              <w:pStyle w:val="Compact"/>
              <w:jc w:val="left"/>
            </w:pPr>
            <w:r>
              <w:t xml:space="preserve">g/L</w:t>
            </w:r>
          </w:p>
        </w:tc>
        <w:tc>
          <w:tcPr/>
          <w:p>
            <w:pPr>
              <w:pStyle w:val="Compact"/>
              <w:jc w:val="left"/>
            </w:pPr>
            <w:r>
              <w:t xml:space="preserve">1.22</w:t>
            </w:r>
          </w:p>
        </w:tc>
        <w:tc>
          <w:tcPr/>
          <w:p>
            <w:pPr>
              <w:pStyle w:val="Compact"/>
              <w:jc w:val="left"/>
            </w:pPr>
            <w:hyperlink w:anchor="Xa559bd5247f9128e74e6edcc17de37648e8cde6">
              <w:r>
                <w:rPr>
                  <w:rStyle w:val="Hyperlink"/>
                </w:rPr>
                <w:t xml:space="preserve">Morse 2019</w:t>
              </w:r>
            </w:hyperlink>
          </w:p>
        </w:tc>
        <w:tc>
          <w:tcPr/>
          <w:p>
            <w:pPr>
              <w:pStyle w:val="Compact"/>
              <w:jc w:val="left"/>
            </w:pPr>
            <w:r>
              <w:t xml:space="preserve">Solubility</w:t>
            </w:r>
          </w:p>
        </w:tc>
      </w:tr>
      <w:tr>
        <w:tc>
          <w:tcPr/>
          <w:p>
            <w:pPr>
              <w:pStyle w:val="Compact"/>
              <w:jc w:val="left"/>
            </w:pPr>
            <w:r>
              <w:t xml:space="preserve">logP</w:t>
            </w:r>
          </w:p>
        </w:tc>
        <w:tc>
          <w:tcPr/>
          <w:p>
            <w:pPr>
              <w:pStyle w:val="Compact"/>
            </w:pPr>
          </w:p>
        </w:tc>
        <w:tc>
          <w:tcPr/>
          <w:p>
            <w:pPr>
              <w:pStyle w:val="Compact"/>
              <w:jc w:val="left"/>
            </w:pPr>
            <w:r>
              <w:t xml:space="preserve">4.07</w:t>
            </w:r>
          </w:p>
        </w:tc>
        <w:tc>
          <w:tcPr/>
          <w:p>
            <w:pPr>
              <w:pStyle w:val="Compact"/>
              <w:jc w:val="left"/>
            </w:pPr>
            <w:hyperlink w:anchor="Xa559bd5247f9128e74e6edcc17de37648e8cde6">
              <w:r>
                <w:rPr>
                  <w:rStyle w:val="Hyperlink"/>
                </w:rPr>
                <w:t xml:space="preserve">Duan 2017</w:t>
              </w:r>
            </w:hyperlink>
          </w:p>
        </w:tc>
        <w:tc>
          <w:tcPr/>
          <w:p>
            <w:pPr>
              <w:pStyle w:val="Compact"/>
              <w:jc w:val="left"/>
            </w:pPr>
            <w:r>
              <w:t xml:space="preserve">Partition coefficient between octanol and water</w:t>
            </w:r>
          </w:p>
        </w:tc>
      </w:tr>
      <w:tr>
        <w:tc>
          <w:tcPr/>
          <w:p>
            <w:pPr>
              <w:pStyle w:val="Compact"/>
              <w:jc w:val="left"/>
            </w:pPr>
            <w:r>
              <w:t xml:space="preserve">fu</w:t>
            </w:r>
          </w:p>
        </w:tc>
        <w:tc>
          <w:tcPr/>
          <w:p>
            <w:pPr>
              <w:pStyle w:val="Compact"/>
              <w:jc w:val="left"/>
            </w:pPr>
            <w:r>
              <w:t xml:space="preserve">%</w:t>
            </w:r>
          </w:p>
        </w:tc>
        <w:tc>
          <w:tcPr/>
          <w:p>
            <w:pPr>
              <w:pStyle w:val="Compact"/>
              <w:jc w:val="left"/>
            </w:pPr>
            <w:r>
              <w:t xml:space="preserve">5.10</w:t>
            </w:r>
          </w:p>
        </w:tc>
        <w:tc>
          <w:tcPr/>
          <w:p>
            <w:pPr>
              <w:pStyle w:val="Compact"/>
              <w:jc w:val="left"/>
            </w:pPr>
            <w:hyperlink w:anchor="Xa559bd5247f9128e74e6edcc17de37648e8cde6">
              <w:r>
                <w:rPr>
                  <w:rStyle w:val="Hyperlink"/>
                </w:rPr>
                <w:t xml:space="preserve">Zhang 2015</w:t>
              </w:r>
            </w:hyperlink>
          </w:p>
        </w:tc>
        <w:tc>
          <w:tcPr/>
          <w:p>
            <w:pPr>
              <w:pStyle w:val="Compact"/>
              <w:jc w:val="left"/>
            </w:pPr>
            <w:r>
              <w:t xml:space="preserve">Fraction unbound in plasma</w:t>
            </w:r>
          </w:p>
        </w:tc>
      </w:tr>
      <w:tr>
        <w:tc>
          <w:tcPr/>
          <w:p>
            <w:pPr>
              <w:pStyle w:val="Compact"/>
              <w:jc w:val="left"/>
            </w:pPr>
            <w:r>
              <w:t xml:space="preserve">K</w:t>
            </w:r>
            <w:r>
              <w:rPr>
                <w:vertAlign w:val="subscript"/>
              </w:rPr>
              <w:t xml:space="preserve">m</w:t>
            </w:r>
            <w:r>
              <w:t xml:space="preserve"> </w:t>
            </w:r>
            <w:r>
              <w:t xml:space="preserve">CYP3A4</w:t>
            </w:r>
          </w:p>
        </w:tc>
        <w:tc>
          <w:tcPr/>
          <w:p>
            <w:pPr>
              <w:pStyle w:val="Compact"/>
              <w:jc w:val="left"/>
            </w:pPr>
            <w:r>
              <w:t xml:space="preserve">µmol/L</w:t>
            </w:r>
          </w:p>
        </w:tc>
        <w:tc>
          <w:tcPr/>
          <w:p>
            <w:pPr>
              <w:pStyle w:val="Compact"/>
              <w:jc w:val="left"/>
            </w:pPr>
            <w:r>
              <w:t xml:space="preserve">25.60</w:t>
            </w:r>
          </w:p>
        </w:tc>
        <w:tc>
          <w:tcPr/>
          <w:p>
            <w:pPr>
              <w:pStyle w:val="Compact"/>
              <w:jc w:val="left"/>
            </w:pPr>
            <w:hyperlink w:anchor="Xa559bd5247f9128e74e6edcc17de37648e8cde6">
              <w:r>
                <w:rPr>
                  <w:rStyle w:val="Hyperlink"/>
                </w:rPr>
                <w:t xml:space="preserve">Jacobsen 2000</w:t>
              </w:r>
            </w:hyperlink>
          </w:p>
        </w:tc>
        <w:tc>
          <w:tcPr/>
          <w:p>
            <w:pPr>
              <w:pStyle w:val="Compact"/>
              <w:jc w:val="left"/>
            </w:pPr>
            <w:r>
              <w:t xml:space="preserve">CYP3A4 Michaelis-Menten constant</w:t>
            </w:r>
          </w:p>
        </w:tc>
      </w:tr>
      <w:tr>
        <w:tc>
          <w:tcPr/>
          <w:p>
            <w:pPr>
              <w:pStyle w:val="Compact"/>
              <w:jc w:val="left"/>
            </w:pPr>
            <w:r>
              <w:t xml:space="preserve">K</w:t>
            </w:r>
            <w:r>
              <w:rPr>
                <w:vertAlign w:val="subscript"/>
              </w:rPr>
              <w:t xml:space="preserve">m</w:t>
            </w:r>
            <w:r>
              <w:t xml:space="preserve"> </w:t>
            </w:r>
            <w:r>
              <w:t xml:space="preserve">CYP3A5</w:t>
            </w:r>
          </w:p>
        </w:tc>
        <w:tc>
          <w:tcPr/>
          <w:p>
            <w:pPr>
              <w:pStyle w:val="Compact"/>
              <w:jc w:val="left"/>
            </w:pPr>
            <w:r>
              <w:t xml:space="preserve">µmol/L</w:t>
            </w:r>
          </w:p>
        </w:tc>
        <w:tc>
          <w:tcPr/>
          <w:p>
            <w:pPr>
              <w:pStyle w:val="Compact"/>
              <w:jc w:val="left"/>
            </w:pPr>
            <w:r>
              <w:t xml:space="preserve">42.60</w:t>
            </w:r>
          </w:p>
        </w:tc>
        <w:tc>
          <w:tcPr/>
          <w:p>
            <w:pPr>
              <w:pStyle w:val="Compact"/>
              <w:jc w:val="left"/>
            </w:pPr>
            <w:hyperlink w:anchor="Xa559bd5247f9128e74e6edcc17de37648e8cde6">
              <w:r>
                <w:rPr>
                  <w:rStyle w:val="Hyperlink"/>
                </w:rPr>
                <w:t xml:space="preserve">Park 2008</w:t>
              </w:r>
            </w:hyperlink>
          </w:p>
        </w:tc>
        <w:tc>
          <w:tcPr/>
          <w:p>
            <w:pPr>
              <w:pStyle w:val="Compact"/>
              <w:jc w:val="left"/>
            </w:pPr>
            <w:r>
              <w:t xml:space="preserve">CYP3A5 Michaelis-Menten constant</w:t>
            </w:r>
          </w:p>
        </w:tc>
      </w:tr>
      <w:tr>
        <w:tc>
          <w:tcPr/>
          <w:p>
            <w:pPr>
              <w:pStyle w:val="Compact"/>
              <w:jc w:val="left"/>
            </w:pPr>
            <w:r>
              <w:t xml:space="preserve">K</w:t>
            </w:r>
            <w:r>
              <w:rPr>
                <w:vertAlign w:val="subscript"/>
              </w:rPr>
              <w:t xml:space="preserve">m</w:t>
            </w:r>
            <w:r>
              <w:t xml:space="preserve"> </w:t>
            </w:r>
            <w:r>
              <w:t xml:space="preserve">BCRP</w:t>
            </w:r>
          </w:p>
        </w:tc>
        <w:tc>
          <w:tcPr/>
          <w:p>
            <w:pPr>
              <w:pStyle w:val="Compact"/>
              <w:jc w:val="left"/>
            </w:pPr>
            <w:r>
              <w:t xml:space="preserve">µmol/L</w:t>
            </w:r>
          </w:p>
        </w:tc>
        <w:tc>
          <w:tcPr/>
          <w:p>
            <w:pPr>
              <w:pStyle w:val="Compact"/>
              <w:jc w:val="left"/>
            </w:pPr>
            <w:r>
              <w:t xml:space="preserve">82.41</w:t>
            </w:r>
          </w:p>
        </w:tc>
        <w:tc>
          <w:tcPr/>
          <w:p>
            <w:pPr>
              <w:pStyle w:val="Compact"/>
              <w:jc w:val="left"/>
            </w:pPr>
            <w:hyperlink w:anchor="Xa559bd5247f9128e74e6edcc17de37648e8cde6">
              <w:r>
                <w:rPr>
                  <w:rStyle w:val="Hyperlink"/>
                </w:rPr>
                <w:t xml:space="preserve">Deng 2021</w:t>
              </w:r>
            </w:hyperlink>
          </w:p>
        </w:tc>
        <w:tc>
          <w:tcPr/>
          <w:p>
            <w:pPr>
              <w:pStyle w:val="Compact"/>
              <w:jc w:val="left"/>
            </w:pPr>
            <w:r>
              <w:t xml:space="preserve">BCRP Michaelis-Menten constant</w:t>
            </w:r>
          </w:p>
        </w:tc>
      </w:tr>
      <w:tr>
        <w:tc>
          <w:tcPr/>
          <w:p>
            <w:pPr>
              <w:pStyle w:val="Compact"/>
              <w:jc w:val="left"/>
            </w:pPr>
            <w:r>
              <w:t xml:space="preserve">K</w:t>
            </w:r>
            <w:r>
              <w:rPr>
                <w:vertAlign w:val="subscript"/>
              </w:rPr>
              <w:t xml:space="preserve">m</w:t>
            </w:r>
            <w:r>
              <w:t xml:space="preserve"> </w:t>
            </w:r>
            <w:r>
              <w:t xml:space="preserve">OATP1B1/1B3</w:t>
            </w:r>
          </w:p>
        </w:tc>
        <w:tc>
          <w:tcPr/>
          <w:p>
            <w:pPr>
              <w:pStyle w:val="Compact"/>
              <w:jc w:val="left"/>
            </w:pPr>
            <w:r>
              <w:t xml:space="preserve">µmol/L</w:t>
            </w:r>
          </w:p>
        </w:tc>
        <w:tc>
          <w:tcPr/>
          <w:p>
            <w:pPr>
              <w:pStyle w:val="Compact"/>
              <w:jc w:val="left"/>
            </w:pPr>
            <w:r>
              <w:t xml:space="preserve">0.77</w:t>
            </w:r>
          </w:p>
        </w:tc>
        <w:tc>
          <w:tcPr/>
          <w:p>
            <w:pPr>
              <w:pStyle w:val="Compact"/>
              <w:jc w:val="left"/>
            </w:pPr>
            <w:hyperlink w:anchor="Xa559bd5247f9128e74e6edcc17de37648e8cde6">
              <w:r>
                <w:rPr>
                  <w:rStyle w:val="Hyperlink"/>
                </w:rPr>
                <w:t xml:space="preserve">Vildhede 2014</w:t>
              </w:r>
            </w:hyperlink>
          </w:p>
        </w:tc>
        <w:tc>
          <w:tcPr/>
          <w:p>
            <w:pPr>
              <w:pStyle w:val="Compact"/>
              <w:jc w:val="left"/>
            </w:pPr>
            <w:r>
              <w:t xml:space="preserve">OATP1B1/3 Michaelis-Menten constant</w:t>
            </w:r>
          </w:p>
        </w:tc>
      </w:tr>
      <w:tr>
        <w:tc>
          <w:tcPr/>
          <w:p>
            <w:pPr>
              <w:pStyle w:val="Compact"/>
              <w:jc w:val="left"/>
            </w:pPr>
            <w:r>
              <w:t xml:space="preserve">K</w:t>
            </w:r>
            <w:r>
              <w:rPr>
                <w:vertAlign w:val="subscript"/>
              </w:rPr>
              <w:t xml:space="preserve">m</w:t>
            </w:r>
            <w:r>
              <w:t xml:space="preserve"> </w:t>
            </w:r>
            <w:r>
              <w:t xml:space="preserve">P-gp</w:t>
            </w:r>
          </w:p>
        </w:tc>
        <w:tc>
          <w:tcPr/>
          <w:p>
            <w:pPr>
              <w:pStyle w:val="Compact"/>
              <w:jc w:val="left"/>
            </w:pPr>
            <w:r>
              <w:t xml:space="preserve">µmol/L</w:t>
            </w:r>
          </w:p>
        </w:tc>
        <w:tc>
          <w:tcPr/>
          <w:p>
            <w:pPr>
              <w:pStyle w:val="Compact"/>
              <w:jc w:val="left"/>
            </w:pPr>
            <w:r>
              <w:t xml:space="preserve">10.7</w:t>
            </w:r>
          </w:p>
        </w:tc>
        <w:tc>
          <w:tcPr/>
          <w:p>
            <w:pPr>
              <w:pStyle w:val="Compact"/>
              <w:jc w:val="left"/>
            </w:pPr>
            <w:hyperlink w:anchor="Xa559bd5247f9128e74e6edcc17de37648e8cde6">
              <w:r>
                <w:rPr>
                  <w:rStyle w:val="Hyperlink"/>
                </w:rPr>
                <w:t xml:space="preserve">Deng 2021</w:t>
              </w:r>
            </w:hyperlink>
          </w:p>
        </w:tc>
        <w:tc>
          <w:tcPr/>
          <w:p>
            <w:pPr>
              <w:pStyle w:val="Compact"/>
              <w:jc w:val="left"/>
            </w:pPr>
            <w:r>
              <w:t xml:space="preserve">P-gp Michaelis-Menten constant</w:t>
            </w:r>
          </w:p>
        </w:tc>
      </w:tr>
      <w:tr>
        <w:tc>
          <w:tcPr/>
          <w:p>
            <w:pPr>
              <w:pStyle w:val="Compact"/>
              <w:jc w:val="left"/>
            </w:pPr>
            <w:r>
              <w:t xml:space="preserve">Formulation</w:t>
            </w:r>
          </w:p>
        </w:tc>
        <w:tc>
          <w:tcPr/>
          <w:p>
            <w:pPr>
              <w:pStyle w:val="Compact"/>
            </w:pPr>
          </w:p>
        </w:tc>
        <w:tc>
          <w:tcPr/>
          <w:p>
            <w:pPr>
              <w:pStyle w:val="Compact"/>
              <w:jc w:val="left"/>
            </w:pPr>
            <w:r>
              <w:t xml:space="preserve">Solution</w:t>
            </w:r>
          </w:p>
        </w:tc>
        <w:tc>
          <w:tcPr/>
          <w:p>
            <w:pPr>
              <w:pStyle w:val="Compact"/>
            </w:pPr>
          </w:p>
        </w:tc>
        <w:tc>
          <w:tcPr/>
          <w:p>
            <w:pPr>
              <w:pStyle w:val="Compact"/>
              <w:jc w:val="left"/>
            </w:pPr>
            <w:r>
              <w:t xml:space="preserve">Formulation used in simulations</w:t>
            </w:r>
          </w:p>
        </w:tc>
      </w:tr>
    </w:tbl>
    <w:bookmarkEnd w:id="22"/>
    <w:bookmarkStart w:id="23" w:name="clinical-data"/>
    <w:p>
      <w:pPr>
        <w:pStyle w:val="Heading3"/>
      </w:pPr>
      <w:r>
        <w:t xml:space="preserve">2.2.2 Clinical data</w:t>
      </w:r>
    </w:p>
    <w:p>
      <w:pPr>
        <w:pStyle w:val="FirstParagraph"/>
      </w:pPr>
      <w:r>
        <w:t xml:space="preserve">A literature search was performed to collect available clinical data on atorvastatin acid in adults.</w:t>
      </w:r>
    </w:p>
    <w:p>
      <w:pPr>
        <w:pStyle w:val="BodyText"/>
      </w:pPr>
      <w:r>
        <w:t xml:space="preserve">The following publications were found in adults for model building:</w:t>
      </w:r>
    </w:p>
    <w:tbl>
      <w:tblPr>
        <w:tblStyle w:val="Table"/>
        <w:tblW w:type="pct" w:w="5000"/>
        <w:tblLook w:firstRow="1" w:lastRow="0" w:firstColumn="0" w:lastColumn="0" w:noHBand="0" w:noVBand="0" w:val="0020"/>
        <w:jc w:val="start"/>
      </w:tblPr>
      <w:tblGrid>
        <w:gridCol w:w="2698"/>
        <w:gridCol w:w="5221"/>
      </w:tblGrid>
      <w:tr>
        <w:trPr>
          <w:tblHeader w:val="true"/>
        </w:trPr>
        <w:tc>
          <w:tcPr/>
          <w:p>
            <w:pPr>
              <w:pStyle w:val="Compact"/>
              <w:jc w:val="left"/>
            </w:pPr>
            <w:r>
              <w:t xml:space="preserve">Publication</w:t>
            </w:r>
          </w:p>
        </w:tc>
        <w:tc>
          <w:tcPr/>
          <w:p>
            <w:pPr>
              <w:pStyle w:val="Compact"/>
              <w:jc w:val="left"/>
            </w:pPr>
            <w:r>
              <w:t xml:space="preserve">Arm / Treatment / Information used for model building</w:t>
            </w:r>
          </w:p>
        </w:tc>
      </w:tr>
      <w:tr>
        <w:tc>
          <w:tcPr/>
          <w:p>
            <w:pPr>
              <w:pStyle w:val="Compact"/>
              <w:jc w:val="left"/>
            </w:pPr>
            <w:hyperlink w:anchor="Xa559bd5247f9128e74e6edcc17de37648e8cde6">
              <w:r>
                <w:rPr>
                  <w:rStyle w:val="Hyperlink"/>
                </w:rPr>
                <w:t xml:space="preserve">Gandelman 2011</w:t>
              </w:r>
            </w:hyperlink>
          </w:p>
        </w:tc>
        <w:tc>
          <w:tcPr/>
          <w:p>
            <w:pPr>
              <w:pStyle w:val="Compact"/>
              <w:jc w:val="left"/>
            </w:pPr>
            <w:r>
              <w:t xml:space="preserve">Plasma PK profile in healthy subjects after single oral administration of 10 mg atorvastatin acid (study A</w:t>
            </w:r>
            <w:r>
              <w:rPr>
                <w:vertAlign w:val="superscript"/>
              </w:rPr>
              <w:t xml:space="preserve">a</w:t>
            </w:r>
            <w:r>
              <w:t xml:space="preserve">)</w:t>
            </w:r>
          </w:p>
        </w:tc>
      </w:tr>
      <w:tr>
        <w:tc>
          <w:tcPr/>
          <w:p>
            <w:pPr>
              <w:pStyle w:val="Compact"/>
              <w:jc w:val="left"/>
            </w:pPr>
            <w:hyperlink w:anchor="Xa559bd5247f9128e74e6edcc17de37648e8cde6">
              <w:r>
                <w:rPr>
                  <w:rStyle w:val="Hyperlink"/>
                </w:rPr>
                <w:t xml:space="preserve">Bullman 2011</w:t>
              </w:r>
            </w:hyperlink>
          </w:p>
        </w:tc>
        <w:tc>
          <w:tcPr/>
          <w:p>
            <w:pPr>
              <w:pStyle w:val="Compact"/>
              <w:jc w:val="left"/>
            </w:pPr>
            <w:r>
              <w:t xml:space="preserve">Plasma PK profile in healthy subjects after multiple oral administrations of 40 mg atorvastatin acid (once daily for 7 days, control of DDI with phenytoin)</w:t>
            </w:r>
          </w:p>
        </w:tc>
      </w:tr>
      <w:tr>
        <w:tc>
          <w:tcPr/>
          <w:p>
            <w:pPr>
              <w:pStyle w:val="Compact"/>
              <w:jc w:val="left"/>
            </w:pPr>
            <w:hyperlink w:anchor="Xa559bd5247f9128e74e6edcc17de37648e8cde6">
              <w:r>
                <w:rPr>
                  <w:rStyle w:val="Hyperlink"/>
                </w:rPr>
                <w:t xml:space="preserve">Backman 2005</w:t>
              </w:r>
            </w:hyperlink>
          </w:p>
        </w:tc>
        <w:tc>
          <w:tcPr/>
          <w:p>
            <w:pPr>
              <w:pStyle w:val="Compact"/>
              <w:jc w:val="left"/>
            </w:pPr>
            <w:r>
              <w:t xml:space="preserve">Plasma PK profile in healthy subjects after single oral administration of 20 mg atorvastatin acid (control of gemfibrozil DDI)</w:t>
            </w:r>
          </w:p>
        </w:tc>
      </w:tr>
      <w:tr>
        <w:tc>
          <w:tcPr/>
          <w:p>
            <w:pPr>
              <w:pStyle w:val="Compact"/>
              <w:jc w:val="left"/>
            </w:pPr>
            <w:hyperlink w:anchor="Xa559bd5247f9128e74e6edcc17de37648e8cde6">
              <w:r>
                <w:rPr>
                  <w:rStyle w:val="Hyperlink"/>
                </w:rPr>
                <w:t xml:space="preserve">Kantola 1998</w:t>
              </w:r>
            </w:hyperlink>
          </w:p>
        </w:tc>
        <w:tc>
          <w:tcPr/>
          <w:p>
            <w:pPr>
              <w:pStyle w:val="Compact"/>
              <w:jc w:val="left"/>
            </w:pPr>
            <w:r>
              <w:t xml:space="preserve">Plasma PK profile in healthy subjects after single oral administration of 40 mg atorvastatin acid (control of itraconazole DDI)</w:t>
            </w:r>
          </w:p>
        </w:tc>
      </w:tr>
      <w:tr>
        <w:tc>
          <w:tcPr/>
          <w:p>
            <w:pPr>
              <w:pStyle w:val="Compact"/>
              <w:jc w:val="left"/>
            </w:pPr>
            <w:hyperlink w:anchor="Xa559bd5247f9128e74e6edcc17de37648e8cde6">
              <w:r>
                <w:rPr>
                  <w:rStyle w:val="Hyperlink"/>
                </w:rPr>
                <w:t xml:space="preserve">Kantola 1998</w:t>
              </w:r>
            </w:hyperlink>
          </w:p>
        </w:tc>
        <w:tc>
          <w:tcPr/>
          <w:p>
            <w:pPr>
              <w:pStyle w:val="Compact"/>
              <w:jc w:val="left"/>
            </w:pPr>
            <w:r>
              <w:t xml:space="preserve">Plasma PK profile in healthy subjects after multiple oral administrations of 200 mg itraconazole (once daily for 4 days) and on day 4 together with a single oral administration of 40 mg atorvastatin acid (itraconazole DDI)</w:t>
            </w:r>
          </w:p>
        </w:tc>
      </w:tr>
      <w:tr>
        <w:tc>
          <w:tcPr/>
          <w:p>
            <w:pPr>
              <w:pStyle w:val="Compact"/>
              <w:jc w:val="left"/>
            </w:pPr>
            <w:hyperlink w:anchor="Xa559bd5247f9128e74e6edcc17de37648e8cde6">
              <w:r>
                <w:rPr>
                  <w:rStyle w:val="Hyperlink"/>
                </w:rPr>
                <w:t xml:space="preserve">Lau 2007</w:t>
              </w:r>
            </w:hyperlink>
          </w:p>
        </w:tc>
        <w:tc>
          <w:tcPr/>
          <w:p>
            <w:pPr>
              <w:pStyle w:val="Compact"/>
              <w:jc w:val="left"/>
            </w:pPr>
            <w:r>
              <w:t xml:space="preserve">Plasma PK profile in healthy subjects after single oral administration of 40 mg atorvastatin acid, preceded by 30 minutes infusion of 600 mg rifampicin (rifampicin DDI)</w:t>
            </w:r>
          </w:p>
        </w:tc>
      </w:tr>
      <w:tr>
        <w:tc>
          <w:tcPr/>
          <w:p>
            <w:pPr>
              <w:pStyle w:val="Compact"/>
              <w:jc w:val="left"/>
            </w:pPr>
            <w:hyperlink w:anchor="Xa559bd5247f9128e74e6edcc17de37648e8cde6">
              <w:r>
                <w:rPr>
                  <w:rStyle w:val="Hyperlink"/>
                </w:rPr>
                <w:t xml:space="preserve">Teng 2013</w:t>
              </w:r>
            </w:hyperlink>
          </w:p>
        </w:tc>
        <w:tc>
          <w:tcPr/>
          <w:p>
            <w:pPr>
              <w:pStyle w:val="Compact"/>
              <w:jc w:val="left"/>
            </w:pPr>
            <w:r>
              <w:t xml:space="preserve">Plasma PK profile in healthy subjects after single oral administration of 80 mg atorvastatin acid</w:t>
            </w:r>
          </w:p>
        </w:tc>
      </w:tr>
    </w:tbl>
    <w:p>
      <w:pPr>
        <w:pStyle w:val="BodyText"/>
      </w:pPr>
      <w:r>
        <w:t xml:space="preserve">The following dosing scenarios were simulated and compared to respective data for model verification:</w:t>
      </w:r>
    </w:p>
    <w:tbl>
      <w:tblPr>
        <w:tblStyle w:val="Table"/>
        <w:tblW w:type="pct" w:w="5000"/>
        <w:tblLook w:firstRow="1" w:lastRow="0" w:firstColumn="0" w:lastColumn="0" w:noHBand="0" w:noVBand="0" w:val="0020"/>
        <w:jc w:val="start"/>
      </w:tblPr>
      <w:tblGrid>
        <w:gridCol w:w="4898"/>
        <w:gridCol w:w="3021"/>
      </w:tblGrid>
      <w:tr>
        <w:trPr>
          <w:tblHeader w:val="true"/>
        </w:trPr>
        <w:tc>
          <w:tcPr/>
          <w:p>
            <w:pPr>
              <w:pStyle w:val="Compact"/>
              <w:jc w:val="left"/>
            </w:pPr>
            <w:r>
              <w:t xml:space="preserve">Scenario</w:t>
            </w:r>
          </w:p>
        </w:tc>
        <w:tc>
          <w:tcPr/>
          <w:p>
            <w:pPr>
              <w:pStyle w:val="Compact"/>
              <w:jc w:val="left"/>
            </w:pPr>
            <w:r>
              <w:t xml:space="preserve">Data reference</w:t>
            </w:r>
          </w:p>
        </w:tc>
      </w:tr>
      <w:tr>
        <w:tc>
          <w:tcPr/>
          <w:p>
            <w:pPr>
              <w:pStyle w:val="Compact"/>
              <w:jc w:val="left"/>
            </w:pPr>
            <w:r>
              <w:t xml:space="preserve">single oral administration of 1 mg atorvastatin acid (control of rifampicin DDI)</w:t>
            </w:r>
          </w:p>
        </w:tc>
        <w:tc>
          <w:tcPr/>
          <w:p>
            <w:pPr>
              <w:pStyle w:val="Compact"/>
              <w:jc w:val="left"/>
            </w:pPr>
            <w:hyperlink w:anchor="Xa559bd5247f9128e74e6edcc17de37648e8cde6">
              <w:r>
                <w:rPr>
                  <w:rStyle w:val="Hyperlink"/>
                </w:rPr>
                <w:t xml:space="preserve">Mori 2020</w:t>
              </w:r>
            </w:hyperlink>
          </w:p>
        </w:tc>
      </w:tr>
      <w:tr>
        <w:tc>
          <w:tcPr/>
          <w:p>
            <w:pPr>
              <w:pStyle w:val="Compact"/>
              <w:jc w:val="left"/>
            </w:pPr>
            <w:r>
              <w:t xml:space="preserve">single oral administration of 1 mg atorvastatin acid (control of rifampicin DDI)</w:t>
            </w:r>
          </w:p>
        </w:tc>
        <w:tc>
          <w:tcPr/>
          <w:p>
            <w:pPr>
              <w:pStyle w:val="Compact"/>
              <w:jc w:val="left"/>
            </w:pPr>
            <w:hyperlink w:anchor="Xa559bd5247f9128e74e6edcc17de37648e8cde6">
              <w:r>
                <w:rPr>
                  <w:rStyle w:val="Hyperlink"/>
                </w:rPr>
                <w:t xml:space="preserve">Takehara 2018</w:t>
              </w:r>
            </w:hyperlink>
          </w:p>
        </w:tc>
      </w:tr>
      <w:tr>
        <w:tc>
          <w:tcPr/>
          <w:p>
            <w:pPr>
              <w:pStyle w:val="Compact"/>
              <w:jc w:val="left"/>
            </w:pPr>
            <w:r>
              <w:t xml:space="preserve">single oral administration of 10 mg atorvastatin acid (study C</w:t>
            </w:r>
            <w:r>
              <w:rPr>
                <w:vertAlign w:val="superscript"/>
              </w:rPr>
              <w:t xml:space="preserve">a</w:t>
            </w:r>
            <w:r>
              <w:t xml:space="preserve">)</w:t>
            </w:r>
          </w:p>
        </w:tc>
        <w:tc>
          <w:tcPr/>
          <w:p>
            <w:pPr>
              <w:pStyle w:val="Compact"/>
              <w:jc w:val="left"/>
            </w:pPr>
            <w:hyperlink w:anchor="Xa559bd5247f9128e74e6edcc17de37648e8cde6">
              <w:r>
                <w:rPr>
                  <w:rStyle w:val="Hyperlink"/>
                </w:rPr>
                <w:t xml:space="preserve">Gandelman 2011</w:t>
              </w:r>
            </w:hyperlink>
          </w:p>
        </w:tc>
      </w:tr>
      <w:tr>
        <w:tc>
          <w:tcPr/>
          <w:p>
            <w:pPr>
              <w:pStyle w:val="Compact"/>
              <w:jc w:val="left"/>
            </w:pPr>
            <w:r>
              <w:t xml:space="preserve">single oral administration of 10 mg atorvastatin acid (control of erythromycin DDI)</w:t>
            </w:r>
          </w:p>
        </w:tc>
        <w:tc>
          <w:tcPr/>
          <w:p>
            <w:pPr>
              <w:pStyle w:val="Compact"/>
              <w:jc w:val="left"/>
            </w:pPr>
            <w:hyperlink w:anchor="Xa559bd5247f9128e74e6edcc17de37648e8cde6">
              <w:r>
                <w:rPr>
                  <w:rStyle w:val="Hyperlink"/>
                </w:rPr>
                <w:t xml:space="preserve">Siedlik 1999</w:t>
              </w:r>
            </w:hyperlink>
          </w:p>
        </w:tc>
      </w:tr>
      <w:tr>
        <w:tc>
          <w:tcPr/>
          <w:p>
            <w:pPr>
              <w:pStyle w:val="Compact"/>
              <w:jc w:val="left"/>
            </w:pPr>
            <w:r>
              <w:t xml:space="preserve">single oral administration of 20 mg atorvastatin acid (control of itraconazole DDI)</w:t>
            </w:r>
          </w:p>
        </w:tc>
        <w:tc>
          <w:tcPr/>
          <w:p>
            <w:pPr>
              <w:pStyle w:val="Compact"/>
              <w:jc w:val="left"/>
            </w:pPr>
            <w:hyperlink w:anchor="Xa559bd5247f9128e74e6edcc17de37648e8cde6">
              <w:r>
                <w:rPr>
                  <w:rStyle w:val="Hyperlink"/>
                </w:rPr>
                <w:t xml:space="preserve">Mazzu 2020</w:t>
              </w:r>
            </w:hyperlink>
          </w:p>
        </w:tc>
      </w:tr>
      <w:tr>
        <w:tc>
          <w:tcPr/>
          <w:p>
            <w:pPr>
              <w:pStyle w:val="Compact"/>
              <w:jc w:val="left"/>
            </w:pPr>
            <w:r>
              <w:t xml:space="preserve">single oral administration of 20 mg atorvastatin acid</w:t>
            </w:r>
          </w:p>
        </w:tc>
        <w:tc>
          <w:tcPr/>
          <w:p>
            <w:pPr>
              <w:pStyle w:val="Compact"/>
              <w:jc w:val="left"/>
            </w:pPr>
            <w:hyperlink w:anchor="Xa559bd5247f9128e74e6edcc17de37648e8cde6">
              <w:r>
                <w:rPr>
                  <w:rStyle w:val="Hyperlink"/>
                </w:rPr>
                <w:t xml:space="preserve">Patiño-Rodríguez 2015</w:t>
              </w:r>
            </w:hyperlink>
          </w:p>
        </w:tc>
      </w:tr>
      <w:tr>
        <w:tc>
          <w:tcPr/>
          <w:p>
            <w:pPr>
              <w:pStyle w:val="Compact"/>
              <w:jc w:val="left"/>
            </w:pPr>
            <w:r>
              <w:t xml:space="preserve">single oral administration of 20 mg atorvastatin acid (control of clarithromycin DDI in the CYP3A5 expressor group)</w:t>
            </w:r>
          </w:p>
        </w:tc>
        <w:tc>
          <w:tcPr/>
          <w:p>
            <w:pPr>
              <w:pStyle w:val="Compact"/>
              <w:jc w:val="left"/>
            </w:pPr>
            <w:hyperlink w:anchor="Xa559bd5247f9128e74e6edcc17de37648e8cde6">
              <w:r>
                <w:rPr>
                  <w:rStyle w:val="Hyperlink"/>
                </w:rPr>
                <w:t xml:space="preserve">Shin 2011</w:t>
              </w:r>
            </w:hyperlink>
          </w:p>
        </w:tc>
      </w:tr>
      <w:tr>
        <w:tc>
          <w:tcPr/>
          <w:p>
            <w:pPr>
              <w:pStyle w:val="Compact"/>
              <w:jc w:val="left"/>
            </w:pPr>
            <w:r>
              <w:t xml:space="preserve">single oral administration of 20 mg atorvastatin acid (control of clarithromycin DDI in the CYP3A5 non-expressor group)</w:t>
            </w:r>
          </w:p>
        </w:tc>
        <w:tc>
          <w:tcPr/>
          <w:p>
            <w:pPr>
              <w:pStyle w:val="Compact"/>
              <w:jc w:val="left"/>
            </w:pPr>
            <w:hyperlink w:anchor="Xa559bd5247f9128e74e6edcc17de37648e8cde6">
              <w:r>
                <w:rPr>
                  <w:rStyle w:val="Hyperlink"/>
                </w:rPr>
                <w:t xml:space="preserve">Shin 2011</w:t>
              </w:r>
            </w:hyperlink>
          </w:p>
        </w:tc>
      </w:tr>
      <w:tr>
        <w:tc>
          <w:tcPr/>
          <w:p>
            <w:pPr>
              <w:pStyle w:val="Compact"/>
              <w:jc w:val="left"/>
            </w:pPr>
            <w:r>
              <w:t xml:space="preserve">single oral administration of 40 mg atorvastatin acid (control of rifampicin DDI)</w:t>
            </w:r>
          </w:p>
        </w:tc>
        <w:tc>
          <w:tcPr/>
          <w:p>
            <w:pPr>
              <w:pStyle w:val="Compact"/>
              <w:jc w:val="left"/>
            </w:pPr>
            <w:hyperlink w:anchor="Xa559bd5247f9128e74e6edcc17de37648e8cde6">
              <w:r>
                <w:rPr>
                  <w:rStyle w:val="Hyperlink"/>
                </w:rPr>
                <w:t xml:space="preserve">Backman 2005</w:t>
              </w:r>
            </w:hyperlink>
          </w:p>
        </w:tc>
      </w:tr>
      <w:tr>
        <w:tc>
          <w:tcPr/>
          <w:p>
            <w:pPr>
              <w:pStyle w:val="Compact"/>
              <w:jc w:val="left"/>
            </w:pPr>
            <w:r>
              <w:t xml:space="preserve">single oral administration of 40 mg atorvastatin acid (control of gemfibrozil DDI)</w:t>
            </w:r>
          </w:p>
        </w:tc>
        <w:tc>
          <w:tcPr/>
          <w:p>
            <w:pPr>
              <w:pStyle w:val="Compact"/>
              <w:jc w:val="left"/>
            </w:pPr>
            <w:hyperlink w:anchor="Xa559bd5247f9128e74e6edcc17de37648e8cde6">
              <w:r>
                <w:rPr>
                  <w:rStyle w:val="Hyperlink"/>
                </w:rPr>
                <w:t xml:space="preserve">Whitfield 2011</w:t>
              </w:r>
            </w:hyperlink>
          </w:p>
        </w:tc>
      </w:tr>
      <w:tr>
        <w:tc>
          <w:tcPr/>
          <w:p>
            <w:pPr>
              <w:pStyle w:val="Compact"/>
              <w:jc w:val="left"/>
            </w:pPr>
            <w:r>
              <w:t xml:space="preserve">multiple oral administrations of 40 mg atorvastatin acid (once daily for 7 days)</w:t>
            </w:r>
          </w:p>
        </w:tc>
        <w:tc>
          <w:tcPr/>
          <w:p>
            <w:pPr>
              <w:pStyle w:val="Compact"/>
              <w:jc w:val="left"/>
            </w:pPr>
            <w:hyperlink w:anchor="Xa559bd5247f9128e74e6edcc17de37648e8cde6">
              <w:r>
                <w:rPr>
                  <w:rStyle w:val="Hyperlink"/>
                </w:rPr>
                <w:t xml:space="preserve">Bullman 2011</w:t>
              </w:r>
            </w:hyperlink>
          </w:p>
        </w:tc>
      </w:tr>
      <w:tr>
        <w:tc>
          <w:tcPr/>
          <w:p>
            <w:pPr>
              <w:pStyle w:val="Compact"/>
              <w:jc w:val="left"/>
            </w:pPr>
            <w:r>
              <w:t xml:space="preserve">single oral administration of 40 mg atorvastatin acid (control of rifampicin DDI)</w:t>
            </w:r>
          </w:p>
        </w:tc>
        <w:tc>
          <w:tcPr/>
          <w:p>
            <w:pPr>
              <w:pStyle w:val="Compact"/>
              <w:jc w:val="left"/>
            </w:pPr>
            <w:hyperlink w:anchor="Xa559bd5247f9128e74e6edcc17de37648e8cde6">
              <w:r>
                <w:rPr>
                  <w:rStyle w:val="Hyperlink"/>
                </w:rPr>
                <w:t xml:space="preserve">Lau 2007</w:t>
              </w:r>
            </w:hyperlink>
          </w:p>
        </w:tc>
      </w:tr>
      <w:tr>
        <w:tc>
          <w:tcPr/>
          <w:p>
            <w:pPr>
              <w:pStyle w:val="Compact"/>
              <w:jc w:val="left"/>
            </w:pPr>
            <w:r>
              <w:t xml:space="preserve">multiple oral administrations of 80 mg atorvastatin acid (once daily for 14 days)</w:t>
            </w:r>
          </w:p>
        </w:tc>
        <w:tc>
          <w:tcPr/>
          <w:p>
            <w:pPr>
              <w:pStyle w:val="Compact"/>
              <w:jc w:val="left"/>
            </w:pPr>
            <w:hyperlink w:anchor="Xa559bd5247f9128e74e6edcc17de37648e8cde6">
              <w:r>
                <w:rPr>
                  <w:rStyle w:val="Hyperlink"/>
                </w:rPr>
                <w:t xml:space="preserve">Di Spirito 2008</w:t>
              </w:r>
            </w:hyperlink>
          </w:p>
        </w:tc>
      </w:tr>
      <w:tr>
        <w:tc>
          <w:tcPr/>
          <w:p>
            <w:pPr>
              <w:pStyle w:val="Compact"/>
              <w:jc w:val="left"/>
            </w:pPr>
            <w:r>
              <w:t xml:space="preserve">single oral administration of 80 mg atorvastatin acid (study B</w:t>
            </w:r>
            <w:r>
              <w:rPr>
                <w:vertAlign w:val="superscript"/>
              </w:rPr>
              <w:t xml:space="preserve">a</w:t>
            </w:r>
            <w:r>
              <w:t xml:space="preserve">)</w:t>
            </w:r>
          </w:p>
        </w:tc>
        <w:tc>
          <w:tcPr/>
          <w:p>
            <w:pPr>
              <w:pStyle w:val="Compact"/>
              <w:jc w:val="left"/>
            </w:pPr>
            <w:hyperlink w:anchor="Xa559bd5247f9128e74e6edcc17de37648e8cde6">
              <w:r>
                <w:rPr>
                  <w:rStyle w:val="Hyperlink"/>
                </w:rPr>
                <w:t xml:space="preserve">Gandelman 2011</w:t>
              </w:r>
            </w:hyperlink>
          </w:p>
        </w:tc>
      </w:tr>
      <w:tr>
        <w:tc>
          <w:tcPr/>
          <w:p>
            <w:pPr>
              <w:pStyle w:val="Compact"/>
              <w:jc w:val="left"/>
            </w:pPr>
            <w:r>
              <w:t xml:space="preserve">single oral administration of 80 mg atorvastatin acid (study D</w:t>
            </w:r>
            <w:r>
              <w:rPr>
                <w:vertAlign w:val="superscript"/>
              </w:rPr>
              <w:t xml:space="preserve">a</w:t>
            </w:r>
            <w:r>
              <w:t xml:space="preserve">)</w:t>
            </w:r>
          </w:p>
        </w:tc>
        <w:tc>
          <w:tcPr/>
          <w:p>
            <w:pPr>
              <w:pStyle w:val="Compact"/>
              <w:jc w:val="left"/>
            </w:pPr>
            <w:hyperlink w:anchor="Xa559bd5247f9128e74e6edcc17de37648e8cde6">
              <w:r>
                <w:rPr>
                  <w:rStyle w:val="Hyperlink"/>
                </w:rPr>
                <w:t xml:space="preserve">Gandelman 2011</w:t>
              </w:r>
            </w:hyperlink>
          </w:p>
        </w:tc>
      </w:tr>
      <w:tr>
        <w:tc>
          <w:tcPr/>
          <w:p>
            <w:pPr>
              <w:pStyle w:val="Compact"/>
              <w:jc w:val="left"/>
            </w:pPr>
            <w:r>
              <w:t xml:space="preserve">single oral administration of 80 mg atorvastatin acid (CYP3A5 normal metabolizer)</w:t>
            </w:r>
          </w:p>
        </w:tc>
        <w:tc>
          <w:tcPr/>
          <w:p>
            <w:pPr>
              <w:pStyle w:val="Compact"/>
              <w:jc w:val="left"/>
            </w:pPr>
            <w:hyperlink w:anchor="Xa559bd5247f9128e74e6edcc17de37648e8cde6">
              <w:r>
                <w:rPr>
                  <w:rStyle w:val="Hyperlink"/>
                </w:rPr>
                <w:t xml:space="preserve">Park 2022</w:t>
              </w:r>
            </w:hyperlink>
          </w:p>
        </w:tc>
      </w:tr>
      <w:tr>
        <w:tc>
          <w:tcPr/>
          <w:p>
            <w:pPr>
              <w:pStyle w:val="Compact"/>
              <w:jc w:val="left"/>
            </w:pPr>
            <w:r>
              <w:t xml:space="preserve">single oral administration of 80 mg atorvastatin acid (CYP3A5 intermediate metabolizer)</w:t>
            </w:r>
          </w:p>
        </w:tc>
        <w:tc>
          <w:tcPr/>
          <w:p>
            <w:pPr>
              <w:pStyle w:val="Compact"/>
              <w:jc w:val="left"/>
            </w:pPr>
            <w:hyperlink w:anchor="Xa559bd5247f9128e74e6edcc17de37648e8cde6">
              <w:r>
                <w:rPr>
                  <w:rStyle w:val="Hyperlink"/>
                </w:rPr>
                <w:t xml:space="preserve">Park 2022</w:t>
              </w:r>
            </w:hyperlink>
          </w:p>
        </w:tc>
      </w:tr>
      <w:tr>
        <w:tc>
          <w:tcPr/>
          <w:p>
            <w:pPr>
              <w:pStyle w:val="Compact"/>
              <w:jc w:val="left"/>
            </w:pPr>
            <w:r>
              <w:t xml:space="preserve">single oral administration of 80 mg atorvastatin acid (CYP3A5 poor metabolizer)</w:t>
            </w:r>
          </w:p>
        </w:tc>
        <w:tc>
          <w:tcPr/>
          <w:p>
            <w:pPr>
              <w:pStyle w:val="Compact"/>
              <w:jc w:val="left"/>
            </w:pPr>
            <w:hyperlink w:anchor="Xa559bd5247f9128e74e6edcc17de37648e8cde6">
              <w:r>
                <w:rPr>
                  <w:rStyle w:val="Hyperlink"/>
                </w:rPr>
                <w:t xml:space="preserve">Park 2022</w:t>
              </w:r>
            </w:hyperlink>
          </w:p>
        </w:tc>
      </w:tr>
    </w:tbl>
    <w:p>
      <w:pPr>
        <w:pStyle w:val="BodyText"/>
      </w:pPr>
      <w:r>
        <w:rPr>
          <w:vertAlign w:val="superscript"/>
        </w:rPr>
        <w:t xml:space="preserve">a</w:t>
      </w:r>
      <w:r>
        <w:t xml:space="preserve"> </w:t>
      </w:r>
      <w:r>
        <w:t xml:space="preserve">In the study by</w:t>
      </w:r>
      <w:r>
        <w:t xml:space="preserve"> </w:t>
      </w:r>
      <w:hyperlink w:anchor="Xa559bd5247f9128e74e6edcc17de37648e8cde6">
        <w:r>
          <w:rPr>
            <w:rStyle w:val="Hyperlink"/>
          </w:rPr>
          <w:t xml:space="preserve">Gandelman 2011</w:t>
        </w:r>
      </w:hyperlink>
      <w:r>
        <w:t xml:space="preserve">, a small tablet formulation (1x10 mg in study A and 1x80 mg in study B) and a chewable tablet</w:t>
      </w:r>
      <w:r>
        <w:t xml:space="preserve"> </w:t>
      </w:r>
      <w:r>
        <w:t xml:space="preserve">formulation (1x10 mg in study C and 1x80 mg in study D) was tested in two single-dose bioequivalent studies (10 mg and</w:t>
      </w:r>
      <w:r>
        <w:t xml:space="preserve"> </w:t>
      </w:r>
      <w:r>
        <w:t xml:space="preserve">80 mg). Only the plasma profiles of the reference product in each study were digitized.</w:t>
      </w:r>
    </w:p>
    <w:bookmarkEnd w:id="23"/>
    <w:bookmarkEnd w:id="24"/>
    <w:bookmarkStart w:id="29" w:name="model-parameters-and-assumptions"/>
    <w:p>
      <w:pPr>
        <w:pStyle w:val="Heading2"/>
      </w:pPr>
      <w:r>
        <w:t xml:space="preserve">Model parameters and assumptions</w:t>
      </w:r>
      <w:bookmarkStart w:id="23" w:name="23"/>
      <w:bookmarkEnd w:id="23"/>
    </w:p>
    <w:bookmarkStart w:id="25" w:name="absorption"/>
    <w:p>
      <w:pPr>
        <w:pStyle w:val="Heading3"/>
      </w:pPr>
      <w:r>
        <w:t xml:space="preserve">2.3.1 Absorption</w:t>
      </w:r>
    </w:p>
    <w:p>
      <w:pPr>
        <w:pStyle w:val="FirstParagraph"/>
      </w:pPr>
      <w:r>
        <w:t xml:space="preserve">A parameter value for</w:t>
      </w:r>
      <w:r>
        <w:t xml:space="preserve"> </w:t>
      </w:r>
      <w:r>
        <w:rPr>
          <w:rStyle w:val="VerbatimChar"/>
        </w:rPr>
        <w:t xml:space="preserve">Specific intestinal permeability</w:t>
      </w:r>
      <w:r>
        <w:t xml:space="preserve"> </w:t>
      </w:r>
      <w:r>
        <w:t xml:space="preserve">and a measured solubility at pH=6 sourced from the literature were incorporated into the model (see</w:t>
      </w:r>
      <w:r>
        <w:t xml:space="preserve"> </w:t>
      </w:r>
      <w:hyperlink w:anchor="X873f1d933aeea7d4aa146491e21cc3be56dfc99">
        <w:r>
          <w:rPr>
            <w:rStyle w:val="Hyperlink"/>
          </w:rPr>
          <w:t xml:space="preserve">Section 2.2.1</w:t>
        </w:r>
      </w:hyperlink>
      <w:r>
        <w:t xml:space="preserve">). Additionally, a solution formulation was selected (see</w:t>
      </w:r>
      <w:r>
        <w:t xml:space="preserve"> </w:t>
      </w:r>
      <w:hyperlink w:anchor="X873f1d933aeea7d4aa146491e21cc3be56dfc99">
        <w:r>
          <w:rPr>
            <w:rStyle w:val="Hyperlink"/>
          </w:rPr>
          <w:t xml:space="preserve">Section 2.2.1</w:t>
        </w:r>
      </w:hyperlink>
      <w:r>
        <w:t xml:space="preserve">).</w:t>
      </w:r>
    </w:p>
    <w:bookmarkEnd w:id="25"/>
    <w:bookmarkStart w:id="26" w:name="distribution"/>
    <w:p>
      <w:pPr>
        <w:pStyle w:val="Heading3"/>
      </w:pPr>
      <w:r>
        <w:t xml:space="preserve">2.3.2 Distribution</w:t>
      </w:r>
    </w:p>
    <w:p>
      <w:pPr>
        <w:pStyle w:val="FirstParagraph"/>
      </w:pPr>
      <w:r>
        <w:t xml:space="preserve">Atorvastatin acid is highly bound to plasma proteins (approx. 94.9%) (see</w:t>
      </w:r>
      <w:r>
        <w:t xml:space="preserve"> </w:t>
      </w:r>
      <w:hyperlink w:anchor="X873f1d933aeea7d4aa146491e21cc3be56dfc99">
        <w:r>
          <w:rPr>
            <w:rStyle w:val="Hyperlink"/>
          </w:rPr>
          <w:t xml:space="preserve">Section 2.2.1</w:t>
        </w:r>
      </w:hyperlink>
      <w:r>
        <w:t xml:space="preserve">). A value of 5.10% was used in the PBPK model for</w:t>
      </w:r>
      <w:r>
        <w:t xml:space="preserve"> </w:t>
      </w:r>
      <w:r>
        <w:rPr>
          <w:rStyle w:val="VerbatimChar"/>
        </w:rPr>
        <w:t xml:space="preserve">Fraction unbound (plasma, reference value)</w:t>
      </w:r>
      <w:r>
        <w:t xml:space="preserve">. The major binding partner was set to albumin (see</w:t>
      </w:r>
      <w:r>
        <w:t xml:space="preserve"> </w:t>
      </w:r>
      <w:hyperlink w:anchor="X873f1d933aeea7d4aa146491e21cc3be56dfc99">
        <w:r>
          <w:rPr>
            <w:rStyle w:val="Hyperlink"/>
          </w:rPr>
          <w:t xml:space="preserve">Section 2.2.1</w:t>
        </w:r>
      </w:hyperlink>
      <w:r>
        <w:t xml:space="preserve">).</w:t>
      </w:r>
    </w:p>
    <w:p>
      <w:pPr>
        <w:pStyle w:val="BodyText"/>
      </w:pPr>
      <w:r>
        <w:t xml:space="preserve">An important parameter influencing the resulting volume of distribution is lipophilicity. The reported literature logP value of 4.07 was used in the model (see</w:t>
      </w:r>
      <w:r>
        <w:t xml:space="preserve"> </w:t>
      </w:r>
      <w:hyperlink w:anchor="X873f1d933aeea7d4aa146491e21cc3be56dfc99">
        <w:r>
          <w:rPr>
            <w:rStyle w:val="Hyperlink"/>
          </w:rPr>
          <w:t xml:space="preserve">Section 2.2.1</w:t>
        </w:r>
      </w:hyperlink>
      <w:r>
        <w:t xml:space="preserve">).</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Schmitt</w:t>
      </w:r>
      <w:r>
        <w:t xml:space="preserve"> </w:t>
      </w:r>
      <w:r>
        <w:t xml:space="preserve">and cellular permeability calculation by</w:t>
      </w:r>
      <w:r>
        <w:t xml:space="preserve"> </w:t>
      </w:r>
      <w:r>
        <w:rPr>
          <w:rStyle w:val="VerbatimChar"/>
        </w:rPr>
        <w:t xml:space="preserve">Charge dependent Schmitt</w:t>
      </w:r>
      <w:r>
        <w:t xml:space="preserve">.</w:t>
      </w:r>
    </w:p>
    <w:bookmarkEnd w:id="26"/>
    <w:bookmarkStart w:id="27" w:name="metabolism-and-elimination"/>
    <w:p>
      <w:pPr>
        <w:pStyle w:val="Heading3"/>
      </w:pPr>
      <w:r>
        <w:t xml:space="preserve">2.3.3 Metabolism and Elimination</w:t>
      </w:r>
    </w:p>
    <w:p>
      <w:pPr>
        <w:pStyle w:val="FirstParagraph"/>
      </w:pPr>
      <w:r>
        <w:t xml:space="preserve">Two metabolic pathways were implemented into the model via Michaelis-Menten kinetics:</w:t>
      </w:r>
    </w:p>
    <w:p>
      <w:pPr>
        <w:numPr>
          <w:ilvl w:val="0"/>
          <w:numId w:val="1002"/>
        </w:numPr>
        <w:pStyle w:val="Compact"/>
      </w:pPr>
      <w:r>
        <w:t xml:space="preserve">CYP3A4</w:t>
      </w:r>
    </w:p>
    <w:p>
      <w:pPr>
        <w:pStyle w:val="FirstParagraph"/>
      </w:pPr>
      <w:r>
        <w:t xml:space="preserve">The CYP3A4 expression profile is based on high-sensitive real-time RT-PCR (</w:t>
      </w:r>
      <w:hyperlink w:anchor="Xa559bd5247f9128e74e6edcc17de37648e8cde6">
        <w:r>
          <w:rPr>
            <w:rStyle w:val="Hyperlink"/>
          </w:rPr>
          <w:t xml:space="preserve">Nishimura 2003</w:t>
        </w:r>
      </w:hyperlink>
      <w:r>
        <w:t xml:space="preserve">). Metabolic enzyme activity was described as saturable process following Michaelis-Menten kinetics, where the</w:t>
      </w:r>
      <w:r>
        <w:t xml:space="preserve"> </w:t>
      </w:r>
      <w:r>
        <w:rPr>
          <w:rStyle w:val="VerbatimChar"/>
        </w:rPr>
        <w:t xml:space="preserve">Km</w:t>
      </w:r>
      <w:r>
        <w:t xml:space="preserve"> </w:t>
      </w:r>
      <w:r>
        <w:t xml:space="preserve">was taken from the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3"/>
        </w:numPr>
        <w:pStyle w:val="Compact"/>
      </w:pPr>
      <w:r>
        <w:t xml:space="preserve">CYP3A5</w:t>
      </w:r>
    </w:p>
    <w:p>
      <w:pPr>
        <w:pStyle w:val="FirstParagraph"/>
      </w:pPr>
      <w:r>
        <w:t xml:space="preserve">The CYP3A5 metabolic pathway was implemented only for normal metabolizers in the study by</w:t>
      </w:r>
      <w:r>
        <w:t xml:space="preserve"> </w:t>
      </w:r>
      <w:hyperlink w:anchor="Xa559bd5247f9128e74e6edcc17de37648e8cde6">
        <w:r>
          <w:rPr>
            <w:rStyle w:val="Hyperlink"/>
          </w:rPr>
          <w:t xml:space="preserve">Park 2022</w:t>
        </w:r>
      </w:hyperlink>
      <w:r>
        <w:t xml:space="preserve">; for all other studies, CYP3A5</w:t>
      </w:r>
      <w:r>
        <w:t xml:space="preserve"> </w:t>
      </w:r>
      <w:r>
        <w:rPr>
          <w:rStyle w:val="VerbatimChar"/>
        </w:rPr>
        <w:t xml:space="preserve">kcat</w:t>
      </w:r>
      <w:r>
        <w:t xml:space="preserve"> </w:t>
      </w:r>
      <w:r>
        <w:t xml:space="preserve">value was set to 0.</w:t>
      </w:r>
      <w:r>
        <w:t xml:space="preserve"> </w:t>
      </w:r>
      <w:r>
        <w:t xml:space="preserve">The CYP3A5 expression profile is based on high-sensitive real-time RT-PCR (</w:t>
      </w:r>
      <w:hyperlink w:anchor="Xa559bd5247f9128e74e6edcc17de37648e8cde6">
        <w:r>
          <w:rPr>
            <w:rStyle w:val="Hyperlink"/>
          </w:rPr>
          <w:t xml:space="preserve">Nishimura 2003</w:t>
        </w:r>
      </w:hyperlink>
      <w:r>
        <w:t xml:space="preserve">). Metabolic enzyme activity was described as saturable process following Michaelis-Menten kinetics, where the</w:t>
      </w:r>
      <w:r>
        <w:t xml:space="preserve"> </w:t>
      </w:r>
      <w:r>
        <w:rPr>
          <w:rStyle w:val="VerbatimChar"/>
        </w:rPr>
        <w:t xml:space="preserve">Km</w:t>
      </w:r>
      <w:r>
        <w:t xml:space="preserve"> </w:t>
      </w:r>
      <w:r>
        <w:t xml:space="preserve">was taken from the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pStyle w:val="BodyText"/>
      </w:pPr>
      <w:r>
        <w:t xml:space="preserve">In addition, three transport proteins were implemented into the model via Michaelis-Menten kinetics:</w:t>
      </w:r>
    </w:p>
    <w:p>
      <w:pPr>
        <w:numPr>
          <w:ilvl w:val="0"/>
          <w:numId w:val="1004"/>
        </w:numPr>
        <w:pStyle w:val="Compact"/>
      </w:pPr>
      <w:r>
        <w:t xml:space="preserve">BCRP</w:t>
      </w:r>
    </w:p>
    <w:p>
      <w:pPr>
        <w:pStyle w:val="FirstParagraph"/>
      </w:pPr>
      <w:r>
        <w:t xml:space="preserve">The BCRP expression profile is based on whole genome expression arrays from ArrayExpress (</w:t>
      </w:r>
      <w:hyperlink w:anchor="Xa559bd5247f9128e74e6edcc17de37648e8cde6">
        <w:r>
          <w:rPr>
            <w:rStyle w:val="Hyperlink"/>
          </w:rPr>
          <w:t xml:space="preserve">Kolesnikov 2015</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5"/>
        </w:numPr>
        <w:pStyle w:val="Compact"/>
      </w:pPr>
      <w:r>
        <w:t xml:space="preserve">OATP1B1/1B3</w:t>
      </w:r>
    </w:p>
    <w:p>
      <w:pPr>
        <w:pStyle w:val="FirstParagraph"/>
      </w:pPr>
      <w:r>
        <w:t xml:space="preserve">For OATP1B1/1B3 the expression profile was considered only for OATP1B1 and is based on high-sensitive real-time RT-PCR (</w:t>
      </w:r>
      <w:hyperlink w:anchor="Xa559bd5247f9128e74e6edcc17de37648e8cde6">
        <w:r>
          <w:rPr>
            <w:rStyle w:val="Hyperlink"/>
          </w:rPr>
          <w:t xml:space="preserve">Nishimura 2005</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6"/>
        </w:numPr>
        <w:pStyle w:val="Compact"/>
      </w:pPr>
      <w:r>
        <w:t xml:space="preserve">P-gp</w:t>
      </w:r>
    </w:p>
    <w:p>
      <w:pPr>
        <w:pStyle w:val="FirstParagraph"/>
      </w:pPr>
      <w:r>
        <w:t xml:space="preserve">The P-gp expression profiles is based on high-sensitive real-time RT-PCR (</w:t>
      </w:r>
      <w:hyperlink w:anchor="Xa559bd5247f9128e74e6edcc17de37648e8cde6">
        <w:r>
          <w:rPr>
            <w:rStyle w:val="Hyperlink"/>
          </w:rPr>
          <w:t xml:space="preserve">Nishimura 2005</w:t>
        </w:r>
      </w:hyperlink>
      <w:r>
        <w:t xml:space="preserve">) with an intestinal mucosa of factor 3.57 (</w:t>
      </w:r>
      <w:hyperlink w:anchor="Xa559bd5247f9128e74e6edcc17de37648e8cde6">
        <w:r>
          <w:rPr>
            <w:rStyle w:val="Hyperlink"/>
          </w:rPr>
          <w:t xml:space="preserve">Hanke 2018</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 Section 2.3.4).</w:t>
      </w:r>
    </w:p>
    <w:p>
      <w:pPr>
        <w:pStyle w:val="BodyText"/>
      </w:pPr>
      <w:r>
        <w:t xml:space="preserve">Additionally, fraction of bile that was continuously released was set to 1 (</w:t>
      </w:r>
      <w:r>
        <w:rPr>
          <w:rStyle w:val="VerbatimChar"/>
        </w:rPr>
        <w:t xml:space="preserve">EHC continuous fraction</w:t>
      </w:r>
      <w:r>
        <w:t xml:space="preserve">).</w:t>
      </w:r>
    </w:p>
    <w:bookmarkEnd w:id="27"/>
    <w:bookmarkStart w:id="28" w:name="automated-parameter-identification"/>
    <w:p>
      <w:pPr>
        <w:pStyle w:val="Heading3"/>
      </w:pPr>
      <w:r>
        <w:t xml:space="preserve">2.3.4 Automated Parameter Identification</w:t>
      </w:r>
    </w:p>
    <w:p>
      <w:pPr>
        <w:pStyle w:val="FirstParagraph"/>
      </w:pPr>
      <w:r>
        <w:t xml:space="preserve">This is the result of the final parameter identification: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 Parameter</w:t>
            </w:r>
          </w:p>
        </w:tc>
        <w:tc>
          <w:tcPr/>
          <w:p>
            <w:pPr>
              <w:pStyle w:val="Compact"/>
              <w:jc w:val="left"/>
            </w:pPr>
            <w:r>
              <w:t xml:space="preserve">Optimized Value</w:t>
            </w:r>
          </w:p>
        </w:tc>
        <w:tc>
          <w:tcPr/>
          <w:p>
            <w:pPr>
              <w:pStyle w:val="Compact"/>
              <w:jc w:val="left"/>
            </w:pPr>
            <w:r>
              <w:t xml:space="preserve">Unit</w:t>
            </w:r>
          </w:p>
        </w:tc>
      </w:tr>
      <w:tr>
        <w:tc>
          <w:tcPr/>
          <w:p>
            <w:pPr>
              <w:pStyle w:val="Compact"/>
              <w:jc w:val="left"/>
            </w:pPr>
            <w:r>
              <w:rPr>
                <w:rStyle w:val="VerbatimChar"/>
              </w:rPr>
              <w:t xml:space="preserve">kcat</w:t>
            </w:r>
            <w:r>
              <w:t xml:space="preserve"> </w:t>
            </w:r>
            <w:r>
              <w:t xml:space="preserve">(CYP3A4)</w:t>
            </w:r>
          </w:p>
        </w:tc>
        <w:tc>
          <w:tcPr/>
          <w:p>
            <w:pPr>
              <w:pStyle w:val="Compact"/>
              <w:jc w:val="left"/>
            </w:pPr>
            <w:r>
              <w:t xml:space="preserve">8.57</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(CYP3A5) NM</w:t>
            </w:r>
          </w:p>
        </w:tc>
        <w:tc>
          <w:tcPr/>
          <w:p>
            <w:pPr>
              <w:pStyle w:val="Compact"/>
              <w:jc w:val="left"/>
            </w:pPr>
            <w:r>
              <w:t xml:space="preserve">1350.42</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(CYP3A5) PM/IM</w:t>
            </w:r>
          </w:p>
        </w:tc>
        <w:tc>
          <w:tcPr/>
          <w:p>
            <w:pPr>
              <w:pStyle w:val="Compact"/>
              <w:jc w:val="left"/>
            </w:pPr>
            <w:r>
              <w:t xml:space="preserve">0</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(BCRP)</w:t>
            </w:r>
          </w:p>
        </w:tc>
        <w:tc>
          <w:tcPr/>
          <w:p>
            <w:pPr>
              <w:pStyle w:val="Compact"/>
              <w:jc w:val="left"/>
            </w:pPr>
            <w:r>
              <w:t xml:space="preserve">932.28</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(OATP1B1/1B3)</w:t>
            </w:r>
          </w:p>
        </w:tc>
        <w:tc>
          <w:tcPr/>
          <w:p>
            <w:pPr>
              <w:pStyle w:val="Compact"/>
              <w:jc w:val="left"/>
            </w:pPr>
            <w:r>
              <w:t xml:space="preserve">1970.16</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(P-gp)</w:t>
            </w:r>
          </w:p>
        </w:tc>
        <w:tc>
          <w:tcPr/>
          <w:p>
            <w:pPr>
              <w:pStyle w:val="Compact"/>
              <w:jc w:val="left"/>
            </w:pPr>
            <w:r>
              <w:t xml:space="preserve">614.28</w:t>
            </w:r>
          </w:p>
        </w:tc>
        <w:tc>
          <w:tcPr/>
          <w:p>
            <w:pPr>
              <w:pStyle w:val="Compact"/>
              <w:jc w:val="left"/>
            </w:pPr>
            <w:r>
              <w:t xml:space="preserve">1/min</w:t>
            </w:r>
          </w:p>
        </w:tc>
      </w:tr>
    </w:tbl>
    <w:p>
      <w:pPr>
        <w:pStyle w:val="BodyText"/>
      </w:pPr>
      <w:r>
        <w:t xml:space="preserve">IM, intermediate metabolizer; NM, normal metabolizer; PM, poor metabolizer.</w:t>
      </w:r>
    </w:p>
    <w:bookmarkEnd w:id="28"/>
    <w:bookmarkEnd w:id="29"/>
    <w:bookmarkEnd w:id="30"/>
    <w:bookmarkStart w:id="127" w:name="results-and-discussion"/>
    <w:p>
      <w:pPr>
        <w:pStyle w:val="Heading1"/>
      </w:pPr>
      <w:r>
        <w:t xml:space="preserve">Results and Discussion</w:t>
      </w:r>
      <w:bookmarkStart w:id="3" w:name="3"/>
      <w:bookmarkEnd w:id="3"/>
    </w:p>
    <w:p>
      <w:pPr>
        <w:pStyle w:val="FirstParagraph"/>
      </w:pPr>
      <w:r>
        <w:t xml:space="preserve">The PBPK model for atorvastatin acid was developed and evaluated using publicly available clinical pharmacokinetic data from studies listed in</w:t>
      </w:r>
      <w:r>
        <w:t xml:space="preserve"> </w:t>
      </w:r>
      <w:hyperlink w:anchor="X7ecbd1fd734a207de60ff9705c88346a68b0398">
        <w:r>
          <w:rPr>
            <w:rStyle w:val="Hyperlink"/>
          </w:rPr>
          <w:t xml:space="preserve">Section 2.2.2</w:t>
        </w:r>
      </w:hyperlink>
      <w:r>
        <w:t xml:space="preserve">.</w:t>
      </w:r>
    </w:p>
    <w:p>
      <w:pPr>
        <w:pStyle w:val="BodyText"/>
      </w:pPr>
      <w:r>
        <w:t xml:space="preserve">The next sections show:</w:t>
      </w:r>
    </w:p>
    <w:p>
      <w:pPr>
        <w:numPr>
          <w:ilvl w:val="0"/>
          <w:numId w:val="1007"/>
        </w:numPr>
        <w:pStyle w:val="Compact"/>
      </w:pPr>
      <w:r>
        <w:t xml:space="preserve">The final model input parameters for the building blocks:</w:t>
      </w:r>
      <w:r>
        <w:t xml:space="preserve"> </w:t>
      </w:r>
      <w:hyperlink w:anchor="X0b62e72ceadb2b02355ac38b64e6cd07b105dd2">
        <w:r>
          <w:rPr>
            <w:rStyle w:val="Hyperlink"/>
          </w:rPr>
          <w:t xml:space="preserve">Section 3.1</w:t>
        </w:r>
      </w:hyperlink>
      <w:r>
        <w:t xml:space="preserve">.</w:t>
      </w:r>
    </w:p>
    <w:p>
      <w:pPr>
        <w:numPr>
          <w:ilvl w:val="0"/>
          <w:numId w:val="1007"/>
        </w:numPr>
        <w:pStyle w:val="Compact"/>
      </w:pPr>
      <w:r>
        <w:t xml:space="preserve">The overall goodness of fit:</w:t>
      </w:r>
      <w:r>
        <w:t xml:space="preserve"> </w:t>
      </w:r>
      <w:hyperlink w:anchor="X8f6a4297391fcb40558b070a70038cc9d002119">
        <w:r>
          <w:rPr>
            <w:rStyle w:val="Hyperlink"/>
          </w:rPr>
          <w:t xml:space="preserve">Section 3.2</w:t>
        </w:r>
      </w:hyperlink>
      <w:r>
        <w:t xml:space="preserve">.</w:t>
      </w:r>
    </w:p>
    <w:p>
      <w:pPr>
        <w:numPr>
          <w:ilvl w:val="0"/>
          <w:numId w:val="1007"/>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7" w:name="atorvastatin-acid-final-input-parameters"/>
    <w:p>
      <w:pPr>
        <w:pStyle w:val="Heading2"/>
      </w:pPr>
      <w:r>
        <w:t xml:space="preserve">Atorvastatin acid final input parameters</w:t>
      </w:r>
      <w:bookmarkStart w:id="31" w:name="31"/>
      <w:bookmarkEnd w:id="31"/>
    </w:p>
    <w:p>
      <w:pPr>
        <w:pStyle w:val="FirstParagraph"/>
      </w:pPr>
      <w:r>
        <w:t xml:space="preserve">The compound parameter values of the final PBPK model are illustrated below.</w:t>
      </w:r>
    </w:p>
    <w:bookmarkStart w:id="46" w:name="compound-atorvastatin"/>
    <w:p>
      <w:pPr>
        <w:pStyle w:val="Heading3"/>
      </w:pPr>
      <w:r>
        <w:t xml:space="preserve">Compound: Atorvastatin</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3141"/>
        <w:gridCol w:w="916"/>
        <w:gridCol w:w="2487"/>
        <w:gridCol w:w="916"/>
        <w:gridCol w:w="458"/>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1.22 mg/ml</w:t>
            </w:r>
          </w:p>
        </w:tc>
        <w:tc>
          <w:tcPr/>
          <w:p>
            <w:pPr>
              <w:pStyle w:val="Compact"/>
              <w:jc w:val="left"/>
            </w:pPr>
            <w:r>
              <w:t xml:space="preserve">Publication-In Vitro-Morse et al. 2019</w:t>
            </w:r>
          </w:p>
        </w:tc>
        <w:tc>
          <w:tcPr/>
          <w:p>
            <w:pPr>
              <w:pStyle w:val="Compact"/>
              <w:jc w:val="left"/>
            </w:pPr>
            <w:r>
              <w:t xml:space="preserve">Morse 2019 (a)</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6</w:t>
            </w:r>
          </w:p>
        </w:tc>
        <w:tc>
          <w:tcPr/>
          <w:p>
            <w:pPr>
              <w:pStyle w:val="Compact"/>
              <w:jc w:val="left"/>
            </w:pPr>
            <w:r>
              <w:t xml:space="preserve">Publication-In Vitro-Morse et al. 2019</w:t>
            </w:r>
          </w:p>
        </w:tc>
        <w:tc>
          <w:tcPr/>
          <w:p>
            <w:pPr>
              <w:pStyle w:val="Compact"/>
              <w:jc w:val="left"/>
            </w:pPr>
            <w:r>
              <w:t xml:space="preserve">Morse 2019 (a)</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4.07 Log Units</w:t>
            </w:r>
          </w:p>
        </w:tc>
        <w:tc>
          <w:tcPr/>
          <w:p>
            <w:pPr>
              <w:pStyle w:val="Compact"/>
              <w:jc w:val="left"/>
            </w:pPr>
            <w:r>
              <w:t xml:space="preserve">Publication-Duan et al. 2016</w:t>
            </w:r>
          </w:p>
        </w:tc>
        <w:tc>
          <w:tcPr/>
          <w:p>
            <w:pPr>
              <w:pStyle w:val="Compact"/>
              <w:jc w:val="left"/>
            </w:pPr>
            <w:r>
              <w:t xml:space="preserve">Lit.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5.1 %</w:t>
            </w:r>
          </w:p>
        </w:tc>
        <w:tc>
          <w:tcPr/>
          <w:p>
            <w:pPr>
              <w:pStyle w:val="Compact"/>
              <w:jc w:val="left"/>
            </w:pPr>
            <w:r>
              <w:t xml:space="preserve">Publication-In Vitro-Zhang et al. 2015</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Specific intestinal permeability (transcellular)</w:t>
            </w:r>
          </w:p>
        </w:tc>
        <w:tc>
          <w:tcPr/>
          <w:p>
            <w:pPr>
              <w:pStyle w:val="Compact"/>
              <w:jc w:val="left"/>
            </w:pPr>
            <w:r>
              <w:t xml:space="preserve">0.000449 cm/s</w:t>
            </w:r>
          </w:p>
        </w:tc>
        <w:tc>
          <w:tcPr/>
          <w:p>
            <w:pPr>
              <w:pStyle w:val="Compact"/>
              <w:jc w:val="left"/>
            </w:pPr>
            <w:r>
              <w:t xml:space="preserve">Publication-Other-Morse et al. 2019</w:t>
            </w:r>
          </w:p>
        </w:tc>
        <w:tc>
          <w:tcPr/>
          <w:p>
            <w:pPr>
              <w:pStyle w:val="Compact"/>
              <w:jc w:val="left"/>
            </w:pPr>
            <w:r>
              <w:t xml:space="preserve">Literature</w:t>
            </w:r>
          </w:p>
        </w:tc>
        <w:tc>
          <w:tcPr/>
          <w:p>
            <w:pPr>
              <w:pStyle w:val="Compact"/>
              <w:jc w:val="left"/>
            </w:pPr>
            <w:r>
              <w:t xml:space="preserve">True</w:t>
            </w:r>
          </w:p>
        </w:tc>
      </w:tr>
      <w:tr>
        <w:tc>
          <w:tcPr/>
          <w:p>
            <w:pPr>
              <w:pStyle w:val="Compact"/>
              <w:jc w:val="left"/>
            </w:pPr>
            <w:r>
              <w:t xml:space="preserve">F</w:t>
            </w:r>
          </w:p>
        </w:tc>
        <w:tc>
          <w:tcPr/>
          <w:p>
            <w:pPr>
              <w:pStyle w:val="Compact"/>
              <w:jc w:val="left"/>
            </w:pPr>
            <w:r>
              <w:t xml:space="preserve">1</w:t>
            </w:r>
          </w:p>
        </w:tc>
        <w:tc>
          <w:tcPr/>
          <w:p>
            <w:pPr>
              <w:pStyle w:val="Compact"/>
              <w:jc w:val="left"/>
            </w:pPr>
            <w:r>
              <w:t xml:space="preserve">Publication-Zhang et al. 2015</w:t>
            </w: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558.66 g/mol</w:t>
            </w:r>
          </w:p>
        </w:tc>
        <w:tc>
          <w:tcPr/>
          <w:p>
            <w:pPr>
              <w:pStyle w:val="Compact"/>
              <w:jc w:val="left"/>
            </w:pPr>
            <w:r>
              <w:t xml:space="preserve">Publication-Zhang et al. 2015</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Schmitt</w:t>
            </w:r>
          </w:p>
        </w:tc>
      </w:tr>
      <w:tr>
        <w:tc>
          <w:tcPr/>
          <w:p>
            <w:pPr>
              <w:pStyle w:val="Compact"/>
              <w:jc w:val="left"/>
            </w:pPr>
            <w:r>
              <w:t xml:space="preserve">Cellular permeabilities</w:t>
            </w:r>
          </w:p>
        </w:tc>
        <w:tc>
          <w:tcPr/>
          <w:p>
            <w:pPr>
              <w:pStyle w:val="Compact"/>
              <w:jc w:val="left"/>
            </w:pPr>
            <w:r>
              <w:t xml:space="preserve">Charge dependent Schmitt</w:t>
            </w:r>
          </w:p>
        </w:tc>
      </w:tr>
    </w:tbl>
    <w:bookmarkEnd w:id="32"/>
    <w:bookmarkStart w:id="45" w:name="processes"/>
    <w:p>
      <w:pPr>
        <w:pStyle w:val="Heading4"/>
      </w:pPr>
      <w:r>
        <w:t xml:space="preserve">Processes</w:t>
      </w:r>
    </w:p>
    <w:bookmarkStart w:id="34" w:name="metabolizing-enzyme-cyp3a4-jacobsen-2000"/>
    <w:p>
      <w:pPr>
        <w:pStyle w:val="Heading5"/>
      </w:pPr>
      <w:r>
        <w:t xml:space="preserve">Metabolizing Enzyme: CYP3A4-Jacobsen 2000</w:t>
      </w:r>
    </w:p>
    <w:p>
      <w:pPr>
        <w:pStyle w:val="FirstParagraph"/>
      </w:pPr>
      <w:r>
        <w:t xml:space="preserve">Molecule: CYP3A4</w:t>
      </w:r>
    </w:p>
    <w:bookmarkStart w:id="33" w:name="parameters-1"/>
    <w:p>
      <w:pPr>
        <w:pStyle w:val="Heading6"/>
      </w:pPr>
      <w:r>
        <w:t xml:space="preserve">Parameters</w:t>
      </w:r>
    </w:p>
    <w:tbl>
      <w:tblPr>
        <w:tblStyle w:val="Table"/>
        <w:tblW w:type="pct" w:w="5000"/>
        <w:tblLook w:firstRow="1" w:lastRow="0" w:firstColumn="0" w:lastColumn="0" w:noHBand="0" w:noVBand="0" w:val="0020"/>
        <w:jc w:val="start"/>
      </w:tblPr>
      <w:tblGrid>
        <w:gridCol w:w="2283"/>
        <w:gridCol w:w="21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29.8 pmol/min/pmol rec. enzyme</w:t>
            </w:r>
          </w:p>
        </w:tc>
        <w:tc>
          <w:tcPr/>
          <w:p>
            <w:pPr>
              <w:pStyle w:val="Compact"/>
              <w:jc w:val="left"/>
            </w:pPr>
            <w:r>
              <w:t xml:space="preserve">Publication-In Vitro-Jacobsen et al. 2000</w:t>
            </w:r>
          </w:p>
        </w:tc>
      </w:tr>
      <w:tr>
        <w:tc>
          <w:tcPr/>
          <w:p>
            <w:pPr>
              <w:pStyle w:val="Compact"/>
              <w:jc w:val="left"/>
            </w:pPr>
            <w:r>
              <w:t xml:space="preserve">Km</w:t>
            </w:r>
          </w:p>
        </w:tc>
        <w:tc>
          <w:tcPr/>
          <w:p>
            <w:pPr>
              <w:pStyle w:val="Compact"/>
              <w:jc w:val="left"/>
            </w:pPr>
            <w:r>
              <w:t xml:space="preserve">25.6 µM</w:t>
            </w:r>
          </w:p>
        </w:tc>
        <w:tc>
          <w:tcPr/>
          <w:p>
            <w:pPr>
              <w:pStyle w:val="Compact"/>
              <w:jc w:val="left"/>
            </w:pPr>
            <w:r>
              <w:t xml:space="preserve">Publication-In Vitro-Jacobsen et al. 2000</w:t>
            </w:r>
          </w:p>
        </w:tc>
      </w:tr>
      <w:tr>
        <w:tc>
          <w:tcPr/>
          <w:p>
            <w:pPr>
              <w:pStyle w:val="Compact"/>
              <w:jc w:val="left"/>
            </w:pPr>
            <w:r>
              <w:t xml:space="preserve">kcat</w:t>
            </w:r>
          </w:p>
        </w:tc>
        <w:tc>
          <w:tcPr/>
          <w:p>
            <w:pPr>
              <w:pStyle w:val="Compact"/>
              <w:jc w:val="left"/>
            </w:pPr>
            <w:r>
              <w:t xml:space="preserve">8.5656178266 1/min</w:t>
            </w:r>
          </w:p>
        </w:tc>
        <w:tc>
          <w:tcPr/>
          <w:p>
            <w:pPr>
              <w:pStyle w:val="Compact"/>
              <w:jc w:val="left"/>
            </w:pPr>
            <w:r>
              <w:t xml:space="preserve">Parameter Identification-Parameter Identification</w:t>
            </w:r>
          </w:p>
        </w:tc>
      </w:tr>
    </w:tbl>
    <w:bookmarkEnd w:id="33"/>
    <w:bookmarkEnd w:id="34"/>
    <w:bookmarkStart w:id="36" w:name="Xdb0c55d73b1e25ace2cf30bebab369c11b14d76"/>
    <w:p>
      <w:pPr>
        <w:pStyle w:val="Heading5"/>
      </w:pPr>
      <w:r>
        <w:t xml:space="preserve">Transport Protein: OATP1B1/1B3-Vildhede 2014</w:t>
      </w:r>
    </w:p>
    <w:p>
      <w:pPr>
        <w:pStyle w:val="FirstParagraph"/>
      </w:pPr>
      <w:r>
        <w:t xml:space="preserve">Molecule: OATP1B1/1B3</w:t>
      </w:r>
    </w:p>
    <w:bookmarkStart w:id="35" w:name="parameters-2"/>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0.284913793 pmol/min/pmol transporter</w:t>
            </w:r>
          </w:p>
        </w:tc>
        <w:tc>
          <w:tcPr/>
          <w:p>
            <w:pPr>
              <w:pStyle w:val="Compact"/>
              <w:jc w:val="left"/>
            </w:pPr>
            <w:r>
              <w:t xml:space="preserve">Publication-In Vitro-Vildhede et al. 2014</w:t>
            </w:r>
          </w:p>
        </w:tc>
      </w:tr>
      <w:tr>
        <w:tc>
          <w:tcPr/>
          <w:p>
            <w:pPr>
              <w:pStyle w:val="Compact"/>
              <w:jc w:val="left"/>
            </w:pPr>
            <w:r>
              <w:t xml:space="preserve">Km</w:t>
            </w:r>
          </w:p>
        </w:tc>
        <w:tc>
          <w:tcPr/>
          <w:p>
            <w:pPr>
              <w:pStyle w:val="Compact"/>
              <w:jc w:val="left"/>
            </w:pPr>
            <w:r>
              <w:t xml:space="preserve">0.77 µmol/l</w:t>
            </w:r>
          </w:p>
        </w:tc>
        <w:tc>
          <w:tcPr/>
          <w:p>
            <w:pPr>
              <w:pStyle w:val="Compact"/>
              <w:jc w:val="left"/>
            </w:pPr>
            <w:r>
              <w:t xml:space="preserve">Publication-In Vitro-Vildhede et al. 2014</w:t>
            </w:r>
          </w:p>
        </w:tc>
      </w:tr>
      <w:tr>
        <w:tc>
          <w:tcPr/>
          <w:p>
            <w:pPr>
              <w:pStyle w:val="Compact"/>
              <w:jc w:val="left"/>
            </w:pPr>
            <w:r>
              <w:t xml:space="preserve">kcat</w:t>
            </w:r>
          </w:p>
        </w:tc>
        <w:tc>
          <w:tcPr/>
          <w:p>
            <w:pPr>
              <w:pStyle w:val="Compact"/>
              <w:jc w:val="left"/>
            </w:pPr>
            <w:r>
              <w:t xml:space="preserve">1970.1599932122 1/min</w:t>
            </w:r>
          </w:p>
        </w:tc>
        <w:tc>
          <w:tcPr/>
          <w:p>
            <w:pPr>
              <w:pStyle w:val="Compact"/>
              <w:jc w:val="left"/>
            </w:pPr>
            <w:r>
              <w:t xml:space="preserve">Parameter Identification-Parameter Identification</w:t>
            </w:r>
          </w:p>
        </w:tc>
      </w:tr>
    </w:tbl>
    <w:bookmarkEnd w:id="35"/>
    <w:bookmarkEnd w:id="36"/>
    <w:bookmarkStart w:id="38" w:name="transport-protein-p-gp-deng-et-al.-2021"/>
    <w:p>
      <w:pPr>
        <w:pStyle w:val="Heading5"/>
      </w:pPr>
      <w:r>
        <w:t xml:space="preserve">Transport Protein: P-gp-Deng et al. 2021</w:t>
      </w:r>
    </w:p>
    <w:p>
      <w:pPr>
        <w:pStyle w:val="FirstParagraph"/>
      </w:pPr>
      <w:r>
        <w:t xml:space="preserve">Molecule: P-gp</w:t>
      </w:r>
    </w:p>
    <w:bookmarkStart w:id="37" w:name="parameters-3"/>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0.609259259 pmol/min/pmol transporter</w:t>
            </w:r>
          </w:p>
        </w:tc>
        <w:tc>
          <w:tcPr/>
          <w:p>
            <w:pPr>
              <w:pStyle w:val="Compact"/>
              <w:jc w:val="left"/>
            </w:pPr>
            <w:r>
              <w:t xml:space="preserve">Publication-Deng et al. 2021</w:t>
            </w:r>
          </w:p>
        </w:tc>
      </w:tr>
      <w:tr>
        <w:tc>
          <w:tcPr/>
          <w:p>
            <w:pPr>
              <w:pStyle w:val="Compact"/>
              <w:jc w:val="left"/>
            </w:pPr>
            <w:r>
              <w:t xml:space="preserve">Km</w:t>
            </w:r>
          </w:p>
        </w:tc>
        <w:tc>
          <w:tcPr/>
          <w:p>
            <w:pPr>
              <w:pStyle w:val="Compact"/>
              <w:jc w:val="left"/>
            </w:pPr>
            <w:r>
              <w:t xml:space="preserve">10.7 µmol/l</w:t>
            </w:r>
          </w:p>
        </w:tc>
        <w:tc>
          <w:tcPr/>
          <w:p>
            <w:pPr>
              <w:pStyle w:val="Compact"/>
              <w:jc w:val="left"/>
            </w:pPr>
            <w:r>
              <w:t xml:space="preserve">Publication-Deng et al. 2021</w:t>
            </w:r>
          </w:p>
        </w:tc>
      </w:tr>
      <w:tr>
        <w:tc>
          <w:tcPr/>
          <w:p>
            <w:pPr>
              <w:pStyle w:val="Compact"/>
              <w:jc w:val="left"/>
            </w:pPr>
            <w:r>
              <w:t xml:space="preserve">kcat</w:t>
            </w:r>
          </w:p>
        </w:tc>
        <w:tc>
          <w:tcPr/>
          <w:p>
            <w:pPr>
              <w:pStyle w:val="Compact"/>
              <w:jc w:val="left"/>
            </w:pPr>
            <w:r>
              <w:t xml:space="preserve">614.2798089947 1/min</w:t>
            </w:r>
          </w:p>
        </w:tc>
        <w:tc>
          <w:tcPr/>
          <w:p>
            <w:pPr>
              <w:pStyle w:val="Compact"/>
              <w:jc w:val="left"/>
            </w:pPr>
            <w:r>
              <w:t xml:space="preserve">Parameter Identification-Parameter Identification</w:t>
            </w:r>
          </w:p>
        </w:tc>
      </w:tr>
    </w:tbl>
    <w:bookmarkEnd w:id="37"/>
    <w:bookmarkEnd w:id="38"/>
    <w:bookmarkStart w:id="40" w:name="transport-protein-bcrp-deng-et-al.-2021"/>
    <w:p>
      <w:pPr>
        <w:pStyle w:val="Heading5"/>
      </w:pPr>
      <w:r>
        <w:t xml:space="preserve">Transport Protein: BCRP-Deng et al. 2021</w:t>
      </w:r>
    </w:p>
    <w:p>
      <w:pPr>
        <w:pStyle w:val="FirstParagraph"/>
      </w:pPr>
      <w:r>
        <w:t xml:space="preserve">Molecule: BCRP</w:t>
      </w:r>
    </w:p>
    <w:bookmarkStart w:id="39" w:name="parameters-4"/>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0.924657534 pmol/min/pmol transporter</w:t>
            </w:r>
          </w:p>
        </w:tc>
        <w:tc>
          <w:tcPr/>
          <w:p>
            <w:pPr>
              <w:pStyle w:val="Compact"/>
              <w:jc w:val="left"/>
            </w:pPr>
            <w:r>
              <w:t xml:space="preserve">Publication-Deng et al. 2021</w:t>
            </w:r>
          </w:p>
        </w:tc>
      </w:tr>
      <w:tr>
        <w:tc>
          <w:tcPr/>
          <w:p>
            <w:pPr>
              <w:pStyle w:val="Compact"/>
              <w:jc w:val="left"/>
            </w:pPr>
            <w:r>
              <w:t xml:space="preserve">Km</w:t>
            </w:r>
          </w:p>
        </w:tc>
        <w:tc>
          <w:tcPr/>
          <w:p>
            <w:pPr>
              <w:pStyle w:val="Compact"/>
              <w:jc w:val="left"/>
            </w:pPr>
            <w:r>
              <w:t xml:space="preserve">82.41 µmol/l</w:t>
            </w:r>
          </w:p>
        </w:tc>
        <w:tc>
          <w:tcPr/>
          <w:p>
            <w:pPr>
              <w:pStyle w:val="Compact"/>
              <w:jc w:val="left"/>
            </w:pPr>
            <w:r>
              <w:t xml:space="preserve">Publication-Deng et al. 2021</w:t>
            </w:r>
          </w:p>
        </w:tc>
      </w:tr>
      <w:tr>
        <w:tc>
          <w:tcPr/>
          <w:p>
            <w:pPr>
              <w:pStyle w:val="Compact"/>
              <w:jc w:val="left"/>
            </w:pPr>
            <w:r>
              <w:t xml:space="preserve">kcat</w:t>
            </w:r>
          </w:p>
        </w:tc>
        <w:tc>
          <w:tcPr/>
          <w:p>
            <w:pPr>
              <w:pStyle w:val="Compact"/>
              <w:jc w:val="left"/>
            </w:pPr>
            <w:r>
              <w:t xml:space="preserve">932.2770971151 1/min</w:t>
            </w:r>
          </w:p>
        </w:tc>
        <w:tc>
          <w:tcPr/>
          <w:p>
            <w:pPr>
              <w:pStyle w:val="Compact"/>
              <w:jc w:val="left"/>
            </w:pPr>
            <w:r>
              <w:t xml:space="preserve">Parameter Identification-Parameter Identification</w:t>
            </w:r>
          </w:p>
        </w:tc>
      </w:tr>
    </w:tbl>
    <w:bookmarkEnd w:id="39"/>
    <w:bookmarkEnd w:id="40"/>
    <w:bookmarkStart w:id="42" w:name="metabolizing-enzyme-cyp3a5-cyp3a5-pmim"/>
    <w:p>
      <w:pPr>
        <w:pStyle w:val="Heading5"/>
      </w:pPr>
      <w:r>
        <w:t xml:space="preserve">Metabolizing Enzyme: CYP3A5-CYP3A5 PM/IM</w:t>
      </w:r>
    </w:p>
    <w:p>
      <w:pPr>
        <w:pStyle w:val="FirstParagraph"/>
      </w:pPr>
      <w:r>
        <w:t xml:space="preserve">Molecule: CYP3A5</w:t>
      </w:r>
    </w:p>
    <w:bookmarkStart w:id="41" w:name="parameters-5"/>
    <w:p>
      <w:pPr>
        <w:pStyle w:val="Heading6"/>
      </w:pPr>
      <w:r>
        <w:t xml:space="preserve">Parameters</w:t>
      </w:r>
    </w:p>
    <w:tbl>
      <w:tblPr>
        <w:tblStyle w:val="Table"/>
        <w:tblW w:type="pct" w:w="5000"/>
        <w:tblLook w:firstRow="1" w:lastRow="0" w:firstColumn="0" w:lastColumn="0" w:noHBand="0" w:noVBand="0" w:val="0020"/>
        <w:jc w:val="start"/>
      </w:tblPr>
      <w:tblGrid>
        <w:gridCol w:w="2816"/>
        <w:gridCol w:w="2640"/>
        <w:gridCol w:w="246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10.4 pmol/min/pmol rec. enzyme</w:t>
            </w:r>
          </w:p>
        </w:tc>
        <w:tc>
          <w:tcPr/>
          <w:p>
            <w:pPr>
              <w:pStyle w:val="Compact"/>
              <w:jc w:val="left"/>
            </w:pPr>
            <w:r>
              <w:t xml:space="preserve">Publication-Park et al. 2008</w:t>
            </w:r>
          </w:p>
        </w:tc>
      </w:tr>
      <w:tr>
        <w:tc>
          <w:tcPr/>
          <w:p>
            <w:pPr>
              <w:pStyle w:val="Compact"/>
              <w:jc w:val="left"/>
            </w:pPr>
            <w:r>
              <w:t xml:space="preserve">Km</w:t>
            </w:r>
          </w:p>
        </w:tc>
        <w:tc>
          <w:tcPr/>
          <w:p>
            <w:pPr>
              <w:pStyle w:val="Compact"/>
              <w:jc w:val="left"/>
            </w:pPr>
            <w:r>
              <w:t xml:space="preserve">42.6 µmol/l</w:t>
            </w:r>
          </w:p>
        </w:tc>
        <w:tc>
          <w:tcPr/>
          <w:p>
            <w:pPr>
              <w:pStyle w:val="Compact"/>
              <w:jc w:val="left"/>
            </w:pPr>
            <w:r>
              <w:t xml:space="preserve">Publication-Park et al. 2008</w:t>
            </w:r>
          </w:p>
        </w:tc>
      </w:tr>
      <w:tr>
        <w:tc>
          <w:tcPr/>
          <w:p>
            <w:pPr>
              <w:pStyle w:val="Compact"/>
              <w:jc w:val="left"/>
            </w:pPr>
            <w:r>
              <w:t xml:space="preserve">kcat</w:t>
            </w:r>
          </w:p>
        </w:tc>
        <w:tc>
          <w:tcPr/>
          <w:p>
            <w:pPr>
              <w:pStyle w:val="Compact"/>
              <w:jc w:val="left"/>
            </w:pPr>
            <w:r>
              <w:t xml:space="preserve">0 1/min</w:t>
            </w:r>
          </w:p>
        </w:tc>
        <w:tc>
          <w:tcPr/>
          <w:p>
            <w:pPr>
              <w:pStyle w:val="Compact"/>
              <w:jc w:val="left"/>
            </w:pPr>
            <w:r>
              <w:t xml:space="preserve">Unknown-assumed</w:t>
            </w:r>
          </w:p>
        </w:tc>
      </w:tr>
    </w:tbl>
    <w:bookmarkEnd w:id="41"/>
    <w:bookmarkEnd w:id="42"/>
    <w:bookmarkStart w:id="44" w:name="metabolizing-enzyme-cyp3a5-cyp3a5-nm"/>
    <w:p>
      <w:pPr>
        <w:pStyle w:val="Heading5"/>
      </w:pPr>
      <w:r>
        <w:t xml:space="preserve">Metabolizing Enzyme: CYP3A5-CYP3A5 NM</w:t>
      </w:r>
    </w:p>
    <w:p>
      <w:pPr>
        <w:pStyle w:val="FirstParagraph"/>
      </w:pPr>
      <w:r>
        <w:t xml:space="preserve">Molecule: CYP3A5</w:t>
      </w:r>
    </w:p>
    <w:bookmarkStart w:id="43" w:name="parameters-6"/>
    <w:p>
      <w:pPr>
        <w:pStyle w:val="Heading6"/>
      </w:pPr>
      <w:r>
        <w:t xml:space="preserve">Parameters</w:t>
      </w:r>
    </w:p>
    <w:tbl>
      <w:tblPr>
        <w:tblStyle w:val="Table"/>
        <w:tblW w:type="pct" w:w="5000"/>
        <w:tblLook w:firstRow="1" w:lastRow="0" w:firstColumn="0" w:lastColumn="0" w:noHBand="0" w:noVBand="0" w:val="0020"/>
        <w:jc w:val="start"/>
      </w:tblPr>
      <w:tblGrid>
        <w:gridCol w:w="2283"/>
        <w:gridCol w:w="21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10.4 pmol/min/pmol rec. enzyme</w:t>
            </w:r>
          </w:p>
        </w:tc>
        <w:tc>
          <w:tcPr/>
          <w:p>
            <w:pPr>
              <w:pStyle w:val="Compact"/>
              <w:jc w:val="left"/>
            </w:pPr>
            <w:r>
              <w:t xml:space="preserve">Publication-Park et al. 2008</w:t>
            </w:r>
          </w:p>
        </w:tc>
      </w:tr>
      <w:tr>
        <w:tc>
          <w:tcPr/>
          <w:p>
            <w:pPr>
              <w:pStyle w:val="Compact"/>
              <w:jc w:val="left"/>
            </w:pPr>
            <w:r>
              <w:t xml:space="preserve">Km</w:t>
            </w:r>
          </w:p>
        </w:tc>
        <w:tc>
          <w:tcPr/>
          <w:p>
            <w:pPr>
              <w:pStyle w:val="Compact"/>
              <w:jc w:val="left"/>
            </w:pPr>
            <w:r>
              <w:t xml:space="preserve">42.6 µmol/l</w:t>
            </w:r>
          </w:p>
        </w:tc>
        <w:tc>
          <w:tcPr/>
          <w:p>
            <w:pPr>
              <w:pStyle w:val="Compact"/>
              <w:jc w:val="left"/>
            </w:pPr>
            <w:r>
              <w:t xml:space="preserve">Publication-Park et al. 2008</w:t>
            </w:r>
          </w:p>
        </w:tc>
      </w:tr>
      <w:tr>
        <w:tc>
          <w:tcPr/>
          <w:p>
            <w:pPr>
              <w:pStyle w:val="Compact"/>
              <w:jc w:val="left"/>
            </w:pPr>
            <w:r>
              <w:t xml:space="preserve">kcat</w:t>
            </w:r>
          </w:p>
        </w:tc>
        <w:tc>
          <w:tcPr/>
          <w:p>
            <w:pPr>
              <w:pStyle w:val="Compact"/>
              <w:jc w:val="left"/>
            </w:pPr>
            <w:r>
              <w:t xml:space="preserve">1350.4213435857 1/min</w:t>
            </w:r>
          </w:p>
        </w:tc>
        <w:tc>
          <w:tcPr/>
          <w:p>
            <w:pPr>
              <w:pStyle w:val="Compact"/>
              <w:jc w:val="left"/>
            </w:pPr>
            <w:r>
              <w:t xml:space="preserve">Parameter Identification-Parameter Identification</w:t>
            </w:r>
          </w:p>
        </w:tc>
      </w:tr>
    </w:tbl>
    <w:bookmarkEnd w:id="43"/>
    <w:bookmarkEnd w:id="44"/>
    <w:bookmarkEnd w:id="45"/>
    <w:bookmarkEnd w:id="46"/>
    <w:bookmarkEnd w:id="47"/>
    <w:bookmarkStart w:id="54" w:name="atorvastatin-acid-diagnostics-plots"/>
    <w:p>
      <w:pPr>
        <w:pStyle w:val="Heading2"/>
      </w:pPr>
      <w:r>
        <w:t xml:space="preserve">Atorvastatin acid Diagnostics Plots</w:t>
      </w:r>
      <w:bookmarkStart w:id="32" w:name="32"/>
      <w:bookmarkEnd w:id="32"/>
    </w:p>
    <w:p>
      <w:pPr>
        <w:pStyle w:val="FirstParagraph"/>
      </w:pPr>
      <w:r>
        <w:t xml:space="preserve">Below you find the goodness-of-fit visual diagnostic plots for the PBPK model performance of all data used presented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Goodness of fit plot for plasma concentrations.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Atorvastatin acid (model building)</w:t>
            </w:r>
          </w:p>
        </w:tc>
        <w:tc>
          <w:tcPr/>
          <w:p>
            <w:pPr>
              <w:pStyle w:val="Compact"/>
              <w:jc w:val="left"/>
            </w:pPr>
            <w:r>
              <w:t xml:space="preserve">1.37</w:t>
            </w:r>
          </w:p>
        </w:tc>
      </w:tr>
      <w:tr>
        <w:tc>
          <w:tcPr/>
          <w:p>
            <w:pPr>
              <w:pStyle w:val="Compact"/>
              <w:jc w:val="left"/>
            </w:pPr>
            <w:r>
              <w:t xml:space="preserve">Atorvastatin acid (model verification)</w:t>
            </w:r>
          </w:p>
        </w:tc>
        <w:tc>
          <w:tcPr/>
          <w:p>
            <w:pPr>
              <w:pStyle w:val="Compact"/>
              <w:jc w:val="left"/>
            </w:pPr>
            <w:r>
              <w:t xml:space="preserve">1.79</w:t>
            </w:r>
          </w:p>
        </w:tc>
      </w:tr>
      <w:tr>
        <w:tc>
          <w:tcPr/>
          <w:p>
            <w:pPr>
              <w:pStyle w:val="Compact"/>
              <w:jc w:val="left"/>
            </w:pPr>
            <w:r>
              <w:t xml:space="preserve">All</w:t>
            </w:r>
          </w:p>
        </w:tc>
        <w:tc>
          <w:tcPr/>
          <w:p>
            <w:pPr>
              <w:pStyle w:val="Compact"/>
              <w:jc w:val="left"/>
            </w:pPr>
            <w:r>
              <w:t xml:space="preserve">1.70</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507536"/>
            <wp:effectExtent b="0" l="0" r="0" t="0"/>
            <wp:docPr descr="" title="" id="49" name="Picture"/>
            <a:graphic>
              <a:graphicData uri="http://schemas.openxmlformats.org/drawingml/2006/picture">
                <pic:pic>
                  <pic:nvPicPr>
                    <pic:cNvPr descr="images/006_section_3/008_section_32/2_gof_plot_predictedVsObserved.png" id="50" name="Picture"/>
                    <pic:cNvPicPr>
                      <a:picLocks noChangeArrowheads="1" noChangeAspect="1"/>
                    </pic:cNvPicPr>
                  </pic:nvPicPr>
                  <pic:blipFill>
                    <a:blip r:embed="rId48"/>
                    <a:stretch>
                      <a:fillRect/>
                    </a:stretch>
                  </pic:blipFill>
                  <pic:spPr bwMode="auto">
                    <a:xfrm>
                      <a:off x="0" y="0"/>
                      <a:ext cx="5969000" cy="6507536"/>
                    </a:xfrm>
                    <a:prstGeom prst="rect">
                      <a:avLst/>
                    </a:prstGeom>
                    <a:noFill/>
                    <a:ln w="9525">
                      <a:noFill/>
                      <a:headEnd/>
                      <a:tailEnd/>
                    </a:ln>
                  </pic:spPr>
                </pic:pic>
              </a:graphicData>
            </a:graphic>
          </wp:inline>
        </w:drawing>
      </w:r>
    </w:p>
    <w:p>
      <w:pPr>
        <w:pStyle w:val="BodyText"/>
      </w:pPr>
      <w:r>
        <w:rPr>
          <w:bCs/>
          <w:b/>
        </w:rPr>
        <w:t xml:space="preserve">Figure 3-1: Goodness of fit plot for plasma concentrations.</w:t>
      </w:r>
    </w:p>
    <w:p>
      <w:pPr>
        <w:pStyle w:val="BodyText"/>
      </w:pPr>
      <w:r>
        <w:t xml:space="preserve"> </w:t>
      </w:r>
    </w:p>
    <w:br w:type="page"/>
    <w:p>
      <w:pPr>
        <w:pStyle w:val="BodyText"/>
      </w:pPr>
      <w:bookmarkStart w:id="figure-3-2" w:name="figure-3-2"/>
      <w:bookmarkEnd w:id="figure-3-2"/>
    </w:p>
    <w:p>
      <w:pPr>
        <w:pStyle w:val="BodyText"/>
      </w:pPr>
      <w:r>
        <w:drawing>
          <wp:inline>
            <wp:extent cx="5969000" cy="4304842"/>
            <wp:effectExtent b="0" l="0" r="0" t="0"/>
            <wp:docPr descr="" title="" id="52" name="Picture"/>
            <a:graphic>
              <a:graphicData uri="http://schemas.openxmlformats.org/drawingml/2006/picture">
                <pic:pic>
                  <pic:nvPicPr>
                    <pic:cNvPr descr="images/006_section_3/008_section_32/3_gof_plot_residualsOverTime.png" id="53" name="Picture"/>
                    <pic:cNvPicPr>
                      <a:picLocks noChangeArrowheads="1" noChangeAspect="1"/>
                    </pic:cNvPicPr>
                  </pic:nvPicPr>
                  <pic:blipFill>
                    <a:blip r:embed="rId51"/>
                    <a:stretch>
                      <a:fillRect/>
                    </a:stretch>
                  </pic:blipFill>
                  <pic:spPr bwMode="auto">
                    <a:xfrm>
                      <a:off x="0" y="0"/>
                      <a:ext cx="5969000" cy="4304842"/>
                    </a:xfrm>
                    <a:prstGeom prst="rect">
                      <a:avLst/>
                    </a:prstGeom>
                    <a:noFill/>
                    <a:ln w="9525">
                      <a:noFill/>
                      <a:headEnd/>
                      <a:tailEnd/>
                    </a:ln>
                  </pic:spPr>
                </pic:pic>
              </a:graphicData>
            </a:graphic>
          </wp:inline>
        </w:drawing>
      </w:r>
    </w:p>
    <w:p>
      <w:pPr>
        <w:pStyle w:val="BodyText"/>
      </w:pPr>
      <w:r>
        <w:rPr>
          <w:bCs/>
          <w:b/>
        </w:rPr>
        <w:t xml:space="preserve">Figure 3-2: Goodness of fit plot for plasma concentrations.</w:t>
      </w:r>
    </w:p>
    <w:p>
      <w:pPr>
        <w:pStyle w:val="BodyText"/>
      </w:pPr>
      <w:r>
        <w:t xml:space="preserve"> </w:t>
      </w:r>
    </w:p>
    <w:bookmarkEnd w:id="54"/>
    <w:bookmarkStart w:id="126" w:name="concentration-time-profiles"/>
    <w:p>
      <w:pPr>
        <w:pStyle w:val="Heading2"/>
      </w:pPr>
      <w:r>
        <w:t xml:space="preserve">Concentration-Time Profiles</w:t>
      </w:r>
      <w:bookmarkStart w:id="33" w:name="33"/>
      <w:bookmarkEnd w:id="33"/>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70" w:name="model-building"/>
    <w:p>
      <w:pPr>
        <w:pStyle w:val="Heading3"/>
      </w:pPr>
      <w:r>
        <w:t xml:space="preserve">Model Building</w:t>
      </w:r>
      <w:bookmarkStart w:id="331" w:name="331"/>
      <w:bookmarkEnd w:id="331"/>
    </w:p>
    <w:br w:type="page"/>
    <w:p>
      <w:pPr>
        <w:pStyle w:val="FirstParagraph"/>
      </w:pPr>
      <w:bookmarkStart w:id="figure-3-3" w:name="figure-3-3"/>
      <w:bookmarkEnd w:id="figure-3-3"/>
    </w:p>
    <w:p>
      <w:pPr>
        <w:pStyle w:val="BodyText"/>
      </w:pPr>
      <w:r>
        <w:drawing>
          <wp:inline>
            <wp:extent cx="5969000" cy="4462424"/>
            <wp:effectExtent b="0" l="0" r="0" t="0"/>
            <wp:docPr descr="" title="" id="56" name="Picture"/>
            <a:graphic>
              <a:graphicData uri="http://schemas.openxmlformats.org/drawingml/2006/picture">
                <pic:pic>
                  <pic:nvPicPr>
                    <pic:cNvPr descr="images/006_section_3/009_section_33/010_section_331/19_time_profile_plot_Atorvastatin_Backman_2005_atorvastatin_20mg_sd_po_control_training.png" id="57" name="Picture"/>
                    <pic:cNvPicPr>
                      <a:picLocks noChangeArrowheads="1" noChangeAspect="1"/>
                    </pic:cNvPicPr>
                  </pic:nvPicPr>
                  <pic:blipFill>
                    <a:blip r:embed="rId55"/>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4548378"/>
            <wp:effectExtent b="0" l="0" r="0" t="0"/>
            <wp:docPr descr="" title="" id="59" name="Picture"/>
            <a:graphic>
              <a:graphicData uri="http://schemas.openxmlformats.org/drawingml/2006/picture">
                <pic:pic>
                  <pic:nvPicPr>
                    <pic:cNvPr descr="images/006_section_3/009_section_33/010_section_331/20_time_profile_plot_Atorvastatin_Bullman_2011_1_atorvastatin_40mg_md_po_control_training.png" id="60" name="Picture"/>
                    <pic:cNvPicPr>
                      <a:picLocks noChangeArrowheads="1" noChangeAspect="1"/>
                    </pic:cNvPicPr>
                  </pic:nvPicPr>
                  <pic:blipFill>
                    <a:blip r:embed="rId58"/>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596130"/>
            <wp:effectExtent b="0" l="0" r="0" t="0"/>
            <wp:docPr descr="" title="" id="62" name="Picture"/>
            <a:graphic>
              <a:graphicData uri="http://schemas.openxmlformats.org/drawingml/2006/picture">
                <pic:pic>
                  <pic:nvPicPr>
                    <pic:cNvPr descr="images/006_section_3/009_section_33/010_section_331/21_time_profile_plot_Atorvastatin_Gandelman_2011_1_atorvastatin_10mg_sd_po_training.png" id="63" name="Picture"/>
                    <pic:cNvPicPr>
                      <a:picLocks noChangeArrowheads="1" noChangeAspect="1"/>
                    </pic:cNvPicPr>
                  </pic:nvPicPr>
                  <pic:blipFill>
                    <a:blip r:embed="rId61"/>
                    <a:stretch>
                      <a:fillRect/>
                    </a:stretch>
                  </pic:blipFill>
                  <pic:spPr bwMode="auto">
                    <a:xfrm>
                      <a:off x="0" y="0"/>
                      <a:ext cx="5969000" cy="4596130"/>
                    </a:xfrm>
                    <a:prstGeom prst="rect">
                      <a:avLst/>
                    </a:prstGeom>
                    <a:noFill/>
                    <a:ln w="9525">
                      <a:noFill/>
                      <a:headEnd/>
                      <a:tailEnd/>
                    </a:ln>
                  </pic:spPr>
                </pic:pic>
              </a:graphicData>
            </a:graphic>
          </wp:inline>
        </w:drawing>
      </w:r>
    </w:p>
    <w:p>
      <w:pPr>
        <w:pStyle w:val="BodyText"/>
      </w:pPr>
      <w:r>
        <w:rPr>
          <w:bCs/>
          <w:b/>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622393"/>
            <wp:effectExtent b="0" l="0" r="0" t="0"/>
            <wp:docPr descr="" title="" id="65" name="Picture"/>
            <a:graphic>
              <a:graphicData uri="http://schemas.openxmlformats.org/drawingml/2006/picture">
                <pic:pic>
                  <pic:nvPicPr>
                    <pic:cNvPr descr="images/006_section_3/009_section_33/010_section_331/22_time_profile_plot_Atorvastatin_Teng_2013_atorvastatin_80mg_sd_po_training.png" id="66" name="Picture"/>
                    <pic:cNvPicPr>
                      <a:picLocks noChangeArrowheads="1" noChangeAspect="1"/>
                    </pic:cNvPicPr>
                  </pic:nvPicPr>
                  <pic:blipFill>
                    <a:blip r:embed="rId64"/>
                    <a:stretch>
                      <a:fillRect/>
                    </a:stretch>
                  </pic:blipFill>
                  <pic:spPr bwMode="auto">
                    <a:xfrm>
                      <a:off x="0" y="0"/>
                      <a:ext cx="5969000" cy="4622393"/>
                    </a:xfrm>
                    <a:prstGeom prst="rect">
                      <a:avLst/>
                    </a:prstGeom>
                    <a:noFill/>
                    <a:ln w="9525">
                      <a:noFill/>
                      <a:headEnd/>
                      <a:tailEnd/>
                    </a:ln>
                  </pic:spPr>
                </pic:pic>
              </a:graphicData>
            </a:graphic>
          </wp:inline>
        </w:drawing>
      </w:r>
    </w:p>
    <w:p>
      <w:pPr>
        <w:pStyle w:val="BodyText"/>
      </w:pPr>
      <w:r>
        <w:rPr>
          <w:bCs/>
          <w:b/>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4548378"/>
            <wp:effectExtent b="0" l="0" r="0" t="0"/>
            <wp:docPr descr="" title="" id="68" name="Picture"/>
            <a:graphic>
              <a:graphicData uri="http://schemas.openxmlformats.org/drawingml/2006/picture">
                <pic:pic>
                  <pic:nvPicPr>
                    <pic:cNvPr descr="images/006_section_3/009_section_33/010_section_331/23_time_profile_plot_Atorvastatin_Kantola_1998_atorvastatin_40mg_sd_po_control_training.png" id="69" name="Picture"/>
                    <pic:cNvPicPr>
                      <a:picLocks noChangeArrowheads="1" noChangeAspect="1"/>
                    </pic:cNvPicPr>
                  </pic:nvPicPr>
                  <pic:blipFill>
                    <a:blip r:embed="rId6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3-7: Time Profile Analysis</w:t>
      </w:r>
    </w:p>
    <w:p>
      <w:pPr>
        <w:pStyle w:val="BodyText"/>
      </w:pPr>
      <w:r>
        <w:t xml:space="preserve"> </w:t>
      </w:r>
    </w:p>
    <w:bookmarkEnd w:id="70"/>
    <w:bookmarkStart w:id="125" w:name="model-verification"/>
    <w:p>
      <w:pPr>
        <w:pStyle w:val="Heading3"/>
      </w:pPr>
      <w:r>
        <w:t xml:space="preserve">Model Verification</w:t>
      </w:r>
      <w:bookmarkStart w:id="332" w:name="332"/>
      <w:bookmarkEnd w:id="332"/>
    </w:p>
    <w:br w:type="page"/>
    <w:p>
      <w:pPr>
        <w:pStyle w:val="FirstParagraph"/>
      </w:pPr>
      <w:bookmarkStart w:id="figure-3-8" w:name="figure-3-8"/>
      <w:bookmarkEnd w:id="figure-3-8"/>
    </w:p>
    <w:p>
      <w:pPr>
        <w:pStyle w:val="BodyText"/>
      </w:pPr>
      <w:r>
        <w:drawing>
          <wp:inline>
            <wp:extent cx="5969000" cy="4548378"/>
            <wp:effectExtent b="0" l="0" r="0" t="0"/>
            <wp:docPr descr="" title="" id="72" name="Picture"/>
            <a:graphic>
              <a:graphicData uri="http://schemas.openxmlformats.org/drawingml/2006/picture">
                <pic:pic>
                  <pic:nvPicPr>
                    <pic:cNvPr descr="images/006_section_3/009_section_33/011_section_332/1_time_profile_plot_Atorvastatin_Gandelman_2011_2_atorvastatin_10mg_sd_po_test.png" id="73" name="Picture"/>
                    <pic:cNvPicPr>
                      <a:picLocks noChangeArrowheads="1" noChangeAspect="1"/>
                    </pic:cNvPicPr>
                  </pic:nvPicPr>
                  <pic:blipFill>
                    <a:blip r:embed="rId71"/>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3-8: Time Profile Analysis</w:t>
      </w:r>
    </w:p>
    <w:p>
      <w:pPr>
        <w:pStyle w:val="BodyText"/>
      </w:pPr>
      <w:r>
        <w:t xml:space="preserve"> </w:t>
      </w:r>
    </w:p>
    <w:br w:type="page"/>
    <w:p>
      <w:pPr>
        <w:pStyle w:val="BodyText"/>
      </w:pPr>
      <w:bookmarkStart w:id="figure-3-9" w:name="figure-3-9"/>
      <w:bookmarkEnd w:id="figure-3-9"/>
    </w:p>
    <w:p>
      <w:pPr>
        <w:pStyle w:val="BodyText"/>
      </w:pPr>
      <w:r>
        <w:drawing>
          <wp:inline>
            <wp:extent cx="5969000" cy="4548378"/>
            <wp:effectExtent b="0" l="0" r="0" t="0"/>
            <wp:docPr descr="" title="" id="75" name="Picture"/>
            <a:graphic>
              <a:graphicData uri="http://schemas.openxmlformats.org/drawingml/2006/picture">
                <pic:pic>
                  <pic:nvPicPr>
                    <pic:cNvPr descr="images/006_section_3/009_section_33/011_section_332/2_time_profile_plot_Atorvastatin_Patino_Rodriguez_2015_atorvastatin_20mg_sd_po_test.png" id="76" name="Picture"/>
                    <pic:cNvPicPr>
                      <a:picLocks noChangeArrowheads="1" noChangeAspect="1"/>
                    </pic:cNvPicPr>
                  </pic:nvPicPr>
                  <pic:blipFill>
                    <a:blip r:embed="rId74"/>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4548378"/>
            <wp:effectExtent b="0" l="0" r="0" t="0"/>
            <wp:docPr descr="" title="" id="78" name="Picture"/>
            <a:graphic>
              <a:graphicData uri="http://schemas.openxmlformats.org/drawingml/2006/picture">
                <pic:pic>
                  <pic:nvPicPr>
                    <pic:cNvPr descr="images/006_section_3/009_section_33/011_section_332/3_time_profile_plot_Atorvastatin_Bullman_2011_2_atorvastatin_40mg_md_po_test.png" id="79" name="Picture"/>
                    <pic:cNvPicPr>
                      <a:picLocks noChangeArrowheads="1" noChangeAspect="1"/>
                    </pic:cNvPicPr>
                  </pic:nvPicPr>
                  <pic:blipFill>
                    <a:blip r:embed="rId7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3-10: Time Profile Analysis</w:t>
      </w:r>
    </w:p>
    <w:p>
      <w:pPr>
        <w:pStyle w:val="BodyText"/>
      </w:pPr>
      <w:r>
        <w:t xml:space="preserve"> </w:t>
      </w:r>
    </w:p>
    <w:br w:type="page"/>
    <w:p>
      <w:pPr>
        <w:pStyle w:val="BodyText"/>
      </w:pPr>
      <w:bookmarkStart w:id="figure-3-11" w:name="figure-3-11"/>
      <w:bookmarkEnd w:id="figure-3-11"/>
    </w:p>
    <w:p>
      <w:pPr>
        <w:pStyle w:val="BodyText"/>
      </w:pPr>
      <w:r>
        <w:drawing>
          <wp:inline>
            <wp:extent cx="5969000" cy="4548378"/>
            <wp:effectExtent b="0" l="0" r="0" t="0"/>
            <wp:docPr descr="" title="" id="81" name="Picture"/>
            <a:graphic>
              <a:graphicData uri="http://schemas.openxmlformats.org/drawingml/2006/picture">
                <pic:pic>
                  <pic:nvPicPr>
                    <pic:cNvPr descr="images/006_section_3/009_section_33/011_section_332/4_time_profile_plot_Atorvastatin_Whitfield_2011_atorvastatin_40mg_sd_po_test.png" id="82" name="Picture"/>
                    <pic:cNvPicPr>
                      <a:picLocks noChangeArrowheads="1" noChangeAspect="1"/>
                    </pic:cNvPicPr>
                  </pic:nvPicPr>
                  <pic:blipFill>
                    <a:blip r:embed="rId80"/>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3-11: Time Profile Analysis</w:t>
      </w:r>
    </w:p>
    <w:p>
      <w:pPr>
        <w:pStyle w:val="BodyText"/>
      </w:pPr>
      <w:r>
        <w:t xml:space="preserve"> </w:t>
      </w:r>
    </w:p>
    <w:br w:type="page"/>
    <w:p>
      <w:pPr>
        <w:pStyle w:val="BodyText"/>
      </w:pPr>
      <w:bookmarkStart w:id="figure-3-12" w:name="figure-3-12"/>
      <w:bookmarkEnd w:id="figure-3-12"/>
    </w:p>
    <w:p>
      <w:pPr>
        <w:pStyle w:val="BodyText"/>
      </w:pPr>
      <w:r>
        <w:drawing>
          <wp:inline>
            <wp:extent cx="5969000" cy="4548378"/>
            <wp:effectExtent b="0" l="0" r="0" t="0"/>
            <wp:docPr descr="" title="" id="84" name="Picture"/>
            <a:graphic>
              <a:graphicData uri="http://schemas.openxmlformats.org/drawingml/2006/picture">
                <pic:pic>
                  <pic:nvPicPr>
                    <pic:cNvPr descr="images/006_section_3/009_section_33/011_section_332/5_time_profile_plot_Atorvastatin_Gandelman_2011_2_atorvastatin_80mg_sd_po_test.png" id="85" name="Picture"/>
                    <pic:cNvPicPr>
                      <a:picLocks noChangeArrowheads="1" noChangeAspect="1"/>
                    </pic:cNvPicPr>
                  </pic:nvPicPr>
                  <pic:blipFill>
                    <a:blip r:embed="rId83"/>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3-12: Time Profile Analysis</w:t>
      </w:r>
    </w:p>
    <w:p>
      <w:pPr>
        <w:pStyle w:val="BodyText"/>
      </w:pPr>
      <w:r>
        <w:t xml:space="preserve"> </w:t>
      </w:r>
    </w:p>
    <w:br w:type="page"/>
    <w:p>
      <w:pPr>
        <w:pStyle w:val="BodyText"/>
      </w:pPr>
      <w:bookmarkStart w:id="figure-3-13" w:name="figure-3-13"/>
      <w:bookmarkEnd w:id="figure-3-13"/>
    </w:p>
    <w:p>
      <w:pPr>
        <w:pStyle w:val="BodyText"/>
      </w:pPr>
      <w:r>
        <w:drawing>
          <wp:inline>
            <wp:extent cx="5969000" cy="4548378"/>
            <wp:effectExtent b="0" l="0" r="0" t="0"/>
            <wp:docPr descr="" title="" id="87" name="Picture"/>
            <a:graphic>
              <a:graphicData uri="http://schemas.openxmlformats.org/drawingml/2006/picture">
                <pic:pic>
                  <pic:nvPicPr>
                    <pic:cNvPr descr="images/006_section_3/009_section_33/011_section_332/6_time_profile_plot_Atorvastatin_Gandelman_2011_1_atorvastatin_80mg_sd_po_test.png" id="88" name="Picture"/>
                    <pic:cNvPicPr>
                      <a:picLocks noChangeArrowheads="1" noChangeAspect="1"/>
                    </pic:cNvPicPr>
                  </pic:nvPicPr>
                  <pic:blipFill>
                    <a:blip r:embed="rId86"/>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3-13: Time Profile Analysis</w:t>
      </w:r>
    </w:p>
    <w:p>
      <w:pPr>
        <w:pStyle w:val="BodyText"/>
      </w:pPr>
      <w:r>
        <w:t xml:space="preserve"> </w:t>
      </w:r>
    </w:p>
    <w:br w:type="page"/>
    <w:p>
      <w:pPr>
        <w:pStyle w:val="BodyText"/>
      </w:pPr>
      <w:bookmarkStart w:id="figure-3-14" w:name="figure-3-14"/>
      <w:bookmarkEnd w:id="figure-3-14"/>
    </w:p>
    <w:p>
      <w:pPr>
        <w:pStyle w:val="BodyText"/>
      </w:pPr>
      <w:r>
        <w:drawing>
          <wp:inline>
            <wp:extent cx="5969000" cy="4462424"/>
            <wp:effectExtent b="0" l="0" r="0" t="0"/>
            <wp:docPr descr="" title="" id="90" name="Picture"/>
            <a:graphic>
              <a:graphicData uri="http://schemas.openxmlformats.org/drawingml/2006/picture">
                <pic:pic>
                  <pic:nvPicPr>
                    <pic:cNvPr descr="images/006_section_3/009_section_33/011_section_332/7_time_profile_plot_Atorvastatin_Spirito_2008_atorvastatin_80mg_md_po_test.png" id="91" name="Picture"/>
                    <pic:cNvPicPr>
                      <a:picLocks noChangeArrowheads="1" noChangeAspect="1"/>
                    </pic:cNvPicPr>
                  </pic:nvPicPr>
                  <pic:blipFill>
                    <a:blip r:embed="rId89"/>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3-14: Time Profile Analysis</w:t>
      </w:r>
    </w:p>
    <w:p>
      <w:pPr>
        <w:pStyle w:val="BodyText"/>
      </w:pPr>
      <w:r>
        <w:t xml:space="preserve"> </w:t>
      </w:r>
    </w:p>
    <w:br w:type="page"/>
    <w:p>
      <w:pPr>
        <w:pStyle w:val="BodyText"/>
      </w:pPr>
      <w:bookmarkStart w:id="figure-3-15" w:name="figure-3-15"/>
      <w:bookmarkEnd w:id="figure-3-15"/>
    </w:p>
    <w:p>
      <w:pPr>
        <w:pStyle w:val="BodyText"/>
      </w:pPr>
      <w:r>
        <w:drawing>
          <wp:inline>
            <wp:extent cx="5969000" cy="4462424"/>
            <wp:effectExtent b="0" l="0" r="0" t="0"/>
            <wp:docPr descr="" title="" id="93" name="Picture"/>
            <a:graphic>
              <a:graphicData uri="http://schemas.openxmlformats.org/drawingml/2006/picture">
                <pic:pic>
                  <pic:nvPicPr>
                    <pic:cNvPr descr="images/006_section_3/009_section_33/011_section_332/8_time_profile_plot_Atorvastatin_Park_2022_atorvastatin_80mg_sd_po_CYP3A5IM_test.png" id="94" name="Picture"/>
                    <pic:cNvPicPr>
                      <a:picLocks noChangeArrowheads="1" noChangeAspect="1"/>
                    </pic:cNvPicPr>
                  </pic:nvPicPr>
                  <pic:blipFill>
                    <a:blip r:embed="rId92"/>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3-15: Time Profile Analysis</w:t>
      </w:r>
    </w:p>
    <w:p>
      <w:pPr>
        <w:pStyle w:val="BodyText"/>
      </w:pPr>
      <w:r>
        <w:t xml:space="preserve"> </w:t>
      </w:r>
    </w:p>
    <w:br w:type="page"/>
    <w:p>
      <w:pPr>
        <w:pStyle w:val="BodyText"/>
      </w:pPr>
      <w:bookmarkStart w:id="figure-3-16" w:name="figure-3-16"/>
      <w:bookmarkEnd w:id="figure-3-16"/>
    </w:p>
    <w:p>
      <w:pPr>
        <w:pStyle w:val="BodyText"/>
      </w:pPr>
      <w:r>
        <w:drawing>
          <wp:inline>
            <wp:extent cx="5969000" cy="4462424"/>
            <wp:effectExtent b="0" l="0" r="0" t="0"/>
            <wp:docPr descr="" title="" id="96" name="Picture"/>
            <a:graphic>
              <a:graphicData uri="http://schemas.openxmlformats.org/drawingml/2006/picture">
                <pic:pic>
                  <pic:nvPicPr>
                    <pic:cNvPr descr="images/006_section_3/009_section_33/011_section_332/9_time_profile_plot_Atorvastatin_Park_2022_atorvastatin_80mg_sd_po_CYP3A5NM_test.png" id="97" name="Picture"/>
                    <pic:cNvPicPr>
                      <a:picLocks noChangeArrowheads="1" noChangeAspect="1"/>
                    </pic:cNvPicPr>
                  </pic:nvPicPr>
                  <pic:blipFill>
                    <a:blip r:embed="rId95"/>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3-16: Time Profile Analysis</w:t>
      </w:r>
    </w:p>
    <w:p>
      <w:pPr>
        <w:pStyle w:val="BodyText"/>
      </w:pPr>
      <w:r>
        <w:t xml:space="preserve"> </w:t>
      </w:r>
    </w:p>
    <w:br w:type="page"/>
    <w:p>
      <w:pPr>
        <w:pStyle w:val="BodyText"/>
      </w:pPr>
      <w:bookmarkStart w:id="figure-3-17" w:name="figure-3-17"/>
      <w:bookmarkEnd w:id="figure-3-17"/>
    </w:p>
    <w:p>
      <w:pPr>
        <w:pStyle w:val="BodyText"/>
      </w:pPr>
      <w:r>
        <w:drawing>
          <wp:inline>
            <wp:extent cx="5969000" cy="4462424"/>
            <wp:effectExtent b="0" l="0" r="0" t="0"/>
            <wp:docPr descr="" title="" id="99" name="Picture"/>
            <a:graphic>
              <a:graphicData uri="http://schemas.openxmlformats.org/drawingml/2006/picture">
                <pic:pic>
                  <pic:nvPicPr>
                    <pic:cNvPr descr="images/006_section_3/009_section_33/011_section_332/10_time_profile_plot_Atorvastatin_Park_2022_atorvastatin_80mg_sd_po_CYP3A5PM_test.png" id="100" name="Picture"/>
                    <pic:cNvPicPr>
                      <a:picLocks noChangeArrowheads="1" noChangeAspect="1"/>
                    </pic:cNvPicPr>
                  </pic:nvPicPr>
                  <pic:blipFill>
                    <a:blip r:embed="rId98"/>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3-17: Time Profile Analysis</w:t>
      </w:r>
    </w:p>
    <w:p>
      <w:pPr>
        <w:pStyle w:val="BodyText"/>
      </w:pPr>
      <w:r>
        <w:t xml:space="preserve"> </w:t>
      </w:r>
    </w:p>
    <w:br w:type="page"/>
    <w:p>
      <w:pPr>
        <w:pStyle w:val="BodyText"/>
      </w:pPr>
      <w:bookmarkStart w:id="figure-3-18" w:name="figure-3-18"/>
      <w:bookmarkEnd w:id="figure-3-18"/>
    </w:p>
    <w:p>
      <w:pPr>
        <w:pStyle w:val="BodyText"/>
      </w:pPr>
      <w:r>
        <w:drawing>
          <wp:inline>
            <wp:extent cx="5969000" cy="4548378"/>
            <wp:effectExtent b="0" l="0" r="0" t="0"/>
            <wp:docPr descr="" title="" id="102" name="Picture"/>
            <a:graphic>
              <a:graphicData uri="http://schemas.openxmlformats.org/drawingml/2006/picture">
                <pic:pic>
                  <pic:nvPicPr>
                    <pic:cNvPr descr="images/006_section_3/009_section_33/011_section_332/11_time_profile_plot_Atorvastatin_Mazzu_2020_atorvastatin_20mg_sd_po_control_test.png" id="103" name="Picture"/>
                    <pic:cNvPicPr>
                      <a:picLocks noChangeArrowheads="1" noChangeAspect="1"/>
                    </pic:cNvPicPr>
                  </pic:nvPicPr>
                  <pic:blipFill>
                    <a:blip r:embed="rId101"/>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3-18: Time Profile Analysis</w:t>
      </w:r>
    </w:p>
    <w:p>
      <w:pPr>
        <w:pStyle w:val="BodyText"/>
      </w:pPr>
      <w:r>
        <w:t xml:space="preserve"> </w:t>
      </w:r>
    </w:p>
    <w:br w:type="page"/>
    <w:p>
      <w:pPr>
        <w:pStyle w:val="BodyText"/>
      </w:pPr>
      <w:bookmarkStart w:id="figure-3-19" w:name="figure-3-19"/>
      <w:bookmarkEnd w:id="figure-3-19"/>
    </w:p>
    <w:p>
      <w:pPr>
        <w:pStyle w:val="BodyText"/>
      </w:pPr>
      <w:r>
        <w:drawing>
          <wp:inline>
            <wp:extent cx="5969000" cy="4548378"/>
            <wp:effectExtent b="0" l="0" r="0" t="0"/>
            <wp:docPr descr="" title="" id="105" name="Picture"/>
            <a:graphic>
              <a:graphicData uri="http://schemas.openxmlformats.org/drawingml/2006/picture">
                <pic:pic>
                  <pic:nvPicPr>
                    <pic:cNvPr descr="images/006_section_3/009_section_33/011_section_332/12_time_profile_plot_Atorvastatin_Shin_2011_3A5expressor_atorvastatin_20mg_sd_po_control_test.png" id="106" name="Picture"/>
                    <pic:cNvPicPr>
                      <a:picLocks noChangeArrowheads="1" noChangeAspect="1"/>
                    </pic:cNvPicPr>
                  </pic:nvPicPr>
                  <pic:blipFill>
                    <a:blip r:embed="rId104"/>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3-19: Time Profile Analysis</w:t>
      </w:r>
    </w:p>
    <w:p>
      <w:pPr>
        <w:pStyle w:val="BodyText"/>
      </w:pPr>
      <w:r>
        <w:t xml:space="preserve"> </w:t>
      </w:r>
    </w:p>
    <w:br w:type="page"/>
    <w:p>
      <w:pPr>
        <w:pStyle w:val="BodyText"/>
      </w:pPr>
      <w:bookmarkStart w:id="figure-3-20" w:name="figure-3-20"/>
      <w:bookmarkEnd w:id="figure-3-20"/>
    </w:p>
    <w:p>
      <w:pPr>
        <w:pStyle w:val="BodyText"/>
      </w:pPr>
      <w:r>
        <w:drawing>
          <wp:inline>
            <wp:extent cx="5969000" cy="4548378"/>
            <wp:effectExtent b="0" l="0" r="0" t="0"/>
            <wp:docPr descr="" title="" id="108" name="Picture"/>
            <a:graphic>
              <a:graphicData uri="http://schemas.openxmlformats.org/drawingml/2006/picture">
                <pic:pic>
                  <pic:nvPicPr>
                    <pic:cNvPr descr="images/006_section_3/009_section_33/011_section_332/13_time_profile_plot_Atorvastatin_Shin_2011_3A5nonexpressor_atorvastatin_20mg_sd_po_control_test.png" id="109" name="Picture"/>
                    <pic:cNvPicPr>
                      <a:picLocks noChangeArrowheads="1" noChangeAspect="1"/>
                    </pic:cNvPicPr>
                  </pic:nvPicPr>
                  <pic:blipFill>
                    <a:blip r:embed="rId10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3-20: Time Profile Analysis</w:t>
      </w:r>
    </w:p>
    <w:p>
      <w:pPr>
        <w:pStyle w:val="BodyText"/>
      </w:pPr>
      <w:r>
        <w:t xml:space="preserve"> </w:t>
      </w:r>
    </w:p>
    <w:br w:type="page"/>
    <w:p>
      <w:pPr>
        <w:pStyle w:val="BodyText"/>
      </w:pPr>
      <w:bookmarkStart w:id="figure-3-21" w:name="figure-3-21"/>
      <w:bookmarkEnd w:id="figure-3-21"/>
    </w:p>
    <w:p>
      <w:pPr>
        <w:pStyle w:val="BodyText"/>
      </w:pPr>
      <w:r>
        <w:drawing>
          <wp:inline>
            <wp:extent cx="5969000" cy="4548378"/>
            <wp:effectExtent b="0" l="0" r="0" t="0"/>
            <wp:docPr descr="" title="" id="111" name="Picture"/>
            <a:graphic>
              <a:graphicData uri="http://schemas.openxmlformats.org/drawingml/2006/picture">
                <pic:pic>
                  <pic:nvPicPr>
                    <pic:cNvPr descr="images/006_section_3/009_section_33/011_section_332/14_time_profile_plot_Atorvastatin_Siedlik_1999_atorvastatin_10mg_sd_po_control_test.png" id="112" name="Picture"/>
                    <pic:cNvPicPr>
                      <a:picLocks noChangeArrowheads="1" noChangeAspect="1"/>
                    </pic:cNvPicPr>
                  </pic:nvPicPr>
                  <pic:blipFill>
                    <a:blip r:embed="rId110"/>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3-21: Time Profile Analysis</w:t>
      </w:r>
    </w:p>
    <w:p>
      <w:pPr>
        <w:pStyle w:val="BodyText"/>
      </w:pPr>
      <w:r>
        <w:t xml:space="preserve"> </w:t>
      </w:r>
    </w:p>
    <w:br w:type="page"/>
    <w:p>
      <w:pPr>
        <w:pStyle w:val="BodyText"/>
      </w:pPr>
      <w:bookmarkStart w:id="figure-3-22" w:name="figure-3-22"/>
      <w:bookmarkEnd w:id="figure-3-22"/>
    </w:p>
    <w:p>
      <w:pPr>
        <w:pStyle w:val="BodyText"/>
      </w:pPr>
      <w:r>
        <w:drawing>
          <wp:inline>
            <wp:extent cx="5969000" cy="4548378"/>
            <wp:effectExtent b="0" l="0" r="0" t="0"/>
            <wp:docPr descr="" title="" id="114" name="Picture"/>
            <a:graphic>
              <a:graphicData uri="http://schemas.openxmlformats.org/drawingml/2006/picture">
                <pic:pic>
                  <pic:nvPicPr>
                    <pic:cNvPr descr="images/006_section_3/009_section_33/011_section_332/15_time_profile_plot_Atorvastatin_Backmann_2005_atorvastatin_40mg_sd_po_control_test.png" id="115" name="Picture"/>
                    <pic:cNvPicPr>
                      <a:picLocks noChangeArrowheads="1" noChangeAspect="1"/>
                    </pic:cNvPicPr>
                  </pic:nvPicPr>
                  <pic:blipFill>
                    <a:blip r:embed="rId113"/>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3-22: Time Profile Analysis</w:t>
      </w:r>
    </w:p>
    <w:p>
      <w:pPr>
        <w:pStyle w:val="BodyText"/>
      </w:pPr>
      <w:r>
        <w:t xml:space="preserve"> </w:t>
      </w:r>
    </w:p>
    <w:br w:type="page"/>
    <w:p>
      <w:pPr>
        <w:pStyle w:val="BodyText"/>
      </w:pPr>
      <w:bookmarkStart w:id="figure-3-23" w:name="figure-3-23"/>
      <w:bookmarkEnd w:id="figure-3-23"/>
    </w:p>
    <w:p>
      <w:pPr>
        <w:pStyle w:val="BodyText"/>
      </w:pPr>
      <w:r>
        <w:drawing>
          <wp:inline>
            <wp:extent cx="5969000" cy="4548378"/>
            <wp:effectExtent b="0" l="0" r="0" t="0"/>
            <wp:docPr descr="" title="" id="117" name="Picture"/>
            <a:graphic>
              <a:graphicData uri="http://schemas.openxmlformats.org/drawingml/2006/picture">
                <pic:pic>
                  <pic:nvPicPr>
                    <pic:cNvPr descr="images/006_section_3/009_section_33/011_section_332/16_time_profile_plot_Atorvastatin_Lau_2007_atorvastatin_40mg_sd_po_control_test.png" id="118" name="Picture"/>
                    <pic:cNvPicPr>
                      <a:picLocks noChangeArrowheads="1" noChangeAspect="1"/>
                    </pic:cNvPicPr>
                  </pic:nvPicPr>
                  <pic:blipFill>
                    <a:blip r:embed="rId116"/>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3-23: Time Profile Analysis</w:t>
      </w:r>
    </w:p>
    <w:p>
      <w:pPr>
        <w:pStyle w:val="BodyText"/>
      </w:pPr>
      <w:r>
        <w:t xml:space="preserve"> </w:t>
      </w:r>
    </w:p>
    <w:br w:type="page"/>
    <w:p>
      <w:pPr>
        <w:pStyle w:val="BodyText"/>
      </w:pPr>
      <w:bookmarkStart w:id="figure-3-24" w:name="figure-3-24"/>
      <w:bookmarkEnd w:id="figure-3-24"/>
    </w:p>
    <w:p>
      <w:pPr>
        <w:pStyle w:val="BodyText"/>
      </w:pPr>
      <w:r>
        <w:drawing>
          <wp:inline>
            <wp:extent cx="5969000" cy="4901742"/>
            <wp:effectExtent b="0" l="0" r="0" t="0"/>
            <wp:docPr descr="" title="" id="120" name="Picture"/>
            <a:graphic>
              <a:graphicData uri="http://schemas.openxmlformats.org/drawingml/2006/picture">
                <pic:pic>
                  <pic:nvPicPr>
                    <pic:cNvPr descr="images/006_section_3/009_section_33/011_section_332/17_time_profile_plot_Atorvastatin_Mori2020_Takehara2018_atorvastatin_1mg_sd_po_control_test.png" id="121" name="Picture"/>
                    <pic:cNvPicPr>
                      <a:picLocks noChangeArrowheads="1" noChangeAspect="1"/>
                    </pic:cNvPicPr>
                  </pic:nvPicPr>
                  <pic:blipFill>
                    <a:blip r:embed="rId119"/>
                    <a:stretch>
                      <a:fillRect/>
                    </a:stretch>
                  </pic:blipFill>
                  <pic:spPr bwMode="auto">
                    <a:xfrm>
                      <a:off x="0" y="0"/>
                      <a:ext cx="5969000" cy="4901742"/>
                    </a:xfrm>
                    <a:prstGeom prst="rect">
                      <a:avLst/>
                    </a:prstGeom>
                    <a:noFill/>
                    <a:ln w="9525">
                      <a:noFill/>
                      <a:headEnd/>
                      <a:tailEnd/>
                    </a:ln>
                  </pic:spPr>
                </pic:pic>
              </a:graphicData>
            </a:graphic>
          </wp:inline>
        </w:drawing>
      </w:r>
    </w:p>
    <w:p>
      <w:pPr>
        <w:pStyle w:val="BodyText"/>
      </w:pPr>
      <w:r>
        <w:rPr>
          <w:bCs/>
          <w:b/>
        </w:rPr>
        <w:t xml:space="preserve">Figure 3-24: Time Profile Analysis</w:t>
      </w:r>
    </w:p>
    <w:p>
      <w:pPr>
        <w:pStyle w:val="BodyText"/>
      </w:pPr>
      <w:r>
        <w:t xml:space="preserve"> </w:t>
      </w:r>
    </w:p>
    <w:br w:type="page"/>
    <w:p>
      <w:pPr>
        <w:pStyle w:val="BodyText"/>
      </w:pPr>
      <w:bookmarkStart w:id="figure-3-25" w:name="figure-3-25"/>
      <w:bookmarkEnd w:id="figure-3-25"/>
    </w:p>
    <w:p>
      <w:pPr>
        <w:pStyle w:val="BodyText"/>
      </w:pPr>
      <w:r>
        <w:drawing>
          <wp:inline>
            <wp:extent cx="5969000" cy="4901742"/>
            <wp:effectExtent b="0" l="0" r="0" t="0"/>
            <wp:docPr descr="" title="" id="123" name="Picture"/>
            <a:graphic>
              <a:graphicData uri="http://schemas.openxmlformats.org/drawingml/2006/picture">
                <pic:pic>
                  <pic:nvPicPr>
                    <pic:cNvPr descr="images/006_section_3/009_section_33/011_section_332/18_time_profile_plot_Atorvastatin_Mori2020_Takehara2018_atorvastatin_1mg_sd_po_control_test.png" id="124" name="Picture"/>
                    <pic:cNvPicPr>
                      <a:picLocks noChangeArrowheads="1" noChangeAspect="1"/>
                    </pic:cNvPicPr>
                  </pic:nvPicPr>
                  <pic:blipFill>
                    <a:blip r:embed="rId122"/>
                    <a:stretch>
                      <a:fillRect/>
                    </a:stretch>
                  </pic:blipFill>
                  <pic:spPr bwMode="auto">
                    <a:xfrm>
                      <a:off x="0" y="0"/>
                      <a:ext cx="5969000" cy="4901742"/>
                    </a:xfrm>
                    <a:prstGeom prst="rect">
                      <a:avLst/>
                    </a:prstGeom>
                    <a:noFill/>
                    <a:ln w="9525">
                      <a:noFill/>
                      <a:headEnd/>
                      <a:tailEnd/>
                    </a:ln>
                  </pic:spPr>
                </pic:pic>
              </a:graphicData>
            </a:graphic>
          </wp:inline>
        </w:drawing>
      </w:r>
    </w:p>
    <w:p>
      <w:pPr>
        <w:pStyle w:val="BodyText"/>
      </w:pPr>
      <w:r>
        <w:rPr>
          <w:bCs/>
          <w:b/>
        </w:rPr>
        <w:t xml:space="preserve">Figure 3-25: Time Profile Analysis</w:t>
      </w:r>
    </w:p>
    <w:p>
      <w:pPr>
        <w:pStyle w:val="BodyText"/>
      </w:pPr>
      <w:r>
        <w:t xml:space="preserve"> </w:t>
      </w:r>
    </w:p>
    <w:bookmarkEnd w:id="125"/>
    <w:bookmarkEnd w:id="126"/>
    <w:bookmarkEnd w:id="127"/>
    <w:bookmarkStart w:id="128" w:name="conclusion"/>
    <w:p>
      <w:pPr>
        <w:pStyle w:val="Heading1"/>
      </w:pPr>
      <w:r>
        <w:t xml:space="preserve">Conclusion</w:t>
      </w:r>
      <w:bookmarkStart w:id="4" w:name="4"/>
      <w:bookmarkEnd w:id="4"/>
    </w:p>
    <w:p>
      <w:pPr>
        <w:pStyle w:val="FirstParagraph"/>
      </w:pPr>
      <w:r>
        <w:t xml:space="preserve">A whole-body PBPK model for atorvastatin acid has been successfully developed and verified integrating data of 15 clinical trials. Overall the model is able to adequately describe and predict atorvastatin acid plasma concentration-time profiles after single and multiple oral administrations across the range of 1 to 80 mg in healthy subjects.The final PBPK model comprises metabolism via CYP3A4 and CYP3A5 (if present) and also transport processes via BCRP, OATP1B1/1B3, and P-gp. Moreover, the established PBPK model enriches the openly accessible PBPK model library by a new CYP3A4 and OATP1B1/1B3 substrate.</w:t>
      </w:r>
    </w:p>
    <w:bookmarkEnd w:id="128"/>
    <w:bookmarkStart w:id="130" w:name="references"/>
    <w:p>
      <w:pPr>
        <w:pStyle w:val="Heading1"/>
      </w:pPr>
      <w:r>
        <w:t xml:space="preserve">References</w:t>
      </w:r>
      <w:bookmarkStart w:id="5" w:name="5"/>
      <w:bookmarkEnd w:id="5"/>
    </w:p>
    <w:p>
      <w:pPr>
        <w:pStyle w:val="FirstParagraph"/>
      </w:pPr>
      <w:r>
        <w:rPr>
          <w:bCs/>
          <w:b/>
        </w:rPr>
        <w:t xml:space="preserve">Gandelman 2011</w:t>
      </w:r>
      <w:r>
        <w:t xml:space="preserve"> </w:t>
      </w:r>
      <w:r>
        <w:t xml:space="preserve">Gandelman K, Malhotra B, LaBadie RR, Crownover P, Bergstrom T (2011) Analytes of Interest and Choice of Dose: Two Important Considerations in the Design of Bioequivalence Studies with Atorvastatin.</w:t>
      </w:r>
      <w:r>
        <w:t xml:space="preserve"> </w:t>
      </w:r>
      <w:r>
        <w:rPr>
          <w:iCs/>
          <w:i/>
        </w:rPr>
        <w:t xml:space="preserve">Journal of Bioequivalence &amp; Bioavailability</w:t>
      </w:r>
      <w:r>
        <w:t xml:space="preserve"> </w:t>
      </w:r>
      <w:r>
        <w:rPr>
          <w:iCs/>
          <w:i/>
        </w:rPr>
        <w:t xml:space="preserve">3</w:t>
      </w:r>
      <w:r>
        <w:t xml:space="preserve">(4):062–068.</w:t>
      </w:r>
    </w:p>
    <w:p>
      <w:pPr>
        <w:pStyle w:val="BodyText"/>
      </w:pPr>
      <w:r>
        <w:rPr>
          <w:bCs/>
          <w:b/>
        </w:rPr>
        <w:t xml:space="preserve">Patiño-Rodríguez 2015</w:t>
      </w:r>
      <w:r>
        <w:t xml:space="preserve"> </w:t>
      </w:r>
      <w:r>
        <w:t xml:space="preserve">Patiño-Rodríguez O, Martínez-Medina RM, Torres-Roque I, Martínez-Delgado M, Mares-García AS, Escobedo-Moratilla A, Covarrubias-Pinedo A, Arzola-Paniagua A, Herrera-Torres JL, Pérez-Urizar J (2015) Absence of a significant pharmacokinetic interaction between atorvastatin and fenofibrate: a randomized, crossover, study of a fixed-dose formulation in healthy Mexican subjects.</w:t>
      </w:r>
      <w:r>
        <w:t xml:space="preserve"> </w:t>
      </w:r>
      <w:r>
        <w:rPr>
          <w:iCs/>
          <w:i/>
        </w:rPr>
        <w:t xml:space="preserve">Front Pharmacol.</w:t>
      </w:r>
      <w:r>
        <w:t xml:space="preserve"> </w:t>
      </w:r>
      <w:r>
        <w:rPr>
          <w:iCs/>
          <w:i/>
        </w:rPr>
        <w:t xml:space="preserve">6</w:t>
      </w:r>
      <w:r>
        <w:t xml:space="preserve">(4).</w:t>
      </w:r>
    </w:p>
    <w:p>
      <w:pPr>
        <w:pStyle w:val="BodyText"/>
      </w:pPr>
      <w:r>
        <w:rPr>
          <w:bCs/>
          <w:b/>
        </w:rPr>
        <w:t xml:space="preserve">Bullman 2011</w:t>
      </w:r>
      <w:r>
        <w:t xml:space="preserve"> </w:t>
      </w:r>
      <w:r>
        <w:t xml:space="preserve">Bullman J, Nicholls A, Van Landingham K, Fleck R, Vuong A, Miller J, Alexander S, Messenheimer J (2011) Effects of lamotrigine and phenytoin on the pharmacokinetics of atorvastatin in healthy volunteers.</w:t>
      </w:r>
      <w:r>
        <w:t xml:space="preserve"> </w:t>
      </w:r>
      <w:r>
        <w:rPr>
          <w:iCs/>
          <w:i/>
        </w:rPr>
        <w:t xml:space="preserve">Epilepsia</w:t>
      </w:r>
      <w:r>
        <w:t xml:space="preserve"> </w:t>
      </w:r>
      <w:r>
        <w:rPr>
          <w:iCs/>
          <w:i/>
        </w:rPr>
        <w:t xml:space="preserve">52</w:t>
      </w:r>
      <w:r>
        <w:t xml:space="preserve">(7):1351–8.</w:t>
      </w:r>
    </w:p>
    <w:p>
      <w:pPr>
        <w:pStyle w:val="BodyText"/>
      </w:pPr>
      <w:r>
        <w:rPr>
          <w:bCs/>
          <w:b/>
        </w:rPr>
        <w:t xml:space="preserve">Di Spirito 2008</w:t>
      </w:r>
      <w:r>
        <w:t xml:space="preserve"> </w:t>
      </w:r>
      <w:r>
        <w:t xml:space="preserve">Di Spirito M, Morelli G, Doyle RT, Johnson J, McKenney J (2008) Effect of omega-3-acid ethyl esters on steady-state plasma pharmacokinetics of atorvastatin in healthy adults.</w:t>
      </w:r>
      <w:r>
        <w:t xml:space="preserve"> </w:t>
      </w:r>
      <w:r>
        <w:rPr>
          <w:iCs/>
          <w:i/>
        </w:rPr>
        <w:t xml:space="preserve">Expert Opin Pharmacother.</w:t>
      </w:r>
      <w:r>
        <w:t xml:space="preserve"> </w:t>
      </w:r>
      <w:r>
        <w:rPr>
          <w:iCs/>
          <w:i/>
        </w:rPr>
        <w:t xml:space="preserve">9</w:t>
      </w:r>
      <w:r>
        <w:t xml:space="preserve">(17):2939–45.</w:t>
      </w:r>
    </w:p>
    <w:p>
      <w:pPr>
        <w:pStyle w:val="BodyText"/>
      </w:pPr>
      <w:r>
        <w:rPr>
          <w:bCs/>
          <w:b/>
        </w:rPr>
        <w:t xml:space="preserve">Mazzu 2000</w:t>
      </w:r>
      <w:r>
        <w:t xml:space="preserve"> </w:t>
      </w:r>
      <w:r>
        <w:t xml:space="preserve">Mazzu AL, Lasseter KC, Shamblen EC, Agarwal V, Lettieri J, Sundaresen P (2008) Itraconazole alters the pharmacokinetics of atorvastatin to a greater extent than either cerivastatin or pravastatin.</w:t>
      </w:r>
      <w:r>
        <w:t xml:space="preserve"> </w:t>
      </w:r>
      <w:r>
        <w:rPr>
          <w:iCs/>
          <w:i/>
        </w:rPr>
        <w:t xml:space="preserve">Clin Pharmacol Ther.</w:t>
      </w:r>
      <w:r>
        <w:t xml:space="preserve"> </w:t>
      </w:r>
      <w:r>
        <w:rPr>
          <w:iCs/>
          <w:i/>
        </w:rPr>
        <w:t xml:space="preserve">68</w:t>
      </w:r>
      <w:r>
        <w:t xml:space="preserve">(4):391–400.</w:t>
      </w:r>
    </w:p>
    <w:p>
      <w:pPr>
        <w:pStyle w:val="BodyText"/>
      </w:pPr>
      <w:r>
        <w:rPr>
          <w:bCs/>
          <w:b/>
        </w:rPr>
        <w:t xml:space="preserve">Shin 2011</w:t>
      </w:r>
      <w:r>
        <w:t xml:space="preserve"> </w:t>
      </w:r>
      <w:r>
        <w:t xml:space="preserve">Shin J, Pauly DF, Pacanowski MA, Langaee T, Frye RF, Johnson JA (2011) Effect of cytochrome P450 3A5 genotype on atorvastatin pharmacokinetics and its interaction with clarithromycin.</w:t>
      </w:r>
      <w:r>
        <w:t xml:space="preserve"> </w:t>
      </w:r>
      <w:r>
        <w:rPr>
          <w:iCs/>
          <w:i/>
        </w:rPr>
        <w:t xml:space="preserve">Pharmacotherapy</w:t>
      </w:r>
      <w:r>
        <w:t xml:space="preserve"> </w:t>
      </w:r>
      <w:r>
        <w:rPr>
          <w:iCs/>
          <w:i/>
        </w:rPr>
        <w:t xml:space="preserve">31</w:t>
      </w:r>
      <w:r>
        <w:t xml:space="preserve">(10):942–50.</w:t>
      </w:r>
    </w:p>
    <w:p>
      <w:pPr>
        <w:pStyle w:val="BodyText"/>
      </w:pPr>
      <w:r>
        <w:rPr>
          <w:bCs/>
          <w:b/>
        </w:rPr>
        <w:t xml:space="preserve">Siedlik 1999</w:t>
      </w:r>
      <w:r>
        <w:t xml:space="preserve"> </w:t>
      </w:r>
      <w:r>
        <w:t xml:space="preserve">Siedlik PH, Olson SC, Yang BB, Stern RH. Erythromycin coadministration increases plasma atorvastatin concentrations (1999)</w:t>
      </w:r>
      <w:r>
        <w:t xml:space="preserve"> </w:t>
      </w:r>
      <w:r>
        <w:rPr>
          <w:iCs/>
          <w:i/>
        </w:rPr>
        <w:t xml:space="preserve">J Clin Pharmacol.</w:t>
      </w:r>
      <w:r>
        <w:t xml:space="preserve"> </w:t>
      </w:r>
      <w:r>
        <w:rPr>
          <w:iCs/>
          <w:i/>
        </w:rPr>
        <w:t xml:space="preserve">39</w:t>
      </w:r>
      <w:r>
        <w:t xml:space="preserve">(5):501–4.</w:t>
      </w:r>
    </w:p>
    <w:p>
      <w:pPr>
        <w:pStyle w:val="BodyText"/>
      </w:pPr>
      <w:r>
        <w:rPr>
          <w:bCs/>
          <w:b/>
        </w:rPr>
        <w:t xml:space="preserve">Backman 2005</w:t>
      </w:r>
      <w:r>
        <w:t xml:space="preserve"> </w:t>
      </w:r>
      <w:r>
        <w:t xml:space="preserve">Backman JT, Luurila H, Neuvonen M, Neuvonen PJ (2005) Rifampin markedly decreases and gemfibrozil increases the plasma concentrations of atorvastatin and its metabolites.</w:t>
      </w:r>
      <w:r>
        <w:t xml:space="preserve"> </w:t>
      </w:r>
      <w:r>
        <w:rPr>
          <w:iCs/>
          <w:i/>
        </w:rPr>
        <w:t xml:space="preserve">Clin Pharmacol Ther.</w:t>
      </w:r>
      <w:r>
        <w:t xml:space="preserve"> </w:t>
      </w:r>
      <w:r>
        <w:rPr>
          <w:iCs/>
          <w:i/>
        </w:rPr>
        <w:t xml:space="preserve">78</w:t>
      </w:r>
      <w:r>
        <w:t xml:space="preserve">(2):154–67.</w:t>
      </w:r>
    </w:p>
    <w:p>
      <w:pPr>
        <w:pStyle w:val="BodyText"/>
      </w:pPr>
      <w:r>
        <w:rPr>
          <w:bCs/>
          <w:b/>
        </w:rPr>
        <w:t xml:space="preserve">Whitfield 2010</w:t>
      </w:r>
      <w:r>
        <w:t xml:space="preserve"> </w:t>
      </w:r>
      <w:r>
        <w:t xml:space="preserve">Whitfield LR, Porcari AR, Alvey C, Abel R, Bullen W, Hartman D (2011) Effect of gemfibrozil and fenofibrate on the pharmacokinetics of atorvastatin.</w:t>
      </w:r>
      <w:r>
        <w:t xml:space="preserve"> </w:t>
      </w:r>
      <w:r>
        <w:rPr>
          <w:iCs/>
          <w:i/>
        </w:rPr>
        <w:t xml:space="preserve">J Clin Pharmacol.</w:t>
      </w:r>
      <w:r>
        <w:t xml:space="preserve"> </w:t>
      </w:r>
      <w:r>
        <w:rPr>
          <w:iCs/>
          <w:i/>
        </w:rPr>
        <w:t xml:space="preserve">51</w:t>
      </w:r>
      <w:r>
        <w:t xml:space="preserve">(3):378–88.</w:t>
      </w:r>
    </w:p>
    <w:p>
      <w:pPr>
        <w:pStyle w:val="BodyText"/>
      </w:pPr>
      <w:r>
        <w:rPr>
          <w:bCs/>
          <w:b/>
        </w:rPr>
        <w:t xml:space="preserve">Kantola 1998</w:t>
      </w:r>
      <w:r>
        <w:t xml:space="preserve"> </w:t>
      </w:r>
      <w:r>
        <w:t xml:space="preserve">Kantola T, Kivistö KT, Neuvonen PJ (1998) Effect of itraconazole on the pharmacokinetics of atorvastatin.</w:t>
      </w:r>
      <w:r>
        <w:t xml:space="preserve"> </w:t>
      </w:r>
      <w:r>
        <w:rPr>
          <w:iCs/>
          <w:i/>
        </w:rPr>
        <w:t xml:space="preserve">Clin Pharmacol Ther.</w:t>
      </w:r>
      <w:r>
        <w:t xml:space="preserve"> </w:t>
      </w:r>
      <w:r>
        <w:rPr>
          <w:iCs/>
          <w:i/>
        </w:rPr>
        <w:t xml:space="preserve">64</w:t>
      </w:r>
      <w:r>
        <w:t xml:space="preserve">(1):58–65.</w:t>
      </w:r>
    </w:p>
    <w:p>
      <w:pPr>
        <w:pStyle w:val="BodyText"/>
      </w:pPr>
      <w:r>
        <w:rPr>
          <w:bCs/>
          <w:b/>
        </w:rPr>
        <w:t xml:space="preserve">Lau 2007</w:t>
      </w:r>
      <w:r>
        <w:t xml:space="preserve"> </w:t>
      </w:r>
      <w:r>
        <w:t xml:space="preserve">Lau YY, Huang Y, Frassetto L, Benet LZ (2007) effect of OATP1B transporter inhibition on the pharmacokinetics of atorvastatin in healthy volunteers.</w:t>
      </w:r>
      <w:r>
        <w:t xml:space="preserve"> </w:t>
      </w:r>
      <w:r>
        <w:rPr>
          <w:iCs/>
          <w:i/>
        </w:rPr>
        <w:t xml:space="preserve">Clin Pharmacol Ther.</w:t>
      </w:r>
      <w:r>
        <w:t xml:space="preserve"> </w:t>
      </w:r>
      <w:r>
        <w:rPr>
          <w:iCs/>
          <w:i/>
        </w:rPr>
        <w:t xml:space="preserve">81</w:t>
      </w:r>
      <w:r>
        <w:t xml:space="preserve">(2):194–204.</w:t>
      </w:r>
    </w:p>
    <w:p>
      <w:pPr>
        <w:pStyle w:val="BodyText"/>
      </w:pPr>
      <w:r>
        <w:rPr>
          <w:bCs/>
          <w:b/>
        </w:rPr>
        <w:t xml:space="preserve">Mori 2020</w:t>
      </w:r>
      <w:r>
        <w:t xml:space="preserve"> </w:t>
      </w:r>
      <w:r>
        <w:t xml:space="preserve">Mori D, Kimoto E, Rago B, Kondo Y, King-Ahmad A, Ramanathan R, Wood LS, Johnson JG, Le VH, Vourvahis M, David Rodrigues A, Muto C, Furihata K, Sugiyama Y, Kusuhara H (2020) Dose-Dependent Inhibition of OATP1B by Rifampicin in Healthy Volunteers: Comprehensive Evaluation of Candidate Biomarkers and OATP1B Probe Drugs.</w:t>
      </w:r>
      <w:r>
        <w:t xml:space="preserve"> </w:t>
      </w:r>
      <w:r>
        <w:rPr>
          <w:iCs/>
          <w:i/>
        </w:rPr>
        <w:t xml:space="preserve">Clin Pharmacol Ther.</w:t>
      </w:r>
      <w:r>
        <w:t xml:space="preserve"> </w:t>
      </w:r>
      <w:r>
        <w:rPr>
          <w:iCs/>
          <w:i/>
        </w:rPr>
        <w:t xml:space="preserve">107</w:t>
      </w:r>
      <w:r>
        <w:t xml:space="preserve">(4):1004–1013.</w:t>
      </w:r>
    </w:p>
    <w:p>
      <w:pPr>
        <w:pStyle w:val="BodyText"/>
      </w:pPr>
      <w:r>
        <w:rPr>
          <w:bCs/>
          <w:b/>
        </w:rPr>
        <w:t xml:space="preserve">Takehara 2018</w:t>
      </w:r>
      <w:r>
        <w:t xml:space="preserve"> </w:t>
      </w:r>
      <w:r>
        <w:t xml:space="preserve">Takehara I, Yoshikado T, Ishigame K, Mori D, Furihata KI, Watanabe N, Ando O, Maeda K, Sugiyama Y, Kusuhara H (2018) Comparative Study of the Dose-Dependence of OATP1B Inhibition by Rifampicin Using Probe Drugs and Endogenous Substrates in Healthy Volunteers.</w:t>
      </w:r>
      <w:r>
        <w:t xml:space="preserve"> </w:t>
      </w:r>
      <w:r>
        <w:rPr>
          <w:iCs/>
          <w:i/>
        </w:rPr>
        <w:t xml:space="preserve">Pharm Res.</w:t>
      </w:r>
      <w:r>
        <w:t xml:space="preserve"> </w:t>
      </w:r>
      <w:r>
        <w:rPr>
          <w:iCs/>
          <w:i/>
        </w:rPr>
        <w:t xml:space="preserve">35</w:t>
      </w:r>
      <w:r>
        <w:t xml:space="preserve">(7):138.</w:t>
      </w:r>
    </w:p>
    <w:p>
      <w:pPr>
        <w:pStyle w:val="BodyText"/>
      </w:pPr>
      <w:r>
        <w:rPr>
          <w:bCs/>
          <w:b/>
        </w:rPr>
        <w:t xml:space="preserve">Teng 2013</w:t>
      </w:r>
      <w:r>
        <w:t xml:space="preserve"> </w:t>
      </w:r>
      <w:r>
        <w:t xml:space="preserve">Teng R, Mitchell PD, Butler KA (2013) Pharmacokinetic interaction studies of co-administration of ticagrelor and atorvastatin or simvastatin in healthy volunteers.</w:t>
      </w:r>
      <w:r>
        <w:t xml:space="preserve"> </w:t>
      </w:r>
      <w:r>
        <w:rPr>
          <w:iCs/>
          <w:i/>
        </w:rPr>
        <w:t xml:space="preserve">Eur J Clin Pharmacol.</w:t>
      </w:r>
      <w:r>
        <w:t xml:space="preserve"> </w:t>
      </w:r>
      <w:r>
        <w:rPr>
          <w:iCs/>
          <w:i/>
        </w:rPr>
        <w:t xml:space="preserve">69</w:t>
      </w:r>
      <w:r>
        <w:t xml:space="preserve">(3):477–87.</w:t>
      </w:r>
    </w:p>
    <w:p>
      <w:pPr>
        <w:pStyle w:val="BodyText"/>
      </w:pPr>
      <w:r>
        <w:rPr>
          <w:bCs/>
          <w:b/>
        </w:rPr>
        <w:t xml:space="preserve">Kuepfer 2016</w:t>
      </w:r>
      <w:r>
        <w:t xml:space="preserve"> </w:t>
      </w:r>
      <w:r>
        <w:t xml:space="preserve">Kuepfer L, Niederalt C, Wendl T, Schlender JF, Willmann S, Lippert J, Block M, Eissing T, Teutonico D. (2016). Applied Concepts in PBPK Modeling: How to Build a PBPK/PD Model.</w:t>
      </w:r>
      <w:r>
        <w:t xml:space="preserve"> </w:t>
      </w:r>
      <w:r>
        <w:rPr>
          <w:iCs/>
          <w:i/>
        </w:rPr>
        <w:t xml:space="preserve">CPT Pharmacometrics Syst Pharmacol</w:t>
      </w:r>
      <w:r>
        <w:t xml:space="preserve">. Oct;5(10), 516-531.</w:t>
      </w:r>
    </w:p>
    <w:p>
      <w:pPr>
        <w:pStyle w:val="BodyText"/>
      </w:pPr>
      <w:r>
        <w:rPr>
          <w:bCs/>
          <w:b/>
        </w:rPr>
        <w:t xml:space="preserve">Willmann 2007</w:t>
      </w:r>
      <w:r>
        <w:t xml:space="preserve"> </w:t>
      </w:r>
      <w:r>
        <w:t xml:space="preserve">Willmann S, Höhn K, Edginton A, Sevestre M, Solodenko J, Weiss W, Lippert J, Schmitt W. (2007). Development of a physiology-based whole-body population model for assessing the influence of individual variability on the pharmacokinetics of drugs.</w:t>
      </w:r>
      <w:r>
        <w:t xml:space="preserve"> </w:t>
      </w:r>
      <w:r>
        <w:rPr>
          <w:iCs/>
          <w:i/>
        </w:rPr>
        <w:t xml:space="preserve">J Pharmacokinet Pharmacodyn.</w:t>
      </w:r>
      <w:r>
        <w:t xml:space="preserve"> </w:t>
      </w:r>
      <w:r>
        <w:t xml:space="preserve">34(3), 401-431.</w:t>
      </w:r>
    </w:p>
    <w:p>
      <w:pPr>
        <w:pStyle w:val="BodyText"/>
      </w:pPr>
      <w:r>
        <w:rPr>
          <w:bCs/>
          <w:b/>
        </w:rPr>
        <w:t xml:space="preserve">PK-Sim Ontogeny Database Version 7.3</w:t>
      </w:r>
      <w:r>
        <w:t xml:space="preserve"> </w:t>
      </w:r>
      <w:r>
        <w:t xml:space="preserve">Open Systems Pharmacology Suite Community (2018) PK-Sim® Ontogeny Database Documentation version 7.3.</w:t>
      </w:r>
      <w:r>
        <w:t xml:space="preserve"> </w:t>
      </w:r>
      <w:hyperlink r:id="rId129">
        <w:r>
          <w:rPr>
            <w:rStyle w:val="Hyperlink"/>
          </w:rPr>
          <w:t xml:space="preserve">https://github.com/Open-Systems-Pharmacology/OSPSuite.Documentation/blob/master/PK-Sim%20Ontogeny%20Database%20Version%207.3.pdf</w:t>
        </w:r>
      </w:hyperlink>
    </w:p>
    <w:p>
      <w:pPr>
        <w:pStyle w:val="BodyText"/>
      </w:pPr>
      <w:r>
        <w:rPr>
          <w:bCs/>
          <w:b/>
        </w:rPr>
        <w:t xml:space="preserve">Nishimura 2003</w:t>
      </w:r>
      <w:r>
        <w:t xml:space="preserve"> </w:t>
      </w:r>
      <w:r>
        <w:t xml:space="preserve">Nishimura M, Yaguti H, Yoshitsugu H, Naito S, Satoh T (2003) Tissue distribution of mRNA expression of human cytochrome P450 isoforms assessed by high-sensitivity real-time reverse transcription PCR.</w:t>
      </w:r>
      <w:r>
        <w:t xml:space="preserve"> </w:t>
      </w:r>
      <w:r>
        <w:rPr>
          <w:iCs/>
          <w:i/>
        </w:rPr>
        <w:t xml:space="preserve">Journal of the Pharmaceutical Society of Japan</w:t>
      </w:r>
      <w:r>
        <w:t xml:space="preserve"> </w:t>
      </w:r>
      <w:r>
        <w:rPr>
          <w:iCs/>
          <w:i/>
        </w:rPr>
        <w:t xml:space="preserve">123</w:t>
      </w:r>
      <w:r>
        <w:t xml:space="preserve">(5):369–75.</w:t>
      </w:r>
    </w:p>
    <w:p>
      <w:pPr>
        <w:pStyle w:val="BodyText"/>
      </w:pPr>
      <w:r>
        <w:rPr>
          <w:bCs/>
          <w:b/>
        </w:rPr>
        <w:t xml:space="preserve">Kolesnikov 2015</w:t>
      </w:r>
      <w:r>
        <w:t xml:space="preserve"> </w:t>
      </w:r>
      <w:r>
        <w:t xml:space="preserve">Kolesnikov N, Hastings E, Keays M, Melnichuk O, Tang YA, Williams E, Dylag M, Kurbatova N, Brandizi M, Burdett T, Megy K, Pilicheva E, Rustici G, Tikhonov A, Parkinson H, Petryszak R, Sarkans U, Brazma A (2015) ArrayExpress update—simplifying data submissions.</w:t>
      </w:r>
      <w:r>
        <w:t xml:space="preserve"> </w:t>
      </w:r>
      <w:r>
        <w:rPr>
          <w:iCs/>
          <w:i/>
        </w:rPr>
        <w:t xml:space="preserve">Nucleic Acids Research</w:t>
      </w:r>
      <w:r>
        <w:t xml:space="preserve"> </w:t>
      </w:r>
      <w:r>
        <w:rPr>
          <w:iCs/>
          <w:i/>
        </w:rPr>
        <w:t xml:space="preserve">43</w:t>
      </w:r>
      <w:r>
        <w:t xml:space="preserve">(D1):D1113–D1116.</w:t>
      </w:r>
    </w:p>
    <w:p>
      <w:pPr>
        <w:pStyle w:val="BodyText"/>
      </w:pPr>
      <w:r>
        <w:rPr>
          <w:bCs/>
          <w:b/>
        </w:rPr>
        <w:t xml:space="preserve">Nishimura 2005</w:t>
      </w:r>
      <w:r>
        <w:t xml:space="preserve"> </w:t>
      </w:r>
      <w:r>
        <w:t xml:space="preserve">Nishimura M, Naito S (2005) Tissue-specific mRNA expression profiles of human ATP-binding cassette and solute carrier transporter superfamilies.</w:t>
      </w:r>
      <w:r>
        <w:t xml:space="preserve"> </w:t>
      </w:r>
      <w:r>
        <w:rPr>
          <w:iCs/>
          <w:i/>
        </w:rPr>
        <w:t xml:space="preserve">Drug metabolism and pharmacokinetics</w:t>
      </w:r>
      <w:r>
        <w:t xml:space="preserve"> </w:t>
      </w:r>
      <w:r>
        <w:rPr>
          <w:iCs/>
          <w:i/>
        </w:rPr>
        <w:t xml:space="preserve">20</w:t>
      </w:r>
      <w:r>
        <w:t xml:space="preserve">(6):452–77.</w:t>
      </w:r>
    </w:p>
    <w:p>
      <w:pPr>
        <w:pStyle w:val="BodyText"/>
      </w:pPr>
      <w:r>
        <w:rPr>
          <w:bCs/>
          <w:b/>
        </w:rPr>
        <w:t xml:space="preserve">Zhang 2015</w:t>
      </w:r>
      <w:r>
        <w:t xml:space="preserve"> </w:t>
      </w:r>
      <w:r>
        <w:t xml:space="preserve">Zhang T (2015) Physiologically based pharmacokinetic modeling of disposition and drug-drug interactions for atorvastatin and its metabolites.</w:t>
      </w:r>
      <w:r>
        <w:t xml:space="preserve"> </w:t>
      </w:r>
      <w:r>
        <w:rPr>
          <w:iCs/>
          <w:i/>
        </w:rPr>
        <w:t xml:space="preserve">Eur J Pharm Sci.</w:t>
      </w:r>
      <w:r>
        <w:t xml:space="preserve"> </w:t>
      </w:r>
      <w:r>
        <w:rPr>
          <w:iCs/>
          <w:i/>
        </w:rPr>
        <w:t xml:space="preserve">77</w:t>
      </w:r>
      <w:r>
        <w:t xml:space="preserve">:216–29.</w:t>
      </w:r>
    </w:p>
    <w:p>
      <w:pPr>
        <w:pStyle w:val="BodyText"/>
      </w:pPr>
      <w:r>
        <w:rPr>
          <w:bCs/>
          <w:b/>
        </w:rPr>
        <w:t xml:space="preserve">Morse 2019</w:t>
      </w:r>
      <w:r>
        <w:t xml:space="preserve"> </w:t>
      </w:r>
      <w:r>
        <w:t xml:space="preserve">Morse BL, Alberts JJ, Posada MM, Rehmel J, Kolur A, Tham LS, Loghin C, Hillgren KM, Hall SD, Dickinson GL (2019) Physiologically-Based Pharmacokinetic Modeling of Atorvastatin Incorporating Delayed Gastric Emptying and Acid-to-Lactone Conversion.</w:t>
      </w:r>
      <w:r>
        <w:t xml:space="preserve"> </w:t>
      </w:r>
      <w:r>
        <w:rPr>
          <w:iCs/>
          <w:i/>
        </w:rPr>
        <w:t xml:space="preserve">CPT Pharmacometrics Syst Pharmacol.</w:t>
      </w:r>
      <w:r>
        <w:t xml:space="preserve"> </w:t>
      </w:r>
      <w:r>
        <w:t xml:space="preserve">2019</w:t>
      </w:r>
      <w:r>
        <w:t xml:space="preserve"> </w:t>
      </w:r>
      <w:r>
        <w:rPr>
          <w:iCs/>
          <w:i/>
        </w:rPr>
        <w:t xml:space="preserve">8</w:t>
      </w:r>
      <w:r>
        <w:t xml:space="preserve">(9):664–675.</w:t>
      </w:r>
    </w:p>
    <w:p>
      <w:pPr>
        <w:pStyle w:val="BodyText"/>
      </w:pPr>
      <w:r>
        <w:rPr>
          <w:bCs/>
          <w:b/>
        </w:rPr>
        <w:t xml:space="preserve">Duan 2017</w:t>
      </w:r>
      <w:r>
        <w:t xml:space="preserve"> </w:t>
      </w:r>
      <w:r>
        <w:t xml:space="preserve">Duan P, Zhao P, Zhang L (2017) Physiologically Based Pharmacokinetic (PBPK) Modeling of Pitavastatin and Atorvastatin to Predict Drug-Drug Interactions (DDIs).</w:t>
      </w:r>
      <w:r>
        <w:t xml:space="preserve"> </w:t>
      </w:r>
      <w:r>
        <w:rPr>
          <w:iCs/>
          <w:i/>
        </w:rPr>
        <w:t xml:space="preserve">Eur J Drug Metab Pharmacokinet.</w:t>
      </w:r>
      <w:r>
        <w:t xml:space="preserve"> </w:t>
      </w:r>
      <w:r>
        <w:rPr>
          <w:iCs/>
          <w:i/>
        </w:rPr>
        <w:t xml:space="preserve">42</w:t>
      </w:r>
      <w:r>
        <w:t xml:space="preserve">(4):689–705.</w:t>
      </w:r>
    </w:p>
    <w:p>
      <w:pPr>
        <w:pStyle w:val="BodyText"/>
      </w:pPr>
      <w:r>
        <w:rPr>
          <w:bCs/>
          <w:b/>
        </w:rPr>
        <w:t xml:space="preserve">Jacobsen 2000</w:t>
      </w:r>
      <w:r>
        <w:t xml:space="preserve"> </w:t>
      </w:r>
      <w:r>
        <w:t xml:space="preserve">Jacobsen W, Kuhn B, Soldner A, Kirchner G, Sewing KF, Kollman PA, Benet LZ, Christians U (2000) Lactonization is the critical first step in the disposition of the 3-hydroxy-3-methylglutaryl-CoA reductase inhibitor atorvastatin.</w:t>
      </w:r>
      <w:r>
        <w:t xml:space="preserve"> </w:t>
      </w:r>
      <w:r>
        <w:rPr>
          <w:iCs/>
          <w:i/>
        </w:rPr>
        <w:t xml:space="preserve">Drug Metab Dispos.</w:t>
      </w:r>
      <w:r>
        <w:t xml:space="preserve"> </w:t>
      </w:r>
      <w:r>
        <w:rPr>
          <w:iCs/>
          <w:i/>
        </w:rPr>
        <w:t xml:space="preserve">28</w:t>
      </w:r>
      <w:r>
        <w:t xml:space="preserve">(11):1369–78.</w:t>
      </w:r>
    </w:p>
    <w:p>
      <w:pPr>
        <w:pStyle w:val="BodyText"/>
      </w:pPr>
      <w:r>
        <w:rPr>
          <w:bCs/>
          <w:b/>
        </w:rPr>
        <w:t xml:space="preserve">Deng 2021</w:t>
      </w:r>
      <w:r>
        <w:t xml:space="preserve"> </w:t>
      </w:r>
      <w:r>
        <w:t xml:space="preserve">Deng F, Tuomi SK, Neuvonen M, Hirvensalo P, Kulju S, Wenzel C, Oswald S, Filppula AM, Niemi M (2021) Comparative Hepatic and Intestinal Efflux Transport of Statins.</w:t>
      </w:r>
      <w:r>
        <w:t xml:space="preserve"> </w:t>
      </w:r>
      <w:r>
        <w:rPr>
          <w:iCs/>
          <w:i/>
        </w:rPr>
        <w:t xml:space="preserve">Drug Metab Dispos.</w:t>
      </w:r>
      <w:r>
        <w:t xml:space="preserve"> </w:t>
      </w:r>
      <w:r>
        <w:rPr>
          <w:iCs/>
          <w:i/>
        </w:rPr>
        <w:t xml:space="preserve">49</w:t>
      </w:r>
      <w:r>
        <w:t xml:space="preserve">(9):750–759.</w:t>
      </w:r>
    </w:p>
    <w:p>
      <w:pPr>
        <w:pStyle w:val="BodyText"/>
      </w:pPr>
      <w:r>
        <w:rPr>
          <w:bCs/>
          <w:b/>
        </w:rPr>
        <w:t xml:space="preserve">Vildhede 2014</w:t>
      </w:r>
      <w:r>
        <w:t xml:space="preserve"> </w:t>
      </w:r>
      <w:r>
        <w:t xml:space="preserve">Vildhede A, Karlgren M, Svedberg EK, Wisniewski JR, Lai Y, Norén A, Artursson P (2014) Hepatic uptake of atorvastatin: influence of variability in transporter expression on uptake clearance and drug-drug interactions.</w:t>
      </w:r>
      <w:r>
        <w:t xml:space="preserve"> </w:t>
      </w:r>
      <w:r>
        <w:rPr>
          <w:iCs/>
          <w:i/>
        </w:rPr>
        <w:t xml:space="preserve">Drug Metab Dispos.</w:t>
      </w:r>
      <w:r>
        <w:t xml:space="preserve"> </w:t>
      </w:r>
      <w:r>
        <w:rPr>
          <w:iCs/>
          <w:i/>
        </w:rPr>
        <w:t xml:space="preserve">42</w:t>
      </w:r>
      <w:r>
        <w:t xml:space="preserve">(7):1210–8.</w:t>
      </w:r>
    </w:p>
    <w:p>
      <w:pPr>
        <w:pStyle w:val="BodyText"/>
      </w:pPr>
      <w:r>
        <w:rPr>
          <w:bCs/>
          <w:b/>
        </w:rPr>
        <w:t xml:space="preserve">Hanke 2018</w:t>
      </w:r>
      <w:r>
        <w:t xml:space="preserve"> </w:t>
      </w:r>
      <w:r>
        <w:t xml:space="preserve">Hanke N, Frechen S, Moj D, Britz H, Eissing T, Wendl T, Lehr T (2018) PBPK models for CYP3A4 and P-gp DDI prediction: A modeling network of rifampicin, itraconazole, clarithromycin, midazolam, alfentanil, and digoxin.</w:t>
      </w:r>
      <w:r>
        <w:t xml:space="preserve"> </w:t>
      </w:r>
      <w:r>
        <w:rPr>
          <w:iCs/>
          <w:i/>
        </w:rPr>
        <w:t xml:space="preserve">CPT: Pharmacometrics &amp; Systems Pharmacology</w:t>
      </w:r>
      <w:r>
        <w:t xml:space="preserve"> </w:t>
      </w:r>
      <w:r>
        <w:rPr>
          <w:iCs/>
          <w:i/>
        </w:rPr>
        <w:t xml:space="preserve">7</w:t>
      </w:r>
      <w:r>
        <w:t xml:space="preserve">(10):647–659.</w:t>
      </w:r>
    </w:p>
    <w:p>
      <w:pPr>
        <w:pStyle w:val="BodyText"/>
      </w:pPr>
      <w:r>
        <w:rPr>
          <w:bCs/>
          <w:b/>
        </w:rPr>
        <w:t xml:space="preserve">Park 2022</w:t>
      </w:r>
      <w:r>
        <w:t xml:space="preserve"> </w:t>
      </w:r>
      <w:r>
        <w:t xml:space="preserve">Park J-W, Kim J-M, Lee H-Y, Noh J, Kim K-A, Park J-Y (2022) CYP3A5</w:t>
      </w:r>
      <w:r>
        <w:rPr>
          <w:iCs/>
          <w:i/>
        </w:rPr>
        <w:t xml:space="preserve">3 and SLCO1B1 c.521T&gt;C Polymorphisms Influence the Pharmacokinetics of Atorvastatin and 2-Hydroxy Atorvastatin.</w:t>
      </w:r>
      <w:r>
        <w:rPr>
          <w:iCs/>
          <w:i/>
        </w:rPr>
        <w:t xml:space="preserve"> </w:t>
      </w:r>
      <w:r>
        <w:t xml:space="preserve">Pharmaceutics*</w:t>
      </w:r>
      <w:r>
        <w:t xml:space="preserve"> </w:t>
      </w:r>
      <w:r>
        <w:rPr>
          <w:iCs/>
          <w:i/>
        </w:rPr>
        <w:t xml:space="preserve">14</w:t>
      </w:r>
      <w:r>
        <w:t xml:space="preserve">(7):1491.</w:t>
      </w:r>
    </w:p>
    <w:p>
      <w:pPr>
        <w:pStyle w:val="BodyText"/>
      </w:pPr>
      <w:r>
        <w:rPr>
          <w:bCs/>
          <w:b/>
        </w:rPr>
        <w:t xml:space="preserve">Park 2008</w:t>
      </w:r>
      <w:r>
        <w:t xml:space="preserve"> </w:t>
      </w:r>
      <w:r>
        <w:t xml:space="preserve">Park JE, Kim KB, Bae SK, Moon BS, Liu KH, Shin JG (2008) Contribution of cytochrome P450 3A4 and 3A5 to the metabolism of atorvastatin.</w:t>
      </w:r>
      <w:r>
        <w:t xml:space="preserve"> </w:t>
      </w:r>
      <w:r>
        <w:rPr>
          <w:iCs/>
          <w:i/>
        </w:rPr>
        <w:t xml:space="preserve">Xenobiotica</w:t>
      </w:r>
      <w:r>
        <w:t xml:space="preserve"> </w:t>
      </w:r>
      <w:r>
        <w:rPr>
          <w:iCs/>
          <w:i/>
        </w:rPr>
        <w:t xml:space="preserve">38</w:t>
      </w:r>
      <w:r>
        <w:t xml:space="preserve">(9):1240-1251.</w:t>
      </w:r>
    </w:p>
    <w:p>
      <w:pPr>
        <w:pStyle w:val="BodyText"/>
      </w:pPr>
      <w:r>
        <w:rPr>
          <w:bCs/>
          <w:b/>
        </w:rPr>
        <w:t xml:space="preserve">Pfizer 2019</w:t>
      </w:r>
      <w:r>
        <w:t xml:space="preserve"> </w:t>
      </w:r>
      <w:r>
        <w:t xml:space="preserve">Pfizer (2019) https://labeling.pfizer.com/ShowLabeling.aspx?id=587. Accessed on 2025-02-11.</w:t>
      </w:r>
    </w:p>
    <w:bookmarkEnd w:id="130"/>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129" Target="https://github.com/Open-Systems-Pharmacology/OSPSuite.Documentation/blob/master/PK-Sim%20Ontogeny%20Database%20Version%207.3.pdf" TargetMode="External" /></Relationships>
</file>

<file path=word/_rels/footnotes.xml.rels><?xml version="1.0" encoding="UTF-8"?><Relationships xmlns="http://schemas.openxmlformats.org/package/2006/relationships"><Relationship Type="http://schemas.openxmlformats.org/officeDocument/2006/relationships/hyperlink" Id="rId129" Target="https://github.com/Open-Systems-Pharmacology/OSPSuite.Documentation/blob/master/PK-Sim%20Ontogeny%20Database%20Version%207.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Atorvastatin Acid in Healthy Adults</dc:title>
  <dc:creator/>
  <cp:keywords/>
  <dcterms:created xsi:type="dcterms:W3CDTF">2025-08-20T10:10:53Z</dcterms:created>
  <dcterms:modified xsi:type="dcterms:W3CDTF">2025-08-20T10:10:53Z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Planhttps://github.com/Open-Systems-Pharmacology/Atorvastatin-Model/releases/tag/v1.0OSP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