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8.png" ContentType="image/png"/>
  <Override PartName="/word/media/rId51.png" ContentType="image/png"/>
  <Override PartName="/word/media/rId8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6.png" ContentType="image/png"/>
  <Override PartName="/word/media/rId89.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Mexiletine</w:t>
      </w:r>
      <w:r>
        <w:t xml:space="preserve"> </w:t>
      </w:r>
      <w:r>
        <w:t xml:space="preserve">in</w:t>
      </w:r>
      <w:r>
        <w:t xml:space="preserve"> </w:t>
      </w:r>
      <w:r>
        <w:t xml:space="preserve">adults</w:t>
      </w:r>
    </w:p>
    <w:p>
      <w:pPr>
        <w:pStyle w:val="AbstractTitle"/>
      </w:pPr>
      <w:r>
        <w:t xml:space="preserve">Abstract</w:t>
      </w:r>
    </w:p>
    <w:tbl>
      <w:tblPr>
        <w:tblStyle w:val="Table"/>
        <w:tblW w:type="pct" w:w="5000"/>
        <w:tblLook w:firstRow="1" w:lastRow="0" w:firstColumn="0" w:lastColumn="0" w:noHBand="0" w:noVBand="0" w:val="0020"/>
        <w:jc w:val="start"/>
      </w:tblPr>
      <w:tblGrid>
        <w:gridCol w:w="3478"/>
        <w:gridCol w:w="4441"/>
      </w:tblGrid>
      <w:tr>
        <w:trPr>
          <w:tblHeader w:val="true"/>
        </w:trPr>
        <w:tc>
          <w:tcPr/>
          <w:p>
            <w:pPr>
              <w:pStyle w:val="Compact"/>
              <w:jc w:val="left"/>
            </w:pPr>
            <w:r>
              <w:t xml:space="preserve">Version</w:t>
            </w:r>
          </w:p>
        </w:tc>
        <w:tc>
          <w:tcPr/>
          <w:p>
            <w:pPr>
              <w:pStyle w:val="Compact"/>
              <w:jc w:val="left"/>
            </w:pPr>
            <w:r>
              <w:t xml:space="preserve">1.0-OSP12.0</w:t>
            </w:r>
          </w:p>
        </w:tc>
      </w:tr>
      <w:tr>
        <w:tc>
          <w:tcPr/>
          <w:p>
            <w:pPr>
              <w:pStyle w:val="Compact"/>
              <w:jc w:val="left"/>
            </w:pPr>
            <w:r>
              <w:t xml:space="preserve">based</w:t>
            </w:r>
            <w:r>
              <w:t xml:space="preserve"> </w:t>
            </w:r>
            <w:r>
              <w:t xml:space="preserve">on</w:t>
            </w:r>
            <w:r>
              <w:t xml:space="preserve"> </w:t>
            </w:r>
            <w:r>
              <w:rPr>
                <w:iCs/>
                <w:i/>
              </w:rPr>
              <w:t xml:space="preserve">Model</w:t>
            </w:r>
            <w:r>
              <w:rPr>
                <w:iCs/>
                <w:i/>
              </w:rPr>
              <w:t xml:space="preserve"> </w:t>
            </w:r>
            <w:r>
              <w:rPr>
                <w:iCs/>
                <w:i/>
              </w:rPr>
              <w:t xml:space="preserve">Snapshot</w:t>
            </w:r>
            <w:r>
              <w:t xml:space="preserve"> </w:t>
            </w:r>
            <w:r>
              <w:t xml:space="preserve">and</w:t>
            </w:r>
            <w:r>
              <w:t xml:space="preserve"> </w:t>
            </w:r>
            <w:r>
              <w:rPr>
                <w:iCs/>
                <w:i/>
              </w:rPr>
              <w:t xml:space="preserve">Evaluation</w:t>
            </w:r>
            <w:r>
              <w:rPr>
                <w:iCs/>
                <w:i/>
              </w:rPr>
              <w:t xml:space="preserve"> </w:t>
            </w:r>
            <w:r>
              <w:rPr>
                <w:iCs/>
                <w:i/>
              </w:rPr>
              <w:t xml:space="preserve">Plan</w:t>
            </w:r>
          </w:p>
        </w:tc>
        <w:tc>
          <w:tcPr/>
          <w:p>
            <w:pPr>
              <w:pStyle w:val="Compact"/>
              <w:jc w:val="left"/>
            </w:pPr>
            <w:r>
              <w:t xml:space="preserve">https://github.com/Open-Systems-Pharmacology/Mexiletine-Model/releases/tag/v1.0</w:t>
            </w:r>
          </w:p>
        </w:tc>
      </w:tr>
      <w:tr>
        <w:tc>
          <w:tcPr/>
          <w:p>
            <w:pPr>
              <w:pStyle w:val="Compact"/>
              <w:jc w:val="left"/>
            </w:pPr>
            <w:r>
              <w:t xml:space="preserve">OSP</w:t>
            </w:r>
            <w:r>
              <w:t xml:space="preserve"> </w:t>
            </w:r>
            <w:r>
              <w:t xml:space="preserve">Version</w:t>
            </w:r>
          </w:p>
        </w:tc>
        <w:tc>
          <w:tcPr/>
          <w:p>
            <w:pPr>
              <w:pStyle w:val="Compact"/>
              <w:jc w:val="left"/>
            </w:pPr>
            <w:r>
              <w:t xml:space="preserve">12.0</w:t>
            </w:r>
          </w:p>
        </w:tc>
      </w:tr>
      <w:tr>
        <w:tc>
          <w:tcPr/>
          <w:p>
            <w:pPr>
              <w:pStyle w:val="Compact"/>
              <w:jc w:val="left"/>
            </w:pPr>
            <w:r>
              <w:t xml:space="preserve">Qualification</w:t>
            </w:r>
            <w:r>
              <w:t xml:space="preserve"> </w:t>
            </w:r>
            <w:r>
              <w:t xml:space="preserve">Framework</w:t>
            </w:r>
            <w:r>
              <w:t xml:space="preserve"> </w:t>
            </w:r>
            <w:r>
              <w:t xml:space="preserve">Version</w:t>
            </w:r>
          </w:p>
        </w:tc>
        <w:tc>
          <w:tcPr/>
          <w:p>
            <w:pPr>
              <w:pStyle w:val="Compact"/>
              <w:jc w:val="left"/>
            </w:pPr>
            <w:r>
              <w:t xml:space="preserve">3.3</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p>
      <w:pPr>
        <w:pStyle w:val="Abstract"/>
      </w:pPr>
      <w:br w:type="page"/>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bookmarkStart w:id="introduction" w:name="introduction"/>
      <w:bookmarkEnd w:id="introduction"/>
    </w:p>
    <w:p>
      <w:pPr>
        <w:pStyle w:val="FirstParagraph"/>
      </w:pPr>
      <w:r>
        <w:t xml:space="preserve">The presented PBPK model of mexiletine has been developed to be used in a PBPK Drug-Drug-Interactions (DDI) network with mexiletine as a substrate and inhibitor of CYP1A2.</w:t>
      </w:r>
    </w:p>
    <w:p>
      <w:pPr>
        <w:pStyle w:val="BodyText"/>
      </w:pPr>
      <w:r>
        <w:t xml:space="preserve">Mexiletine is a non-selective voltage-gated sodium channel blocker which belongs to the Class IB anti-arrhythmic group of medicines. It is used to treat arrhythmias within the heart, or seriously irregular heartbeats. The following ADME properties characterize mexiletine pharmacokinetics (</w:t>
      </w:r>
      <w:hyperlink w:anchor="Xa559bd5247f9128e74e6edcc17de37648e8cde6">
        <w:r>
          <w:rPr>
            <w:rStyle w:val="Hyperlink"/>
          </w:rPr>
          <w:t xml:space="preserve">Mexiletine Drugs.com</w:t>
        </w:r>
      </w:hyperlink>
      <w:r>
        <w:t xml:space="preserve">,</w:t>
      </w:r>
      <w:r>
        <w:t xml:space="preserve"> </w:t>
      </w:r>
      <w:hyperlink w:anchor="Xa559bd5247f9128e74e6edcc17de37648e8cde6">
        <w:r>
          <w:rPr>
            <w:rStyle w:val="Hyperlink"/>
          </w:rPr>
          <w:t xml:space="preserve">SmPC Namuscla</w:t>
        </w:r>
      </w:hyperlink>
      <w:r>
        <w:t xml:space="preserve">):</w:t>
      </w:r>
    </w:p>
    <w:p>
      <w:pPr>
        <w:pStyle w:val="BodyText"/>
      </w:pPr>
      <w:r>
        <w:rPr>
          <w:bCs/>
          <w:b/>
        </w:rPr>
        <w:t xml:space="preserve">Absorption</w:t>
      </w:r>
      <w:r>
        <w:t xml:space="preserve">: Mexiletine is well absorbed (~90%) from the gastrointestinal tract. Its first-pass metabolism is low. Peak blood levels are reached in two to three hours.</w:t>
      </w:r>
    </w:p>
    <w:p>
      <w:pPr>
        <w:pStyle w:val="BodyText"/>
      </w:pPr>
      <w:r>
        <w:rPr>
          <w:bCs/>
          <w:b/>
        </w:rPr>
        <w:t xml:space="preserve">Distribution</w:t>
      </w:r>
      <w:r>
        <w:t xml:space="preserve">: It is 50% to 60% bound to plasma protein, with a volume of distribution of 5 to 7 l/kg.</w:t>
      </w:r>
    </w:p>
    <w:p>
      <w:pPr>
        <w:pStyle w:val="BodyText"/>
      </w:pPr>
      <w:r>
        <w:rPr>
          <w:bCs/>
          <w:b/>
        </w:rPr>
        <w:t xml:space="preserve">Metabolism</w:t>
      </w:r>
      <w:r>
        <w:t xml:space="preserve">: Mexiletine is mainly metabolized in the liver, the primary pathway being CYP2D6 metabolism, although it is also a substrate for CYP1A2. With involvement of CYP2D6, there can be either poor or extensive metabolizer phenotypes. The metabolic degradation proceeds via various pathways including aromatic and aliphatic hydroxylation, dealkylation, deamination and N-oxidation. Several of the resulting metabolites are submitted to further conjugation with glucuronic acid (phase II metabolism); among these are the major metabolites p-Hydroxymexiletine, hydroxy-methylMexiletine, and N-hydroxy-Mexiletine.</w:t>
      </w:r>
    </w:p>
    <w:p>
      <w:pPr>
        <w:pStyle w:val="BodyText"/>
      </w:pPr>
      <w:r>
        <w:rPr>
          <w:bCs/>
          <w:b/>
        </w:rPr>
        <w:t xml:space="preserve">Elimination</w:t>
      </w:r>
      <w:r>
        <w:t xml:space="preserve">: In normal subjects, the plasma elimination half-life of mexiletine is approximately 10 to 12 hours. Approximately 10% is excreted unchanged by the kidney.</w:t>
      </w:r>
    </w:p>
    <w:p>
      <w:pPr>
        <w:pStyle w:val="BodyText"/>
      </w:pPr>
      <w:r>
        <w:t xml:space="preserve">After i.v. administration, mexiletine shows linear pharmacokinetics in the dose range 167-200 mg (free base) and healthy volunteers and patients show similar profiles. p.o. data appear dose linear in the range of 83-500 mg as free base. The summary of product characteristics (SPC) for mexiletine (</w:t>
      </w:r>
      <w:hyperlink w:anchor="Xa559bd5247f9128e74e6edcc17de37648e8cde6">
        <w:r>
          <w:rPr>
            <w:rStyle w:val="Hyperlink"/>
          </w:rPr>
          <w:t xml:space="preserve">Mexiletine, Drugs.com</w:t>
        </w:r>
      </w:hyperlink>
      <w:r>
        <w:t xml:space="preserve">) reports that absorption rate of mexiletine is reduced in clinical situations such as acute myocardial infarction in which gastric emptying time is increased. For this reason, clinical data from patients after p.o. administration have not been considered during model development.</w:t>
      </w:r>
    </w:p>
    <w:bookmarkEnd w:id="20"/>
    <w:bookmarkStart w:id="30" w:name="methods"/>
    <w:p>
      <w:pPr>
        <w:pStyle w:val="Heading1"/>
      </w:pPr>
      <w:r>
        <w:t xml:space="preserve">Methods</w:t>
      </w:r>
      <w:bookmarkStart w:id="methods" w:name="methods"/>
      <w:bookmarkEnd w:id="methods"/>
    </w:p>
    <w:bookmarkStart w:id="21" w:name="modeling-strategy"/>
    <w:p>
      <w:pPr>
        <w:pStyle w:val="Heading2"/>
      </w:pPr>
      <w:r>
        <w:t xml:space="preserve">Modeling Strategy</w:t>
      </w:r>
      <w:bookmarkStart w:id="modeling-strategy" w:name="modeling-strategy"/>
      <w:bookmarkEnd w:id="modeling-strategy"/>
    </w:p>
    <w:p>
      <w:pPr>
        <w:pStyle w:val="FirstParagraph"/>
      </w:pPr>
      <w:r>
        <w:t xml:space="preserve">The general workflow for building an adult PBPK model has been described by Kuepfer et al. (</w:t>
      </w:r>
      <w:hyperlink w:anchor="Xa559bd5247f9128e74e6edcc17de37648e8cde6">
        <w:r>
          <w:rPr>
            <w:rStyle w:val="Hyperlink"/>
          </w:rPr>
          <w:t xml:space="preserve">Kuepfer 2016</w:t>
        </w:r>
      </w:hyperlink>
      <w:r>
        <w:t xml:space="preserve">). Relevant information on the anthropometry (height, weight) was gathered from the respective clinical study, if reported. Information on physiological parameters (e.g. blood flows, organ volumes, hematocrit) in adults was gathered from the literature and has been incorporated in PK-Sim® as described previously (</w:t>
      </w:r>
      <w:hyperlink w:anchor="Xa559bd5247f9128e74e6edcc17de37648e8cde6">
        <w:r>
          <w:rPr>
            <w:rStyle w:val="Hyperlink"/>
          </w:rPr>
          <w:t xml:space="preserve">Willmann 2007</w:t>
        </w:r>
      </w:hyperlink>
      <w:r>
        <w:t xml:space="preserve">). The applied activity and variability of plasma proteins and active processes that are integrated into PK-Sim® are described in the publicly available</w:t>
      </w:r>
      <w:r>
        <w:t xml:space="preserve"> </w:t>
      </w:r>
      <w:r>
        <w:t xml:space="preserve">‘</w:t>
      </w:r>
      <w:r>
        <w:t xml:space="preserve">PK-Sim® Ontogeny Database Version 7.3</w:t>
      </w:r>
      <w:r>
        <w:t xml:space="preserve">’</w:t>
      </w:r>
      <w:r>
        <w:t xml:space="preserve"> </w:t>
      </w:r>
      <w:r>
        <w:t xml:space="preserve">(</w:t>
      </w:r>
      <w:hyperlink w:anchor="Xa559bd5247f9128e74e6edcc17de37648e8cde6">
        <w:r>
          <w:rPr>
            <w:rStyle w:val="Hyperlink"/>
          </w:rPr>
          <w:t xml:space="preserve">PK-Sim Ontogeny Database Version 7.3</w:t>
        </w:r>
      </w:hyperlink>
      <w:r>
        <w:t xml:space="preserve">).</w:t>
      </w:r>
    </w:p>
    <w:p>
      <w:pPr>
        <w:pStyle w:val="BodyText"/>
      </w:pPr>
      <w:r>
        <w:t xml:space="preserve">A stepwise approach was used to fit the model to data.</w:t>
      </w:r>
    </w:p>
    <w:p>
      <w:pPr>
        <w:numPr>
          <w:ilvl w:val="0"/>
          <w:numId w:val="1001"/>
        </w:numPr>
      </w:pPr>
      <w:r>
        <w:t xml:space="preserve">Define distribution model, cellular permeability, renal and metabolic clearance on data after single i.v. administration. For this purpose, literature values from</w:t>
      </w:r>
      <w:r>
        <w:t xml:space="preserve"> </w:t>
      </w:r>
      <w:hyperlink w:anchor="Xa559bd5247f9128e74e6edcc17de37648e8cde6">
        <w:r>
          <w:rPr>
            <w:rStyle w:val="Hyperlink"/>
          </w:rPr>
          <w:t xml:space="preserve">Mexiletine, Drugs.com</w:t>
        </w:r>
      </w:hyperlink>
      <w:r>
        <w:t xml:space="preserve"> </w:t>
      </w:r>
      <w:r>
        <w:t xml:space="preserve">were derived for renal CL and CYP2D6 combined with CYP1A2 metabolic clearance, or total hepatic CL, fitted against the data.</w:t>
      </w:r>
    </w:p>
    <w:p>
      <w:pPr>
        <w:numPr>
          <w:ilvl w:val="0"/>
          <w:numId w:val="1001"/>
        </w:numPr>
      </w:pPr>
      <w:r>
        <w:t xml:space="preserve">Define intestinal permeability and fraction absorbed by fitting the model against data after p.o. single dose administration (</w:t>
      </w:r>
      <w:hyperlink w:anchor="Xa559bd5247f9128e74e6edcc17de37648e8cde6">
        <w:r>
          <w:rPr>
            <w:rStyle w:val="Hyperlink"/>
          </w:rPr>
          <w:t xml:space="preserve">Pringle 1986</w:t>
        </w:r>
      </w:hyperlink>
      <w:r>
        <w:t xml:space="preserve">). Investigate multiple oral doses predictions in CYP2D6 extensive and poor metabolizers (</w:t>
      </w:r>
      <w:hyperlink w:anchor="Xa559bd5247f9128e74e6edcc17de37648e8cde6">
        <w:r>
          <w:rPr>
            <w:rStyle w:val="Hyperlink"/>
          </w:rPr>
          <w:t xml:space="preserve">Labbé 2000</w:t>
        </w:r>
      </w:hyperlink>
      <w:r>
        <w:t xml:space="preserve">).</w:t>
      </w:r>
    </w:p>
    <w:p>
      <w:pPr>
        <w:pStyle w:val="FirstParagraph"/>
      </w:pPr>
      <w:r>
        <w:t xml:space="preserve">The predefined</w:t>
      </w:r>
      <w:r>
        <w:t xml:space="preserve"> </w:t>
      </w:r>
      <w:r>
        <w:t xml:space="preserve">“</w:t>
      </w:r>
      <w:r>
        <w:t xml:space="preserve">Standard European Male for DDI</w:t>
      </w:r>
      <w:r>
        <w:t xml:space="preserve">”</w:t>
      </w:r>
      <w:r>
        <w:t xml:space="preserve"> </w:t>
      </w:r>
      <w:r>
        <w:t xml:space="preserve">individual (age = 30 y, weight = 73 kg, height = 176 cm, BMI = 23.57 kg/m2) with added CYP2D6 expression obtained from PK-Sim RT PCR database was used if not stated otherwise. For simulations of Japanese subjects (</w:t>
      </w:r>
      <w:hyperlink w:anchor="Xa559bd5247f9128e74e6edcc17de37648e8cde6">
        <w:r>
          <w:rPr>
            <w:rStyle w:val="Hyperlink"/>
          </w:rPr>
          <w:t xml:space="preserve">Kusumoto 1998</w:t>
        </w:r>
      </w:hyperlink>
      <w:r>
        <w:t xml:space="preserve">), a typical Japanese individual (age = 30 y, weight = 61.87 kg, height = 168.99 cm, BMI = 21.67 kg/m2) was created in PK-Sim from predefined database</w:t>
      </w:r>
      <w:r>
        <w:t xml:space="preserve"> </w:t>
      </w:r>
      <w:r>
        <w:t xml:space="preserve">“</w:t>
      </w:r>
      <w:r>
        <w:t xml:space="preserve">Japanese (2015)</w:t>
      </w:r>
      <w:r>
        <w:t xml:space="preserve">”</w:t>
      </w:r>
      <w:r>
        <w:t xml:space="preserve"> </w:t>
      </w:r>
      <w:r>
        <w:t xml:space="preserve">by adding CYP1A2 and CYP2D6 expression from PK-Sim RT PCR database.</w:t>
      </w:r>
    </w:p>
    <w:p>
      <w:pPr>
        <w:pStyle w:val="BodyText"/>
      </w:pPr>
      <w:r>
        <w:t xml:space="preserve">For simulations of CYP2D6 PM, the CYP2D6 pathway has been switched off.</w:t>
      </w:r>
    </w:p>
    <w:p>
      <w:pPr>
        <w:pStyle w:val="BodyText"/>
      </w:pPr>
      <w:r>
        <w:t xml:space="preserve">Population simulation of single 83 mg p.o. administration was conducted to visually compare the predicted concentration-time profiles to the observed concentrations reported in the literature, in terms of mean and variability. A population of 1000 male individuals was generated based on</w:t>
      </w:r>
      <w:r>
        <w:t xml:space="preserve"> </w:t>
      </w:r>
      <w:r>
        <w:t xml:space="preserve">“</w:t>
      </w:r>
      <w:r>
        <w:t xml:space="preserve">Standard European Male for DDI</w:t>
      </w:r>
      <w:r>
        <w:t xml:space="preserve">”</w:t>
      </w:r>
      <w:r>
        <w:t xml:space="preserve">. Age range was limited to 20-40 years.</w:t>
      </w:r>
    </w:p>
    <w:p>
      <w:pPr>
        <w:pStyle w:val="BodyText"/>
      </w:pPr>
      <w:r>
        <w:t xml:space="preserve">Details about input data (physicochemical,</w:t>
      </w:r>
      <w:r>
        <w:t xml:space="preserve"> </w:t>
      </w:r>
      <w:r>
        <w:rPr>
          <w:iCs/>
          <w:i/>
        </w:rPr>
        <w:t xml:space="preserve">in vitro</w:t>
      </w:r>
      <w:r>
        <w:t xml:space="preserve"> </w:t>
      </w:r>
      <w:r>
        <w:t xml:space="preserve">and clinical)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bookmarkEnd w:id="21"/>
    <w:bookmarkStart w:id="24" w:name="data"/>
    <w:p>
      <w:pPr>
        <w:pStyle w:val="Heading2"/>
      </w:pPr>
      <w:r>
        <w:t xml:space="preserve">Data</w:t>
      </w:r>
      <w:bookmarkStart w:id="data" w:name="data"/>
      <w:bookmarkEnd w:id="data"/>
    </w:p>
    <w:bookmarkStart w:id="22" w:name="in-vitro-and-physico-chemical-data"/>
    <w:p>
      <w:pPr>
        <w:pStyle w:val="Heading3"/>
      </w:pPr>
      <w:r>
        <w:t xml:space="preserve">2.2.1 In vitro and physico-chemical data</w:t>
      </w:r>
    </w:p>
    <w:p>
      <w:pPr>
        <w:pStyle w:val="FirstParagraph"/>
      </w:pPr>
      <w:r>
        <w:t xml:space="preserve">A literature search was performed to collect available information on physico-chemical properties of mexiletine, see</w:t>
      </w:r>
      <w:r>
        <w:t xml:space="preserve"> </w:t>
      </w:r>
      <w:hyperlink w:anchor="table-1">
        <w:r>
          <w:rPr>
            <w:rStyle w:val="Hyperlink"/>
          </w:rPr>
          <w:t xml:space="preserve">Table 1</w:t>
        </w:r>
      </w:hyperlink>
      <w:r>
        <w:t xml:space="preserve">.</w:t>
      </w:r>
    </w:p>
    <w:tbl>
      <w:tblPr>
        <w:tblStyle w:val="Table"/>
        <w:tblW w:type="pct" w:w="5000"/>
        <w:tblLook w:firstRow="1" w:lastRow="0" w:firstColumn="0" w:lastColumn="0" w:noHBand="0" w:noVBand="0" w:val="0020"/>
        <w:jc w:val="start"/>
      </w:tblPr>
      <w:tblGrid>
        <w:gridCol w:w="1604"/>
        <w:gridCol w:w="414"/>
        <w:gridCol w:w="1087"/>
        <w:gridCol w:w="1708"/>
        <w:gridCol w:w="3105"/>
      </w:tblGrid>
      <w:tr>
        <w:trPr>
          <w:tblHeader w:val="true"/>
        </w:trPr>
        <w:tc>
          <w:tcPr/>
          <w:p>
            <w:pPr>
              <w:pStyle w:val="Compact"/>
              <w:jc w:val="left"/>
            </w:pPr>
            <w:r>
              <w:rPr>
                <w:bCs/>
                <w:b/>
              </w:rPr>
              <w:t xml:space="preserve">Parameter</w:t>
            </w:r>
          </w:p>
        </w:tc>
        <w:tc>
          <w:tcPr/>
          <w:p>
            <w:pPr>
              <w:pStyle w:val="Compact"/>
              <w:jc w:val="left"/>
            </w:pPr>
            <w:r>
              <w:rPr>
                <w:bCs/>
                <w:b/>
              </w:rPr>
              <w:t xml:space="preserve">Unit</w:t>
            </w:r>
          </w:p>
        </w:tc>
        <w:tc>
          <w:tcPr/>
          <w:p>
            <w:pPr>
              <w:pStyle w:val="Compact"/>
              <w:jc w:val="left"/>
            </w:pPr>
            <w:r>
              <w:rPr>
                <w:bCs/>
                <w:b/>
              </w:rPr>
              <w:t xml:space="preserve">Value</w:t>
            </w:r>
          </w:p>
        </w:tc>
        <w:tc>
          <w:tcPr/>
          <w:p>
            <w:pPr>
              <w:pStyle w:val="Compact"/>
              <w:jc w:val="left"/>
            </w:pPr>
            <w:r>
              <w:t xml:space="preserve">Source</w:t>
            </w:r>
          </w:p>
        </w:tc>
        <w:tc>
          <w:tcPr/>
          <w:p>
            <w:pPr>
              <w:pStyle w:val="Compact"/>
              <w:jc w:val="left"/>
            </w:pPr>
            <w:r>
              <w:rPr>
                <w:bCs/>
                <w:b/>
              </w:rPr>
              <w:t xml:space="preserve">Description</w:t>
            </w:r>
          </w:p>
        </w:tc>
      </w:tr>
      <w:tr>
        <w:tc>
          <w:tcPr/>
          <w:p>
            <w:pPr>
              <w:pStyle w:val="Compact"/>
              <w:jc w:val="left"/>
            </w:pPr>
            <w:r>
              <w:t xml:space="preserve">MW</w:t>
            </w:r>
            <w:r>
              <w:rPr>
                <w:vertAlign w:val="superscript"/>
              </w:rPr>
              <w:t xml:space="preserve">+</w:t>
            </w:r>
          </w:p>
        </w:tc>
        <w:tc>
          <w:tcPr/>
          <w:p>
            <w:pPr>
              <w:pStyle w:val="Compact"/>
              <w:jc w:val="left"/>
            </w:pPr>
            <w:r>
              <w:t xml:space="preserve">g/mol</w:t>
            </w:r>
          </w:p>
        </w:tc>
        <w:tc>
          <w:tcPr/>
          <w:p>
            <w:pPr>
              <w:pStyle w:val="Compact"/>
              <w:jc w:val="left"/>
            </w:pPr>
            <w:r>
              <w:t xml:space="preserve">179.26</w:t>
            </w:r>
          </w:p>
        </w:tc>
        <w:tc>
          <w:tcPr/>
          <w:p>
            <w:pPr>
              <w:pStyle w:val="Compact"/>
              <w:jc w:val="left"/>
            </w:pPr>
            <w:hyperlink w:anchor="Xa559bd5247f9128e74e6edcc17de37648e8cde6">
              <w:r>
                <w:rPr>
                  <w:rStyle w:val="Hyperlink"/>
                </w:rPr>
                <w:t xml:space="preserve">DrugBank DB00379</w:t>
              </w:r>
            </w:hyperlink>
          </w:p>
        </w:tc>
        <w:tc>
          <w:tcPr/>
          <w:p>
            <w:pPr>
              <w:pStyle w:val="Compact"/>
              <w:jc w:val="left"/>
            </w:pPr>
            <w:r>
              <w:t xml:space="preserve">Molecular weight</w:t>
            </w:r>
          </w:p>
        </w:tc>
      </w:tr>
      <w:tr>
        <w:tc>
          <w:tcPr/>
          <w:p>
            <w:pPr>
              <w:pStyle w:val="Compact"/>
              <w:jc w:val="left"/>
            </w:pPr>
            <w:r>
              <w:t xml:space="preserve">pK</w:t>
            </w:r>
            <w:r>
              <w:rPr>
                <w:vertAlign w:val="subscript"/>
              </w:rPr>
              <w:t xml:space="preserve">a,base</w:t>
            </w:r>
            <w:r>
              <w:rPr>
                <w:vertAlign w:val="superscript"/>
              </w:rPr>
              <w:t xml:space="preserve">+</w:t>
            </w:r>
          </w:p>
        </w:tc>
        <w:tc>
          <w:tcPr/>
          <w:p>
            <w:pPr>
              <w:pStyle w:val="Compact"/>
            </w:pPr>
          </w:p>
        </w:tc>
        <w:tc>
          <w:tcPr/>
          <w:p>
            <w:pPr>
              <w:pStyle w:val="Compact"/>
              <w:jc w:val="left"/>
            </w:pPr>
            <w:r>
              <w:t xml:space="preserve">9.2</w:t>
            </w:r>
          </w:p>
        </w:tc>
        <w:tc>
          <w:tcPr/>
          <w:p>
            <w:pPr>
              <w:pStyle w:val="Compact"/>
              <w:jc w:val="left"/>
            </w:pPr>
            <w:hyperlink w:anchor="Xa559bd5247f9128e74e6edcc17de37648e8cde6">
              <w:r>
                <w:rPr>
                  <w:rStyle w:val="Hyperlink"/>
                </w:rPr>
                <w:t xml:space="preserve">DrugBank DB00379</w:t>
              </w:r>
            </w:hyperlink>
          </w:p>
        </w:tc>
        <w:tc>
          <w:tcPr/>
          <w:p>
            <w:pPr>
              <w:pStyle w:val="Compact"/>
              <w:jc w:val="left"/>
            </w:pPr>
            <w:r>
              <w:t xml:space="preserve">Basic dissociation constant</w:t>
            </w:r>
          </w:p>
        </w:tc>
      </w:tr>
      <w:tr>
        <w:tc>
          <w:tcPr/>
          <w:p>
            <w:pPr>
              <w:pStyle w:val="Compact"/>
              <w:jc w:val="left"/>
            </w:pPr>
            <w:r>
              <w:t xml:space="preserve">Solubility (pH)</w:t>
            </w:r>
            <w:r>
              <w:rPr>
                <w:vertAlign w:val="superscript"/>
              </w:rPr>
              <w:t xml:space="preserve">+</w:t>
            </w:r>
          </w:p>
        </w:tc>
        <w:tc>
          <w:tcPr/>
          <w:p>
            <w:pPr>
              <w:pStyle w:val="Compact"/>
              <w:jc w:val="left"/>
            </w:pPr>
            <w:r>
              <w:t xml:space="preserve">mg/mL</w:t>
            </w:r>
          </w:p>
        </w:tc>
        <w:tc>
          <w:tcPr/>
          <w:p>
            <w:pPr>
              <w:pStyle w:val="Compact"/>
              <w:jc w:val="left"/>
            </w:pPr>
            <w:r>
              <w:t xml:space="preserve">0.54</w:t>
            </w:r>
            <w:r>
              <w:t xml:space="preserve">(7)</w:t>
            </w:r>
          </w:p>
        </w:tc>
        <w:tc>
          <w:tcPr/>
          <w:p>
            <w:pPr>
              <w:pStyle w:val="Compact"/>
              <w:jc w:val="left"/>
            </w:pPr>
            <w:hyperlink w:anchor="Xa559bd5247f9128e74e6edcc17de37648e8cde6">
              <w:r>
                <w:rPr>
                  <w:rStyle w:val="Hyperlink"/>
                </w:rPr>
                <w:t xml:space="preserve">DrugBank DB00379</w:t>
              </w:r>
            </w:hyperlink>
          </w:p>
        </w:tc>
        <w:tc>
          <w:tcPr/>
          <w:p>
            <w:pPr>
              <w:pStyle w:val="Compact"/>
              <w:jc w:val="left"/>
            </w:pPr>
            <w:r>
              <w:t xml:space="preserve">Aqueous Solubility</w:t>
            </w:r>
          </w:p>
        </w:tc>
      </w:tr>
      <w:tr>
        <w:tc>
          <w:tcPr/>
          <w:p>
            <w:pPr>
              <w:pStyle w:val="Compact"/>
              <w:jc w:val="left"/>
            </w:pPr>
            <w:r>
              <w:t xml:space="preserve">logD</w:t>
            </w:r>
          </w:p>
        </w:tc>
        <w:tc>
          <w:tcPr/>
          <w:p>
            <w:pPr>
              <w:pStyle w:val="Compact"/>
            </w:pPr>
          </w:p>
        </w:tc>
        <w:tc>
          <w:tcPr/>
          <w:p>
            <w:pPr>
              <w:pStyle w:val="Compact"/>
              <w:jc w:val="left"/>
            </w:pPr>
            <w:r>
              <w:t xml:space="preserve">2.15 - 2.46</w:t>
            </w:r>
          </w:p>
        </w:tc>
        <w:tc>
          <w:tcPr/>
          <w:p>
            <w:pPr>
              <w:pStyle w:val="Compact"/>
              <w:jc w:val="left"/>
            </w:pPr>
            <w:hyperlink w:anchor="Xa559bd5247f9128e74e6edcc17de37648e8cde6">
              <w:r>
                <w:rPr>
                  <w:rStyle w:val="Hyperlink"/>
                </w:rPr>
                <w:t xml:space="preserve">DrugBank DB00379</w:t>
              </w:r>
            </w:hyperlink>
          </w:p>
        </w:tc>
        <w:tc>
          <w:tcPr/>
          <w:p>
            <w:pPr>
              <w:pStyle w:val="Compact"/>
              <w:jc w:val="left"/>
            </w:pPr>
            <w:r>
              <w:t xml:space="preserve">Distribution coefficient</w:t>
            </w:r>
          </w:p>
        </w:tc>
      </w:tr>
      <w:tr>
        <w:tc>
          <w:tcPr/>
          <w:p>
            <w:pPr>
              <w:pStyle w:val="Compact"/>
              <w:jc w:val="left"/>
            </w:pPr>
            <w:r>
              <w:t xml:space="preserve">fu</w:t>
            </w:r>
            <w:r>
              <w:rPr>
                <w:vertAlign w:val="superscript"/>
              </w:rPr>
              <w:t xml:space="preserve">+</w:t>
            </w:r>
          </w:p>
        </w:tc>
        <w:tc>
          <w:tcPr/>
          <w:p>
            <w:pPr>
              <w:pStyle w:val="Compact"/>
              <w:jc w:val="left"/>
            </w:pPr>
            <w:r>
              <w:t xml:space="preserve">%</w:t>
            </w:r>
          </w:p>
        </w:tc>
        <w:tc>
          <w:tcPr/>
          <w:p>
            <w:pPr>
              <w:pStyle w:val="Compact"/>
              <w:jc w:val="left"/>
            </w:pPr>
            <w:r>
              <w:t xml:space="preserve">50</w:t>
            </w:r>
          </w:p>
        </w:tc>
        <w:tc>
          <w:tcPr/>
          <w:p>
            <w:pPr>
              <w:pStyle w:val="Compact"/>
              <w:jc w:val="left"/>
            </w:pPr>
            <w:hyperlink w:anchor="Xa559bd5247f9128e74e6edcc17de37648e8cde6">
              <w:r>
                <w:rPr>
                  <w:rStyle w:val="Hyperlink"/>
                </w:rPr>
                <w:t xml:space="preserve">DrugBank DB00379</w:t>
              </w:r>
            </w:hyperlink>
          </w:p>
        </w:tc>
        <w:tc>
          <w:tcPr/>
          <w:p>
            <w:pPr>
              <w:pStyle w:val="Compact"/>
              <w:jc w:val="left"/>
            </w:pPr>
            <w:r>
              <w:t xml:space="preserve">Fraction unbound in plasma</w:t>
            </w:r>
          </w:p>
        </w:tc>
      </w:tr>
      <w:tr>
        <w:tc>
          <w:tcPr/>
          <w:p>
            <w:pPr>
              <w:pStyle w:val="Compact"/>
              <w:jc w:val="left"/>
            </w:pPr>
            <w:r>
              <w:t xml:space="preserve">CYP1A2 CL</w:t>
            </w:r>
          </w:p>
        </w:tc>
        <w:tc>
          <w:tcPr/>
          <w:p>
            <w:pPr>
              <w:pStyle w:val="Compact"/>
              <w:jc w:val="left"/>
            </w:pPr>
            <w:r>
              <w:t xml:space="preserve">l/h</w:t>
            </w:r>
          </w:p>
        </w:tc>
        <w:tc>
          <w:tcPr/>
          <w:p>
            <w:pPr>
              <w:pStyle w:val="Compact"/>
              <w:jc w:val="left"/>
            </w:pPr>
            <w:r>
              <w:t xml:space="preserve">0.5 - 11</w:t>
            </w:r>
          </w:p>
        </w:tc>
        <w:tc>
          <w:tcPr/>
          <w:p>
            <w:pPr>
              <w:pStyle w:val="Compact"/>
              <w:jc w:val="left"/>
            </w:pPr>
            <w:hyperlink w:anchor="Xa559bd5247f9128e74e6edcc17de37648e8cde6">
              <w:r>
                <w:rPr>
                  <w:rStyle w:val="Hyperlink"/>
                </w:rPr>
                <w:t xml:space="preserve">Labbé 2000</w:t>
              </w:r>
            </w:hyperlink>
          </w:p>
        </w:tc>
        <w:tc>
          <w:tcPr/>
          <w:p>
            <w:pPr>
              <w:pStyle w:val="Compact"/>
              <w:jc w:val="left"/>
            </w:pPr>
            <w:r>
              <w:t xml:space="preserve">Partial metabolic clearance of mexiletine to N-Hydroxymexiletine</w:t>
            </w:r>
          </w:p>
        </w:tc>
      </w:tr>
      <w:tr>
        <w:tc>
          <w:tcPr/>
          <w:p>
            <w:pPr>
              <w:pStyle w:val="Compact"/>
              <w:jc w:val="left"/>
            </w:pPr>
            <w:r>
              <w:t xml:space="preserve">CYP2D6 CL</w:t>
            </w:r>
          </w:p>
        </w:tc>
        <w:tc>
          <w:tcPr/>
          <w:p>
            <w:pPr>
              <w:pStyle w:val="Compact"/>
              <w:jc w:val="left"/>
            </w:pPr>
            <w:r>
              <w:t xml:space="preserve">l/h</w:t>
            </w:r>
          </w:p>
        </w:tc>
        <w:tc>
          <w:tcPr/>
          <w:p>
            <w:pPr>
              <w:pStyle w:val="Compact"/>
              <w:jc w:val="left"/>
            </w:pPr>
            <w:r>
              <w:t xml:space="preserve">12 - 13</w:t>
            </w:r>
          </w:p>
        </w:tc>
        <w:tc>
          <w:tcPr/>
          <w:p>
            <w:pPr>
              <w:pStyle w:val="Compact"/>
              <w:jc w:val="left"/>
            </w:pPr>
            <w:hyperlink w:anchor="Xa559bd5247f9128e74e6edcc17de37648e8cde6">
              <w:r>
                <w:rPr>
                  <w:rStyle w:val="Hyperlink"/>
                </w:rPr>
                <w:t xml:space="preserve">Labbé 2000</w:t>
              </w:r>
            </w:hyperlink>
          </w:p>
        </w:tc>
        <w:tc>
          <w:tcPr/>
          <w:p>
            <w:pPr>
              <w:pStyle w:val="Compact"/>
              <w:jc w:val="left"/>
            </w:pPr>
            <w:r>
              <w:t xml:space="preserve">Difference in non-renal CL between CYP2D6 extensive and poor metabolizers</w:t>
            </w:r>
          </w:p>
        </w:tc>
      </w:tr>
      <w:tr>
        <w:tc>
          <w:tcPr/>
          <w:p>
            <w:pPr>
              <w:pStyle w:val="Compact"/>
              <w:jc w:val="left"/>
            </w:pPr>
            <w:r>
              <w:t xml:space="preserve">Unspecific liver CL</w:t>
            </w:r>
          </w:p>
        </w:tc>
        <w:tc>
          <w:tcPr/>
          <w:p>
            <w:pPr>
              <w:pStyle w:val="Compact"/>
              <w:jc w:val="left"/>
            </w:pPr>
            <w:r>
              <w:t xml:space="preserve">l/h</w:t>
            </w:r>
          </w:p>
        </w:tc>
        <w:tc>
          <w:tcPr/>
          <w:p>
            <w:pPr>
              <w:pStyle w:val="Compact"/>
              <w:jc w:val="left"/>
            </w:pPr>
            <w:r>
              <w:t xml:space="preserve">12 - 24</w:t>
            </w:r>
          </w:p>
        </w:tc>
        <w:tc>
          <w:tcPr/>
          <w:p>
            <w:pPr>
              <w:pStyle w:val="Compact"/>
              <w:jc w:val="left"/>
            </w:pPr>
            <w:hyperlink w:anchor="Xa559bd5247f9128e74e6edcc17de37648e8cde6">
              <w:r>
                <w:rPr>
                  <w:rStyle w:val="Hyperlink"/>
                </w:rPr>
                <w:t xml:space="preserve">Labbé 2000</w:t>
              </w:r>
            </w:hyperlink>
          </w:p>
        </w:tc>
        <w:tc>
          <w:tcPr/>
          <w:p>
            <w:pPr>
              <w:pStyle w:val="Compact"/>
              <w:jc w:val="left"/>
            </w:pPr>
            <w:r>
              <w:t xml:space="preserve">Non-renal CL – CYP2D6 CL – CYP1A2 CL</w:t>
            </w:r>
          </w:p>
        </w:tc>
      </w:tr>
      <w:tr>
        <w:tc>
          <w:tcPr/>
          <w:p>
            <w:pPr>
              <w:pStyle w:val="Compact"/>
              <w:jc w:val="left"/>
            </w:pPr>
            <w:r>
              <w:t xml:space="preserve">Renal elimination</w:t>
            </w:r>
            <w:r>
              <w:rPr>
                <w:vertAlign w:val="superscript"/>
              </w:rPr>
              <w:t xml:space="preserve">+</w:t>
            </w:r>
          </w:p>
        </w:tc>
        <w:tc>
          <w:tcPr/>
          <w:p>
            <w:pPr>
              <w:pStyle w:val="Compact"/>
              <w:jc w:val="left"/>
            </w:pPr>
            <w:r>
              <w:t xml:space="preserve">l/h</w:t>
            </w:r>
          </w:p>
        </w:tc>
        <w:tc>
          <w:tcPr/>
          <w:p>
            <w:pPr>
              <w:pStyle w:val="Compact"/>
              <w:jc w:val="left"/>
            </w:pPr>
            <w:r>
              <w:t xml:space="preserve">1.8</w:t>
            </w:r>
            <w:r>
              <w:rPr>
                <w:vertAlign w:val="superscript"/>
              </w:rPr>
              <w:t xml:space="preserve">+</w:t>
            </w:r>
            <w:r>
              <w:t xml:space="preserve"> </w:t>
            </w:r>
            <w:r>
              <w:t xml:space="preserve">- 2.1</w:t>
            </w:r>
          </w:p>
        </w:tc>
        <w:tc>
          <w:tcPr/>
          <w:p>
            <w:pPr>
              <w:pStyle w:val="Compact"/>
              <w:jc w:val="left"/>
            </w:pPr>
            <w:hyperlink w:anchor="Xa559bd5247f9128e74e6edcc17de37648e8cde6">
              <w:r>
                <w:rPr>
                  <w:rStyle w:val="Hyperlink"/>
                </w:rPr>
                <w:t xml:space="preserve">Labbé 2000</w:t>
              </w:r>
            </w:hyperlink>
          </w:p>
        </w:tc>
        <w:tc>
          <w:tcPr/>
          <w:p>
            <w:pPr>
              <w:pStyle w:val="Compact"/>
              <w:jc w:val="left"/>
            </w:pPr>
            <w:r>
              <w:t xml:space="preserve">Renal clearance</w:t>
            </w:r>
          </w:p>
        </w:tc>
      </w:tr>
      <w:tr>
        <w:tc>
          <w:tcPr/>
          <w:p>
            <w:pPr>
              <w:pStyle w:val="Compact"/>
              <w:jc w:val="left"/>
            </w:pPr>
            <w:r>
              <w:t xml:space="preserve">Ki CYP1A2</w:t>
            </w:r>
            <w:r>
              <w:rPr>
                <w:vertAlign w:val="superscript"/>
              </w:rPr>
              <w:t xml:space="preserve">+</w:t>
            </w:r>
          </w:p>
        </w:tc>
        <w:tc>
          <w:tcPr/>
          <w:p>
            <w:pPr>
              <w:pStyle w:val="Compact"/>
              <w:jc w:val="left"/>
            </w:pPr>
            <w:r>
              <w:t xml:space="preserve">µmol/l</w:t>
            </w:r>
          </w:p>
        </w:tc>
        <w:tc>
          <w:tcPr/>
          <w:p>
            <w:pPr>
              <w:pStyle w:val="Compact"/>
              <w:jc w:val="left"/>
            </w:pPr>
            <w:r>
              <w:t xml:space="preserve">0.28</w:t>
            </w:r>
          </w:p>
        </w:tc>
        <w:tc>
          <w:tcPr/>
          <w:p>
            <w:pPr>
              <w:pStyle w:val="Compact"/>
              <w:jc w:val="left"/>
            </w:pPr>
            <w:hyperlink w:anchor="Xa559bd5247f9128e74e6edcc17de37648e8cde6">
              <w:r>
                <w:rPr>
                  <w:rStyle w:val="Hyperlink"/>
                </w:rPr>
                <w:t xml:space="preserve">Wei 1991</w:t>
              </w:r>
            </w:hyperlink>
          </w:p>
        </w:tc>
        <w:tc>
          <w:tcPr/>
          <w:p>
            <w:pPr>
              <w:pStyle w:val="Compact"/>
              <w:jc w:val="left"/>
            </w:pPr>
            <w:r>
              <w:t xml:space="preserve">CYP1A2 inhibition constant</w:t>
            </w:r>
          </w:p>
        </w:tc>
      </w:tr>
    </w:tbl>
    <w:p>
      <w:pPr>
        <w:pStyle w:val="BodyText"/>
      </w:pPr>
      <w:r>
        <w:rPr>
          <w:bCs/>
          <w:b/>
        </w:rPr>
        <w:t xml:space="preserve">Table 1:</w:t>
      </w:r>
      <w:r>
        <w:t xml:space="preserve"> </w:t>
      </w:r>
      <w:r>
        <w:t xml:space="preserve">Physico-chemical and</w:t>
      </w:r>
      <w:r>
        <w:t xml:space="preserve"> </w:t>
      </w:r>
      <w:r>
        <w:rPr>
          <w:iCs/>
          <w:i/>
        </w:rPr>
        <w:t xml:space="preserve">in-vitro</w:t>
      </w:r>
      <w:r>
        <w:t xml:space="preserve"> </w:t>
      </w:r>
      <w:r>
        <w:t xml:space="preserve">metabolization properties of mexiletine extracted from literature.</w:t>
      </w:r>
      <w:r>
        <w:t xml:space="preserve"> </w:t>
      </w:r>
      <w:r>
        <w:rPr>
          <w:vertAlign w:val="superscript"/>
          <w:iCs/>
          <w:i/>
        </w:rPr>
        <w:t xml:space="preserve">+</w:t>
      </w:r>
      <w:r>
        <w:rPr>
          <w:iCs/>
          <w:i/>
        </w:rPr>
        <w:t xml:space="preserve">: Value used in final model</w:t>
      </w:r>
      <w:bookmarkStart w:id="table-1" w:name="table-1"/>
      <w:bookmarkEnd w:id="table-1"/>
    </w:p>
    <w:bookmarkEnd w:id="22"/>
    <w:bookmarkStart w:id="23" w:name="clinical-data"/>
    <w:p>
      <w:pPr>
        <w:pStyle w:val="Heading3"/>
      </w:pPr>
      <w:r>
        <w:t xml:space="preserve">2.2.2 Clinical data</w:t>
      </w:r>
    </w:p>
    <w:p>
      <w:pPr>
        <w:pStyle w:val="FirstParagraph"/>
      </w:pPr>
      <w:r>
        <w:t xml:space="preserve">A literature search was performed to collect available clinical data on mexiletine, see</w:t>
      </w:r>
      <w:r>
        <w:t xml:space="preserve"> </w:t>
      </w:r>
      <w:hyperlink w:anchor="table-2">
        <w:r>
          <w:rPr>
            <w:rStyle w:val="Hyperlink"/>
          </w:rPr>
          <w:t xml:space="preserve">Table 2</w:t>
        </w:r>
      </w:hyperlink>
      <w:r>
        <w:t xml:space="preserve">.</w:t>
      </w:r>
    </w:p>
    <w:tbl>
      <w:tblPr>
        <w:tblStyle w:val="Table"/>
        <w:tblW w:type="pct" w:w="5000"/>
        <w:tblLook w:firstRow="1" w:lastRow="0" w:firstColumn="0" w:lastColumn="0" w:noHBand="0" w:noVBand="0" w:val="0020"/>
        <w:jc w:val="start"/>
      </w:tblPr>
      <w:tblGrid>
        <w:gridCol w:w="838"/>
        <w:gridCol w:w="1299"/>
        <w:gridCol w:w="502"/>
        <w:gridCol w:w="293"/>
        <w:gridCol w:w="1382"/>
        <w:gridCol w:w="1382"/>
        <w:gridCol w:w="1382"/>
        <w:gridCol w:w="838"/>
      </w:tblGrid>
      <w:tr>
        <w:trPr>
          <w:tblHeader w:val="true"/>
        </w:trPr>
        <w:tc>
          <w:tcPr/>
          <w:p>
            <w:pPr>
              <w:pStyle w:val="Compact"/>
              <w:jc w:val="left"/>
            </w:pPr>
            <w:r>
              <w:rPr>
                <w:bCs/>
                <w:b/>
              </w:rPr>
              <w:t xml:space="preserve">Source</w:t>
            </w:r>
          </w:p>
        </w:tc>
        <w:tc>
          <w:tcPr/>
          <w:p>
            <w:pPr>
              <w:pStyle w:val="Compact"/>
              <w:jc w:val="left"/>
            </w:pPr>
            <w:r>
              <w:t xml:space="preserve">Route</w:t>
            </w:r>
          </w:p>
        </w:tc>
        <w:tc>
          <w:tcPr/>
          <w:p>
            <w:pPr>
              <w:pStyle w:val="Compact"/>
              <w:jc w:val="left"/>
            </w:pPr>
            <w:r>
              <w:rPr>
                <w:bCs/>
                <w:b/>
              </w:rPr>
              <w:t xml:space="preserve">Dose [mg]/</w:t>
            </w:r>
            <w:r>
              <w:t xml:space="preserve"> </w:t>
            </w:r>
            <w:r>
              <w:rPr>
                <w:bCs/>
                <w:b/>
              </w:rPr>
              <w:t xml:space="preserve">Schedule *</w:t>
            </w:r>
          </w:p>
        </w:tc>
        <w:tc>
          <w:tcPr/>
          <w:p>
            <w:pPr>
              <w:pStyle w:val="Compact"/>
              <w:jc w:val="left"/>
            </w:pPr>
            <w:r>
              <w:rPr>
                <w:bCs/>
                <w:b/>
              </w:rPr>
              <w:t xml:space="preserve">Pop.</w:t>
            </w:r>
          </w:p>
        </w:tc>
        <w:tc>
          <w:tcPr/>
          <w:p>
            <w:pPr>
              <w:pStyle w:val="Compact"/>
              <w:jc w:val="left"/>
            </w:pPr>
            <w:r>
              <w:rPr>
                <w:bCs/>
                <w:b/>
              </w:rPr>
              <w:t xml:space="preserve">Sex</w:t>
            </w:r>
          </w:p>
        </w:tc>
        <w:tc>
          <w:tcPr/>
          <w:p>
            <w:pPr>
              <w:pStyle w:val="Compact"/>
              <w:jc w:val="left"/>
            </w:pPr>
            <w:r>
              <w:rPr>
                <w:bCs/>
                <w:b/>
              </w:rPr>
              <w:t xml:space="preserve">N</w:t>
            </w:r>
          </w:p>
        </w:tc>
        <w:tc>
          <w:tcPr/>
          <w:p>
            <w:pPr>
              <w:pStyle w:val="Compact"/>
              <w:jc w:val="left"/>
            </w:pPr>
            <w:r>
              <w:rPr>
                <w:bCs/>
                <w:b/>
              </w:rPr>
              <w:t xml:space="preserve">Form.</w:t>
            </w:r>
          </w:p>
        </w:tc>
        <w:tc>
          <w:tcPr/>
          <w:p>
            <w:pPr>
              <w:pStyle w:val="Compact"/>
              <w:jc w:val="left"/>
            </w:pPr>
            <w:r>
              <w:rPr>
                <w:bCs/>
                <w:b/>
              </w:rPr>
              <w:t xml:space="preserve">Comment</w:t>
            </w:r>
          </w:p>
        </w:tc>
      </w:tr>
      <w:tr>
        <w:tc>
          <w:tcPr/>
          <w:p>
            <w:pPr>
              <w:pStyle w:val="Compact"/>
              <w:jc w:val="left"/>
            </w:pPr>
            <w:hyperlink w:anchor="Xa559bd5247f9128e74e6edcc17de37648e8cde6">
              <w:r>
                <w:rPr>
                  <w:rStyle w:val="Hyperlink"/>
                </w:rPr>
                <w:t xml:space="preserve">Campbell 1978</w:t>
              </w:r>
            </w:hyperlink>
            <w:r>
              <w:rPr>
                <w:vertAlign w:val="superscript"/>
              </w:rPr>
              <w:t xml:space="preserve">+</w:t>
            </w:r>
          </w:p>
        </w:tc>
        <w:tc>
          <w:tcPr/>
          <w:p>
            <w:pPr>
              <w:pStyle w:val="Compact"/>
              <w:jc w:val="left"/>
            </w:pPr>
            <w:r>
              <w:t xml:space="preserve">i.v.</w:t>
            </w:r>
          </w:p>
        </w:tc>
        <w:tc>
          <w:tcPr/>
          <w:p>
            <w:pPr>
              <w:pStyle w:val="Compact"/>
              <w:jc w:val="left"/>
            </w:pPr>
            <w:r>
              <w:t xml:space="preserve">200</w:t>
            </w:r>
          </w:p>
        </w:tc>
        <w:tc>
          <w:tcPr/>
          <w:p>
            <w:pPr>
              <w:pStyle w:val="Compact"/>
              <w:jc w:val="left"/>
            </w:pPr>
            <w:r>
              <w:t xml:space="preserve">HV</w:t>
            </w:r>
          </w:p>
        </w:tc>
        <w:tc>
          <w:tcPr/>
          <w:p>
            <w:pPr>
              <w:pStyle w:val="Compact"/>
              <w:jc w:val="left"/>
            </w:pPr>
            <w:r>
              <w:t xml:space="preserve">m</w:t>
            </w:r>
          </w:p>
        </w:tc>
        <w:tc>
          <w:tcPr/>
          <w:p>
            <w:pPr>
              <w:pStyle w:val="Compact"/>
              <w:jc w:val="left"/>
            </w:pPr>
            <w:r>
              <w:t xml:space="preserve">5</w:t>
            </w:r>
          </w:p>
        </w:tc>
        <w:tc>
          <w:tcPr/>
          <w:p>
            <w:pPr>
              <w:pStyle w:val="Compact"/>
              <w:jc w:val="left"/>
            </w:pPr>
            <w:r>
              <w:t xml:space="preserve">solution</w:t>
            </w:r>
          </w:p>
        </w:tc>
        <w:tc>
          <w:tcPr/>
          <w:p>
            <w:pPr>
              <w:pStyle w:val="Compact"/>
            </w:pPr>
          </w:p>
        </w:tc>
      </w:tr>
      <w:tr>
        <w:tc>
          <w:tcPr/>
          <w:p>
            <w:pPr>
              <w:pStyle w:val="Compact"/>
              <w:jc w:val="left"/>
            </w:pPr>
            <w:hyperlink w:anchor="Xa559bd5247f9128e74e6edcc17de37648e8cde6">
              <w:r>
                <w:rPr>
                  <w:rStyle w:val="Hyperlink"/>
                </w:rPr>
                <w:t xml:space="preserve">Campbell 1978</w:t>
              </w:r>
            </w:hyperlink>
            <w:r>
              <w:rPr>
                <w:vertAlign w:val="superscript"/>
              </w:rPr>
              <w:t xml:space="preserve">+</w:t>
            </w:r>
          </w:p>
        </w:tc>
        <w:tc>
          <w:tcPr/>
          <w:p>
            <w:pPr>
              <w:pStyle w:val="Compact"/>
              <w:jc w:val="left"/>
            </w:pPr>
            <w:r>
              <w:t xml:space="preserve">p.o.</w:t>
            </w:r>
          </w:p>
        </w:tc>
        <w:tc>
          <w:tcPr/>
          <w:p>
            <w:pPr>
              <w:pStyle w:val="Compact"/>
              <w:jc w:val="left"/>
            </w:pPr>
            <w:r>
              <w:t xml:space="preserve">200</w:t>
            </w:r>
          </w:p>
        </w:tc>
        <w:tc>
          <w:tcPr/>
          <w:p>
            <w:pPr>
              <w:pStyle w:val="Compact"/>
              <w:jc w:val="left"/>
            </w:pPr>
            <w:r>
              <w:t xml:space="preserve">HV</w:t>
            </w:r>
          </w:p>
        </w:tc>
        <w:tc>
          <w:tcPr/>
          <w:p>
            <w:pPr>
              <w:pStyle w:val="Compact"/>
              <w:jc w:val="left"/>
            </w:pPr>
            <w:r>
              <w:t xml:space="preserve">m</w:t>
            </w:r>
          </w:p>
        </w:tc>
        <w:tc>
          <w:tcPr/>
          <w:p>
            <w:pPr>
              <w:pStyle w:val="Compact"/>
              <w:jc w:val="left"/>
            </w:pPr>
            <w:r>
              <w:t xml:space="preserve">5</w:t>
            </w:r>
          </w:p>
        </w:tc>
        <w:tc>
          <w:tcPr/>
          <w:p>
            <w:pPr>
              <w:pStyle w:val="Compact"/>
              <w:jc w:val="left"/>
            </w:pPr>
            <w:r>
              <w:t xml:space="preserve">-</w:t>
            </w:r>
          </w:p>
        </w:tc>
        <w:tc>
          <w:tcPr/>
          <w:p>
            <w:pPr>
              <w:pStyle w:val="Compact"/>
            </w:pPr>
          </w:p>
        </w:tc>
      </w:tr>
      <w:tr>
        <w:tc>
          <w:tcPr/>
          <w:p>
            <w:pPr>
              <w:pStyle w:val="Compact"/>
              <w:jc w:val="left"/>
            </w:pPr>
            <w:hyperlink w:anchor="Xa559bd5247f9128e74e6edcc17de37648e8cde6">
              <w:r>
                <w:rPr>
                  <w:rStyle w:val="Hyperlink"/>
                </w:rPr>
                <w:t xml:space="preserve">Begg 1982</w:t>
              </w:r>
            </w:hyperlink>
            <w:r>
              <w:rPr>
                <w:vertAlign w:val="superscript"/>
              </w:rPr>
              <w:t xml:space="preserve">+</w:t>
            </w:r>
          </w:p>
        </w:tc>
        <w:tc>
          <w:tcPr/>
          <w:p>
            <w:pPr>
              <w:pStyle w:val="Compact"/>
              <w:jc w:val="left"/>
            </w:pPr>
            <w:r>
              <w:t xml:space="preserve">p.o.</w:t>
            </w:r>
          </w:p>
        </w:tc>
        <w:tc>
          <w:tcPr/>
          <w:p>
            <w:pPr>
              <w:pStyle w:val="Compact"/>
              <w:jc w:val="left"/>
            </w:pPr>
            <w:r>
              <w:t xml:space="preserve">333.24</w:t>
            </w:r>
          </w:p>
        </w:tc>
        <w:tc>
          <w:tcPr/>
          <w:p>
            <w:pPr>
              <w:pStyle w:val="Compact"/>
              <w:jc w:val="left"/>
            </w:pPr>
            <w:r>
              <w:t xml:space="preserve">HV</w:t>
            </w:r>
          </w:p>
        </w:tc>
        <w:tc>
          <w:tcPr/>
          <w:p>
            <w:pPr>
              <w:pStyle w:val="Compact"/>
              <w:jc w:val="left"/>
            </w:pPr>
            <w:r>
              <w:t xml:space="preserve">m/f</w:t>
            </w:r>
          </w:p>
        </w:tc>
        <w:tc>
          <w:tcPr/>
          <w:p>
            <w:pPr>
              <w:pStyle w:val="Compact"/>
              <w:jc w:val="left"/>
            </w:pPr>
            <w:r>
              <w:t xml:space="preserve">6</w:t>
            </w:r>
          </w:p>
        </w:tc>
        <w:tc>
          <w:tcPr/>
          <w:p>
            <w:pPr>
              <w:pStyle w:val="Compact"/>
              <w:jc w:val="left"/>
            </w:pPr>
            <w:r>
              <w:t xml:space="preserve">tablet</w:t>
            </w:r>
          </w:p>
        </w:tc>
        <w:tc>
          <w:tcPr/>
          <w:p>
            <w:pPr>
              <w:pStyle w:val="Compact"/>
              <w:jc w:val="left"/>
            </w:pPr>
            <w:r>
              <w:t xml:space="preserve">6 IDs</w:t>
            </w:r>
          </w:p>
        </w:tc>
      </w:tr>
      <w:tr>
        <w:tc>
          <w:tcPr/>
          <w:p>
            <w:pPr>
              <w:pStyle w:val="Compact"/>
              <w:jc w:val="left"/>
            </w:pPr>
            <w:hyperlink w:anchor="Xa559bd5247f9128e74e6edcc17de37648e8cde6">
              <w:r>
                <w:rPr>
                  <w:rStyle w:val="Hyperlink"/>
                </w:rPr>
                <w:t xml:space="preserve">Labbé 2000</w:t>
              </w:r>
            </w:hyperlink>
          </w:p>
        </w:tc>
        <w:tc>
          <w:tcPr/>
          <w:p>
            <w:pPr>
              <w:pStyle w:val="Compact"/>
              <w:jc w:val="left"/>
            </w:pPr>
            <w:r>
              <w:t xml:space="preserve">p.o.</w:t>
            </w:r>
          </w:p>
        </w:tc>
        <w:tc>
          <w:tcPr/>
          <w:p>
            <w:pPr>
              <w:pStyle w:val="Compact"/>
              <w:jc w:val="left"/>
            </w:pPr>
            <w:r>
              <w:t xml:space="preserve">83.31 b.i.d.</w:t>
            </w:r>
          </w:p>
        </w:tc>
        <w:tc>
          <w:tcPr/>
          <w:p>
            <w:pPr>
              <w:pStyle w:val="Compact"/>
              <w:jc w:val="left"/>
            </w:pPr>
            <w:r>
              <w:t xml:space="preserve">HV</w:t>
            </w:r>
          </w:p>
        </w:tc>
        <w:tc>
          <w:tcPr/>
          <w:p>
            <w:pPr>
              <w:pStyle w:val="Compact"/>
              <w:jc w:val="left"/>
            </w:pPr>
            <w:r>
              <w:t xml:space="preserve">m/f</w:t>
            </w:r>
          </w:p>
        </w:tc>
        <w:tc>
          <w:tcPr/>
          <w:p>
            <w:pPr>
              <w:pStyle w:val="Compact"/>
              <w:jc w:val="left"/>
            </w:pPr>
            <w:r>
              <w:t xml:space="preserve">1</w:t>
            </w:r>
          </w:p>
        </w:tc>
        <w:tc>
          <w:tcPr/>
          <w:p>
            <w:pPr>
              <w:pStyle w:val="Compact"/>
              <w:jc w:val="left"/>
            </w:pPr>
            <w:r>
              <w:t xml:space="preserve">-</w:t>
            </w:r>
          </w:p>
        </w:tc>
        <w:tc>
          <w:tcPr/>
          <w:p>
            <w:pPr>
              <w:pStyle w:val="Compact"/>
              <w:jc w:val="left"/>
            </w:pPr>
            <w:r>
              <w:t xml:space="preserve">EM/PM</w:t>
            </w:r>
          </w:p>
        </w:tc>
      </w:tr>
      <w:tr>
        <w:tc>
          <w:tcPr/>
          <w:p>
            <w:pPr>
              <w:pStyle w:val="Compact"/>
              <w:jc w:val="left"/>
            </w:pPr>
            <w:hyperlink w:anchor="Xa559bd5247f9128e74e6edcc17de37648e8cde6">
              <w:r>
                <w:rPr>
                  <w:rStyle w:val="Hyperlink"/>
                </w:rPr>
                <w:t xml:space="preserve">Campbell 1978</w:t>
              </w:r>
            </w:hyperlink>
            <w:r>
              <w:rPr>
                <w:vertAlign w:val="superscript"/>
              </w:rPr>
              <w:t xml:space="preserve">+</w:t>
            </w:r>
          </w:p>
        </w:tc>
        <w:tc>
          <w:tcPr/>
          <w:p>
            <w:pPr>
              <w:pStyle w:val="Compact"/>
              <w:jc w:val="left"/>
            </w:pPr>
            <w:r>
              <w:t xml:space="preserve">i.v.</w:t>
            </w:r>
          </w:p>
        </w:tc>
        <w:tc>
          <w:tcPr/>
          <w:p>
            <w:pPr>
              <w:pStyle w:val="Compact"/>
              <w:jc w:val="left"/>
            </w:pPr>
            <w:r>
              <w:t xml:space="preserve">200</w:t>
            </w:r>
          </w:p>
        </w:tc>
        <w:tc>
          <w:tcPr/>
          <w:p>
            <w:pPr>
              <w:pStyle w:val="Compact"/>
              <w:jc w:val="left"/>
            </w:pPr>
            <w:r>
              <w:t xml:space="preserve">patients</w:t>
            </w:r>
          </w:p>
        </w:tc>
        <w:tc>
          <w:tcPr/>
          <w:p>
            <w:pPr>
              <w:pStyle w:val="Compact"/>
              <w:jc w:val="left"/>
            </w:pPr>
            <w:r>
              <w:t xml:space="preserve">-</w:t>
            </w:r>
          </w:p>
        </w:tc>
        <w:tc>
          <w:tcPr/>
          <w:p>
            <w:pPr>
              <w:pStyle w:val="Compact"/>
              <w:jc w:val="left"/>
            </w:pPr>
            <w:r>
              <w:t xml:space="preserve">10</w:t>
            </w:r>
          </w:p>
        </w:tc>
        <w:tc>
          <w:tcPr/>
          <w:p>
            <w:pPr>
              <w:pStyle w:val="Compact"/>
              <w:jc w:val="left"/>
            </w:pPr>
            <w:r>
              <w:t xml:space="preserve">solution</w:t>
            </w:r>
          </w:p>
        </w:tc>
        <w:tc>
          <w:tcPr/>
          <w:p>
            <w:pPr>
              <w:pStyle w:val="Compact"/>
            </w:pPr>
          </w:p>
        </w:tc>
      </w:tr>
      <w:tr>
        <w:tc>
          <w:tcPr/>
          <w:p>
            <w:pPr>
              <w:pStyle w:val="Compact"/>
              <w:jc w:val="left"/>
            </w:pPr>
            <w:hyperlink w:anchor="Xa559bd5247f9128e74e6edcc17de37648e8cde6">
              <w:r>
                <w:rPr>
                  <w:rStyle w:val="Hyperlink"/>
                </w:rPr>
                <w:t xml:space="preserve">Pringle 1986</w:t>
              </w:r>
            </w:hyperlink>
            <w:r>
              <w:rPr>
                <w:vertAlign w:val="superscript"/>
              </w:rPr>
              <w:t xml:space="preserve">+</w:t>
            </w:r>
          </w:p>
        </w:tc>
        <w:tc>
          <w:tcPr/>
          <w:p>
            <w:pPr>
              <w:pStyle w:val="Compact"/>
              <w:jc w:val="left"/>
            </w:pPr>
            <w:r>
              <w:t xml:space="preserve">p.o.</w:t>
            </w:r>
          </w:p>
        </w:tc>
        <w:tc>
          <w:tcPr/>
          <w:p>
            <w:pPr>
              <w:pStyle w:val="Compact"/>
              <w:jc w:val="left"/>
            </w:pPr>
            <w:r>
              <w:t xml:space="preserve">83.31 - 166.62 - 249.9 - 333.24 - 499.9</w:t>
            </w:r>
          </w:p>
        </w:tc>
        <w:tc>
          <w:tcPr/>
          <w:p>
            <w:pPr>
              <w:pStyle w:val="Compact"/>
              <w:jc w:val="left"/>
            </w:pPr>
            <w:r>
              <w:t xml:space="preserve">HV</w:t>
            </w:r>
          </w:p>
        </w:tc>
        <w:tc>
          <w:tcPr/>
          <w:p>
            <w:pPr>
              <w:pStyle w:val="Compact"/>
              <w:jc w:val="left"/>
            </w:pPr>
            <w:r>
              <w:t xml:space="preserve">m</w:t>
            </w:r>
          </w:p>
        </w:tc>
        <w:tc>
          <w:tcPr/>
          <w:p>
            <w:pPr>
              <w:pStyle w:val="Compact"/>
              <w:jc w:val="left"/>
            </w:pPr>
            <w:r>
              <w:t xml:space="preserve">12</w:t>
            </w:r>
          </w:p>
        </w:tc>
        <w:tc>
          <w:tcPr/>
          <w:p>
            <w:pPr>
              <w:pStyle w:val="Compact"/>
              <w:jc w:val="left"/>
            </w:pPr>
            <w:r>
              <w:t xml:space="preserve">capsule</w:t>
            </w:r>
          </w:p>
        </w:tc>
        <w:tc>
          <w:tcPr/>
          <w:p>
            <w:pPr>
              <w:pStyle w:val="Compact"/>
            </w:pPr>
          </w:p>
        </w:tc>
      </w:tr>
      <w:tr>
        <w:tc>
          <w:tcPr/>
          <w:p>
            <w:pPr>
              <w:pStyle w:val="Compact"/>
              <w:jc w:val="left"/>
            </w:pPr>
            <w:hyperlink w:anchor="Xa559bd5247f9128e74e6edcc17de37648e8cde6">
              <w:r>
                <w:rPr>
                  <w:rStyle w:val="Hyperlink"/>
                </w:rPr>
                <w:t xml:space="preserve">Kusumoto 1998</w:t>
              </w:r>
            </w:hyperlink>
            <w:r>
              <w:rPr>
                <w:vertAlign w:val="superscript"/>
              </w:rPr>
              <w:t xml:space="preserve">+</w:t>
            </w:r>
          </w:p>
        </w:tc>
        <w:tc>
          <w:tcPr/>
          <w:p>
            <w:pPr>
              <w:pStyle w:val="Compact"/>
              <w:jc w:val="left"/>
            </w:pPr>
            <w:r>
              <w:t xml:space="preserve">p.o.</w:t>
            </w:r>
          </w:p>
        </w:tc>
        <w:tc>
          <w:tcPr/>
          <w:p>
            <w:pPr>
              <w:pStyle w:val="Compact"/>
              <w:jc w:val="left"/>
            </w:pPr>
            <w:r>
              <w:t xml:space="preserve">166.62</w:t>
            </w:r>
          </w:p>
        </w:tc>
        <w:tc>
          <w:tcPr/>
          <w:p>
            <w:pPr>
              <w:pStyle w:val="Compact"/>
              <w:jc w:val="left"/>
            </w:pPr>
            <w:r>
              <w:t xml:space="preserve">HV</w:t>
            </w:r>
          </w:p>
        </w:tc>
        <w:tc>
          <w:tcPr/>
          <w:p>
            <w:pPr>
              <w:pStyle w:val="Compact"/>
              <w:jc w:val="left"/>
            </w:pPr>
            <w:r>
              <w:t xml:space="preserve">m</w:t>
            </w:r>
          </w:p>
        </w:tc>
        <w:tc>
          <w:tcPr/>
          <w:p>
            <w:pPr>
              <w:pStyle w:val="Compact"/>
              <w:jc w:val="left"/>
            </w:pPr>
            <w:r>
              <w:t xml:space="preserve">9</w:t>
            </w:r>
          </w:p>
        </w:tc>
        <w:tc>
          <w:tcPr/>
          <w:p>
            <w:pPr>
              <w:pStyle w:val="Compact"/>
              <w:jc w:val="left"/>
            </w:pPr>
            <w:r>
              <w:t xml:space="preserve">capsule</w:t>
            </w:r>
          </w:p>
        </w:tc>
        <w:tc>
          <w:tcPr/>
          <w:p>
            <w:pPr>
              <w:pStyle w:val="Compact"/>
            </w:pPr>
          </w:p>
        </w:tc>
      </w:tr>
      <w:tr>
        <w:tc>
          <w:tcPr/>
          <w:p>
            <w:pPr>
              <w:pStyle w:val="Compact"/>
              <w:jc w:val="left"/>
            </w:pPr>
            <w:hyperlink w:anchor="Xa559bd5247f9128e74e6edcc17de37648e8cde6">
              <w:r>
                <w:rPr>
                  <w:rStyle w:val="Hyperlink"/>
                </w:rPr>
                <w:t xml:space="preserve">Pentikäinen 1984</w:t>
              </w:r>
            </w:hyperlink>
            <w:r>
              <w:rPr>
                <w:vertAlign w:val="superscript"/>
              </w:rPr>
              <w:t xml:space="preserve">+</w:t>
            </w:r>
          </w:p>
        </w:tc>
        <w:tc>
          <w:tcPr/>
          <w:p>
            <w:pPr>
              <w:pStyle w:val="Compact"/>
              <w:jc w:val="left"/>
            </w:pPr>
            <w:r>
              <w:t xml:space="preserve">i.v.</w:t>
            </w:r>
          </w:p>
        </w:tc>
        <w:tc>
          <w:tcPr/>
          <w:p>
            <w:pPr>
              <w:pStyle w:val="Compact"/>
              <w:jc w:val="left"/>
            </w:pPr>
            <w:r>
              <w:t xml:space="preserve">166.62</w:t>
            </w:r>
          </w:p>
        </w:tc>
        <w:tc>
          <w:tcPr/>
          <w:p>
            <w:pPr>
              <w:pStyle w:val="Compact"/>
              <w:jc w:val="left"/>
            </w:pPr>
            <w:r>
              <w:t xml:space="preserve">acute myocardial infarction</w:t>
            </w:r>
          </w:p>
        </w:tc>
        <w:tc>
          <w:tcPr/>
          <w:p>
            <w:pPr>
              <w:pStyle w:val="Compact"/>
              <w:jc w:val="left"/>
            </w:pPr>
            <w:r>
              <w:t xml:space="preserve">-</w:t>
            </w:r>
          </w:p>
        </w:tc>
        <w:tc>
          <w:tcPr/>
          <w:p>
            <w:pPr>
              <w:pStyle w:val="Compact"/>
              <w:jc w:val="left"/>
            </w:pPr>
            <w:r>
              <w:t xml:space="preserve">18</w:t>
            </w:r>
          </w:p>
        </w:tc>
        <w:tc>
          <w:tcPr/>
          <w:p>
            <w:pPr>
              <w:pStyle w:val="Compact"/>
              <w:jc w:val="left"/>
            </w:pPr>
            <w:r>
              <w:t xml:space="preserve">solution</w:t>
            </w:r>
          </w:p>
        </w:tc>
        <w:tc>
          <w:tcPr/>
          <w:p>
            <w:pPr>
              <w:pStyle w:val="Compact"/>
              <w:jc w:val="left"/>
            </w:pPr>
            <w:r>
              <w:t xml:space="preserve">acute myocardial infarction</w:t>
            </w:r>
          </w:p>
        </w:tc>
      </w:tr>
      <w:tr>
        <w:tc>
          <w:tcPr/>
          <w:p>
            <w:pPr>
              <w:pStyle w:val="Compact"/>
              <w:jc w:val="left"/>
            </w:pPr>
            <w:hyperlink w:anchor="Xa559bd5247f9128e74e6edcc17de37648e8cde6">
              <w:r>
                <w:rPr>
                  <w:rStyle w:val="Hyperlink"/>
                </w:rPr>
                <w:t xml:space="preserve">Joeres 1987</w:t>
              </w:r>
            </w:hyperlink>
            <w:r>
              <w:rPr>
                <w:vertAlign w:val="superscript"/>
              </w:rPr>
              <w:t xml:space="preserve">+</w:t>
            </w:r>
          </w:p>
        </w:tc>
        <w:tc>
          <w:tcPr/>
          <w:p>
            <w:pPr>
              <w:pStyle w:val="Compact"/>
              <w:jc w:val="left"/>
            </w:pPr>
            <w:r>
              <w:t xml:space="preserve">p.o.</w:t>
            </w:r>
          </w:p>
        </w:tc>
        <w:tc>
          <w:tcPr/>
          <w:p>
            <w:pPr>
              <w:pStyle w:val="Compact"/>
              <w:jc w:val="left"/>
            </w:pPr>
            <w:r>
              <w:t xml:space="preserve">200</w:t>
            </w:r>
          </w:p>
        </w:tc>
        <w:tc>
          <w:tcPr/>
          <w:p>
            <w:pPr>
              <w:pStyle w:val="Compact"/>
              <w:jc w:val="left"/>
            </w:pPr>
            <w:r>
              <w:t xml:space="preserve">HV</w:t>
            </w:r>
          </w:p>
        </w:tc>
        <w:tc>
          <w:tcPr/>
          <w:p>
            <w:pPr>
              <w:pStyle w:val="Compact"/>
              <w:jc w:val="left"/>
            </w:pPr>
            <w:r>
              <w:t xml:space="preserve">-</w:t>
            </w:r>
          </w:p>
        </w:tc>
        <w:tc>
          <w:tcPr/>
          <w:p>
            <w:pPr>
              <w:pStyle w:val="Compact"/>
              <w:jc w:val="left"/>
            </w:pPr>
            <w:r>
              <w:t xml:space="preserve">1</w:t>
            </w:r>
          </w:p>
        </w:tc>
        <w:tc>
          <w:tcPr/>
          <w:p>
            <w:pPr>
              <w:pStyle w:val="Compact"/>
              <w:jc w:val="left"/>
            </w:pPr>
            <w:r>
              <w:t xml:space="preserve">-</w:t>
            </w:r>
          </w:p>
        </w:tc>
        <w:tc>
          <w:tcPr/>
          <w:p>
            <w:pPr>
              <w:pStyle w:val="Compact"/>
            </w:pPr>
          </w:p>
        </w:tc>
      </w:tr>
    </w:tbl>
    <w:p>
      <w:pPr>
        <w:pStyle w:val="BodyText"/>
      </w:pPr>
      <w:r>
        <w:rPr>
          <w:bCs/>
          <w:b/>
        </w:rPr>
        <w:t xml:space="preserve">Table 2:</w:t>
      </w:r>
      <w:r>
        <w:t xml:space="preserve"> </w:t>
      </w:r>
      <w:r>
        <w:t xml:space="preserve">Literature sources of clinical concentration data of mexiletine used for model development and validation.</w:t>
      </w:r>
      <w:r>
        <w:t xml:space="preserve"> </w:t>
      </w:r>
      <w:r>
        <w:rPr>
          <w:iCs/>
          <w:i/>
        </w:rPr>
        <w:t xml:space="preserve">*: single dose unless otherwise specified; EM: extensive metabolizers; PM: poor metabolizers;</w:t>
      </w:r>
      <w:r>
        <w:rPr>
          <w:iCs/>
          <w:i/>
        </w:rPr>
        <w:t xml:space="preserve"> </w:t>
      </w:r>
      <w:r>
        <w:rPr>
          <w:vertAlign w:val="superscript"/>
          <w:iCs/>
          <w:i/>
        </w:rPr>
        <w:t xml:space="preserve">+</w:t>
      </w:r>
      <w:r>
        <w:rPr>
          <w:iCs/>
          <w:i/>
        </w:rPr>
        <w:t xml:space="preserve">: Data used for final parameter identification</w:t>
      </w:r>
      <w:bookmarkStart w:id="table-2" w:name="table-2"/>
      <w:bookmarkEnd w:id="table-2"/>
    </w:p>
    <w:bookmarkEnd w:id="23"/>
    <w:bookmarkEnd w:id="24"/>
    <w:bookmarkStart w:id="29" w:name="model-parameters-and-assumptions"/>
    <w:p>
      <w:pPr>
        <w:pStyle w:val="Heading2"/>
      </w:pPr>
      <w:r>
        <w:t xml:space="preserve">Model Parameters and Assumptions</w:t>
      </w:r>
      <w:bookmarkStart w:id="model-parameters-and-assumptions" w:name="model-parameters-and-assumptions"/>
      <w:bookmarkEnd w:id="model-parameters-and-assumptions"/>
    </w:p>
    <w:bookmarkStart w:id="25" w:name="absorption"/>
    <w:p>
      <w:pPr>
        <w:pStyle w:val="Heading3"/>
      </w:pPr>
      <w:r>
        <w:t xml:space="preserve">2.3.1 Absorption</w:t>
      </w:r>
    </w:p>
    <w:p>
      <w:pPr>
        <w:pStyle w:val="FirstParagraph"/>
      </w:pPr>
      <w:r>
        <w:t xml:space="preserve">Gastrointestinal permeability was fitted to concentration data after single dose oral administration.</w:t>
      </w:r>
    </w:p>
    <w:p>
      <w:pPr>
        <w:pStyle w:val="BodyText"/>
      </w:pPr>
      <w:r>
        <w:t xml:space="preserve">The default dissolution Weibull profile (</w:t>
      </w:r>
      <w:r>
        <w:rPr>
          <w:rStyle w:val="VerbatimChar"/>
        </w:rPr>
        <w:t xml:space="preserve">Dissolution time (50% dissolved)</w:t>
      </w:r>
      <w:r>
        <w:t xml:space="preserve"> </w:t>
      </w:r>
      <w:r>
        <w:t xml:space="preserve">= 60min,</w:t>
      </w:r>
      <w:r>
        <w:t xml:space="preserve"> </w:t>
      </w:r>
      <w:r>
        <w:rPr>
          <w:rStyle w:val="VerbatimChar"/>
        </w:rPr>
        <w:t xml:space="preserve">Dissolution shape</w:t>
      </w:r>
      <w:r>
        <w:t xml:space="preserve"> </w:t>
      </w:r>
      <w:r>
        <w:t xml:space="preserve">= 0.92) was used for description of formulation.</w:t>
      </w:r>
    </w:p>
    <w:bookmarkEnd w:id="25"/>
    <w:bookmarkStart w:id="26" w:name="distribution"/>
    <w:p>
      <w:pPr>
        <w:pStyle w:val="Heading3"/>
      </w:pPr>
      <w:r>
        <w:t xml:space="preserve">2.3.2 Distribution</w:t>
      </w:r>
    </w:p>
    <w:p>
      <w:pPr>
        <w:pStyle w:val="FirstParagraph"/>
      </w:pPr>
      <w:r>
        <w:t xml:space="preserve">Physico-chemical parameters were set to the reported values (see</w:t>
      </w:r>
      <w:r>
        <w:t xml:space="preserve"> </w:t>
      </w:r>
      <w:hyperlink w:anchor="X63598919d7fab7e51e201e8db58061e8fc5e9b5">
        <w:r>
          <w:rPr>
            <w:rStyle w:val="Hyperlink"/>
          </w:rPr>
          <w:t xml:space="preserve">Section 2.2.1</w:t>
        </w:r>
      </w:hyperlink>
      <w:r>
        <w:t xml:space="preserve">). It was assumed that the major binding partner in plasma is albumin.</w:t>
      </w:r>
    </w:p>
    <w:p>
      <w:pPr>
        <w:pStyle w:val="BodyText"/>
      </w:pPr>
      <w:r>
        <w:t xml:space="preserve">Because mexiletine is a strong base, permeation across the barriers between interstitial space and intracellular space (cellular permeability) had to be adjusted manually, as only uncharged molecules can pass through membranes, which is not accounted for by the permeability calculated by PK-Sim. The parameters</w:t>
      </w:r>
      <w:r>
        <w:t xml:space="preserve"> </w:t>
      </w:r>
      <w:r>
        <w:rPr>
          <w:rStyle w:val="VerbatimChar"/>
        </w:rPr>
        <w:t xml:space="preserve">Specific organ permeability</w:t>
      </w:r>
      <w:r>
        <w:t xml:space="preserve"> </w:t>
      </w:r>
      <w:r>
        <w:t xml:space="preserve">and</w:t>
      </w:r>
      <w:r>
        <w:t xml:space="preserve"> </w:t>
      </w:r>
      <w:r>
        <w:rPr>
          <w:rStyle w:val="VerbatimChar"/>
        </w:rPr>
        <w:t xml:space="preserve">Lipophilicity</w:t>
      </w:r>
      <w:r>
        <w:t xml:space="preserve"> </w:t>
      </w:r>
      <w:r>
        <w:t xml:space="preserve">defining the distribution in tissues were fitted to i.v. data.</w:t>
      </w:r>
    </w:p>
    <w:p>
      <w:pPr>
        <w:pStyle w:val="BodyText"/>
      </w:pPr>
      <w:r>
        <w:t xml:space="preserve">After testing the available organ-plasma partition coefficient and cell permeability calculation methods available in PK-Sim, observed clinical data were best described by choosing the partition coefficient calculation by</w:t>
      </w:r>
      <w:r>
        <w:t xml:space="preserve"> </w:t>
      </w:r>
      <w:r>
        <w:rPr>
          <w:rStyle w:val="VerbatimChar"/>
        </w:rPr>
        <w:t xml:space="preserve">Rodgers and Rowland</w:t>
      </w:r>
      <w:r>
        <w:t xml:space="preserve"> </w:t>
      </w:r>
      <w:r>
        <w:t xml:space="preserve">and cellular permeability calculation by</w:t>
      </w:r>
      <w:r>
        <w:t xml:space="preserve"> </w:t>
      </w:r>
      <w:r>
        <w:rPr>
          <w:rStyle w:val="VerbatimChar"/>
        </w:rPr>
        <w:t xml:space="preserve">PK-Sim Standard</w:t>
      </w:r>
      <w:r>
        <w:t xml:space="preserve">.</w:t>
      </w:r>
    </w:p>
    <w:bookmarkEnd w:id="26"/>
    <w:bookmarkStart w:id="27" w:name="metabolism-and-elimination"/>
    <w:p>
      <w:pPr>
        <w:pStyle w:val="Heading3"/>
      </w:pPr>
      <w:r>
        <w:t xml:space="preserve">2.3.3 Metabolism and Elimination</w:t>
      </w:r>
    </w:p>
    <w:p>
      <w:pPr>
        <w:pStyle w:val="FirstParagraph"/>
      </w:pPr>
      <w:r>
        <w:t xml:space="preserve">Following metabolization and elimination processes are implemented:</w:t>
      </w:r>
    </w:p>
    <w:p>
      <w:pPr>
        <w:numPr>
          <w:ilvl w:val="0"/>
          <w:numId w:val="1002"/>
        </w:numPr>
        <w:pStyle w:val="Compact"/>
      </w:pPr>
      <w:r>
        <w:t xml:space="preserve">Linear CYP1A2, with specific clearance set to 28.6% of estimated total Liver Plasma Clearance (according to</w:t>
      </w:r>
      <w:r>
        <w:t xml:space="preserve"> </w:t>
      </w:r>
      <w:hyperlink w:anchor="Xa559bd5247f9128e74e6edcc17de37648e8cde6">
        <w:r>
          <w:rPr>
            <w:rStyle w:val="Hyperlink"/>
          </w:rPr>
          <w:t xml:space="preserve">Labbé 2000</w:t>
        </w:r>
      </w:hyperlink>
      <w:r>
        <w:t xml:space="preserve">)</w:t>
      </w:r>
    </w:p>
    <w:p>
      <w:pPr>
        <w:numPr>
          <w:ilvl w:val="0"/>
          <w:numId w:val="1002"/>
        </w:numPr>
        <w:pStyle w:val="Compact"/>
      </w:pPr>
      <w:r>
        <w:t xml:space="preserve">Linear CYP2D6, with specific clearance set to 37.1% of estimated total Liver Plasma Clearance (according to</w:t>
      </w:r>
      <w:r>
        <w:t xml:space="preserve"> </w:t>
      </w:r>
      <w:hyperlink w:anchor="Xa559bd5247f9128e74e6edcc17de37648e8cde6">
        <w:r>
          <w:rPr>
            <w:rStyle w:val="Hyperlink"/>
          </w:rPr>
          <w:t xml:space="preserve">Labbé 2000</w:t>
        </w:r>
      </w:hyperlink>
      <w:r>
        <w:t xml:space="preserve">)</w:t>
      </w:r>
    </w:p>
    <w:p>
      <w:pPr>
        <w:numPr>
          <w:ilvl w:val="0"/>
          <w:numId w:val="1002"/>
        </w:numPr>
        <w:pStyle w:val="Compact"/>
      </w:pPr>
      <w:r>
        <w:t xml:space="preserve">Liver plasma clearance, with specific clearance set to 34.3% of estimated total Liver Plasma Clearance (according to</w:t>
      </w:r>
      <w:r>
        <w:t xml:space="preserve"> </w:t>
      </w:r>
      <w:hyperlink w:anchor="Xa559bd5247f9128e74e6edcc17de37648e8cde6">
        <w:r>
          <w:rPr>
            <w:rStyle w:val="Hyperlink"/>
          </w:rPr>
          <w:t xml:space="preserve">Labbé 2000</w:t>
        </w:r>
      </w:hyperlink>
      <w:r>
        <w:t xml:space="preserve">)</w:t>
      </w:r>
    </w:p>
    <w:p>
      <w:pPr>
        <w:numPr>
          <w:ilvl w:val="0"/>
          <w:numId w:val="1002"/>
        </w:numPr>
        <w:pStyle w:val="Compact"/>
      </w:pPr>
      <w:r>
        <w:t xml:space="preserve">Kidney plasma clearance with plasma clearance value set to reported value (see</w:t>
      </w:r>
      <w:r>
        <w:t xml:space="preserve"> </w:t>
      </w:r>
      <w:hyperlink w:anchor="X63598919d7fab7e51e201e8db58061e8fc5e9b5">
        <w:r>
          <w:rPr>
            <w:rStyle w:val="Hyperlink"/>
          </w:rPr>
          <w:t xml:space="preserve">Section 2.2.1</w:t>
        </w:r>
      </w:hyperlink>
      <w:r>
        <w:t xml:space="preserve">)</w:t>
      </w:r>
    </w:p>
    <w:p>
      <w:pPr>
        <w:pStyle w:val="FirstParagraph"/>
      </w:pPr>
      <w:r>
        <w:t xml:space="preserve">The model has been developed with kidney and liver plasma clearances only, without separating between the different enzymes. The parameter</w:t>
      </w:r>
      <w:r>
        <w:t xml:space="preserve"> </w:t>
      </w:r>
      <w:r>
        <w:rPr>
          <w:rStyle w:val="VerbatimChar"/>
        </w:rPr>
        <w:t xml:space="preserve">Specific clearance</w:t>
      </w:r>
      <w:r>
        <w:t xml:space="preserve"> </w:t>
      </w:r>
      <w:r>
        <w:t xml:space="preserve">of the total hepatic clearance was estimated by fitting the model to observed data (see</w:t>
      </w:r>
      <w:r>
        <w:t xml:space="preserve"> </w:t>
      </w:r>
      <w:hyperlink w:anchor="X7ecbd1fd734a207de60ff9705c88346a68b0398">
        <w:r>
          <w:rPr>
            <w:rStyle w:val="Hyperlink"/>
          </w:rPr>
          <w:t xml:space="preserve">Section 2.2.2</w:t>
        </w:r>
      </w:hyperlink>
      <w:r>
        <w:t xml:space="preserve">). The parameters</w:t>
      </w:r>
      <w:r>
        <w:t xml:space="preserve"> </w:t>
      </w:r>
      <w:r>
        <w:rPr>
          <w:rStyle w:val="VerbatimChar"/>
        </w:rPr>
        <w:t xml:space="preserve">Specific clearance</w:t>
      </w:r>
      <w:r>
        <w:t xml:space="preserve"> </w:t>
      </w:r>
      <w:r>
        <w:t xml:space="preserve">of the linear CYP1A2 and CYP2D6 metabolization processes have been calculated from from the total hepatic clearance by multiplying the identified total hepatic clearance by the reported percentage contribution of the respective enzyme and dividing by the</w:t>
      </w:r>
      <w:r>
        <w:t xml:space="preserve"> </w:t>
      </w:r>
      <w:r>
        <w:rPr>
          <w:rStyle w:val="VerbatimChar"/>
        </w:rPr>
        <w:t xml:space="preserve">Reference concentration</w:t>
      </w:r>
      <w:r>
        <w:t xml:space="preserve"> </w:t>
      </w:r>
      <w:r>
        <w:t xml:space="preserve">of the respective enzyme as given by the PK-Sim database (1.8 µmol/l for CYP1A2 and 0.4 µmol/l for CYP2D6). This is necessary as the</w:t>
      </w:r>
      <w:r>
        <w:t xml:space="preserve"> </w:t>
      </w:r>
      <w:r>
        <w:rPr>
          <w:rStyle w:val="VerbatimChar"/>
        </w:rPr>
        <w:t xml:space="preserve">Specific clearance</w:t>
      </w:r>
      <w:r>
        <w:t xml:space="preserve"> </w:t>
      </w:r>
      <w:r>
        <w:t xml:space="preserve">is multiplied by the concentration of the enzymes in the respective organ, with reference concentration of the dummy enzyme used in the total hepatic clearance being 1 µmol/l per default. With the applied parameter values, CYP1A2 in the liver is responsible for 25% of total mexiletine metabolization, while CYP2D6 in the liver is responsible for 33% of total metabolization. Additional metabolization by CYP2D6 takes place in intestinal mucosa, though to a minor extent.</w:t>
      </w:r>
    </w:p>
    <w:bookmarkEnd w:id="27"/>
    <w:bookmarkStart w:id="28" w:name="automated-parameter-identification"/>
    <w:p>
      <w:pPr>
        <w:pStyle w:val="Heading3"/>
      </w:pPr>
      <w:r>
        <w:t xml:space="preserve">2.3.4 Automated Parameter Identification</w:t>
      </w:r>
    </w:p>
    <w:p>
      <w:pPr>
        <w:pStyle w:val="FirstParagraph"/>
      </w:pPr>
      <w:r>
        <w:t xml:space="preserve">Following parameter values were estimated for the model:</w:t>
      </w:r>
    </w:p>
    <w:p>
      <w:pPr>
        <w:numPr>
          <w:ilvl w:val="0"/>
          <w:numId w:val="1003"/>
        </w:numPr>
        <w:pStyle w:val="Compact"/>
      </w:pPr>
      <w:r>
        <w:rPr>
          <w:rStyle w:val="VerbatimChar"/>
        </w:rPr>
        <w:t xml:space="preserve">Specific clearance</w:t>
      </w:r>
      <w:r>
        <w:t xml:space="preserve"> </w:t>
      </w:r>
      <w:r>
        <w:t xml:space="preserve">(Total hepatic clearance)</w:t>
      </w:r>
    </w:p>
    <w:p>
      <w:pPr>
        <w:numPr>
          <w:ilvl w:val="0"/>
          <w:numId w:val="1003"/>
        </w:numPr>
        <w:pStyle w:val="Compact"/>
      </w:pPr>
      <w:r>
        <w:rPr>
          <w:rStyle w:val="VerbatimChar"/>
        </w:rPr>
        <w:t xml:space="preserve">Specific organ permeability</w:t>
      </w:r>
    </w:p>
    <w:p>
      <w:pPr>
        <w:numPr>
          <w:ilvl w:val="0"/>
          <w:numId w:val="1003"/>
        </w:numPr>
        <w:pStyle w:val="Compact"/>
      </w:pPr>
      <w:r>
        <w:rPr>
          <w:rStyle w:val="VerbatimChar"/>
        </w:rPr>
        <w:t xml:space="preserve">Lipophilicity</w:t>
      </w:r>
    </w:p>
    <w:p>
      <w:pPr>
        <w:numPr>
          <w:ilvl w:val="0"/>
          <w:numId w:val="1003"/>
        </w:numPr>
        <w:pStyle w:val="Compact"/>
      </w:pPr>
      <w:r>
        <w:rPr>
          <w:rStyle w:val="VerbatimChar"/>
        </w:rPr>
        <w:t xml:space="preserve">Plasma clearance</w:t>
      </w:r>
      <w:r>
        <w:t xml:space="preserve"> </w:t>
      </w:r>
      <w:r>
        <w:t xml:space="preserve">of total Liver Plasma Clearance (divided between three processes in final model)</w:t>
      </w:r>
    </w:p>
    <w:p>
      <w:pPr>
        <w:numPr>
          <w:ilvl w:val="0"/>
          <w:numId w:val="1003"/>
        </w:numPr>
        <w:pStyle w:val="Compact"/>
      </w:pPr>
      <w:r>
        <w:rPr>
          <w:rStyle w:val="VerbatimChar"/>
        </w:rPr>
        <w:t xml:space="preserve">Intestinal permeability (transcellular)</w:t>
      </w:r>
    </w:p>
    <w:bookmarkEnd w:id="28"/>
    <w:bookmarkEnd w:id="29"/>
    <w:bookmarkEnd w:id="30"/>
    <w:bookmarkStart w:id="97" w:name="results-and-discussion"/>
    <w:p>
      <w:pPr>
        <w:pStyle w:val="Heading1"/>
      </w:pPr>
      <w:r>
        <w:t xml:space="preserve">Results and Discussion</w:t>
      </w:r>
      <w:bookmarkStart w:id="results-and-discussion" w:name="results-and-discussion"/>
      <w:bookmarkEnd w:id="results-and-discussion"/>
    </w:p>
    <w:p>
      <w:pPr>
        <w:pStyle w:val="FirstParagraph"/>
      </w:pPr>
      <w:r>
        <w:t xml:space="preserve">The next sections show:</w:t>
      </w:r>
    </w:p>
    <w:p>
      <w:pPr>
        <w:numPr>
          <w:ilvl w:val="0"/>
          <w:numId w:val="1004"/>
        </w:numPr>
        <w:pStyle w:val="Compact"/>
      </w:pPr>
      <w:r>
        <w:t xml:space="preserve">Final model input parameters for the building blocks:</w:t>
      </w:r>
      <w:r>
        <w:t xml:space="preserve"> </w:t>
      </w:r>
      <w:hyperlink w:anchor="Xc6cf42871317160fa8533d05504fe9284eb5963">
        <w:r>
          <w:rPr>
            <w:rStyle w:val="Hyperlink"/>
          </w:rPr>
          <w:t xml:space="preserve">Section 3.1</w:t>
        </w:r>
      </w:hyperlink>
      <w:r>
        <w:t xml:space="preserve">.</w:t>
      </w:r>
    </w:p>
    <w:p>
      <w:pPr>
        <w:numPr>
          <w:ilvl w:val="0"/>
          <w:numId w:val="1004"/>
        </w:numPr>
        <w:pStyle w:val="Compact"/>
      </w:pPr>
      <w:r>
        <w:t xml:space="preserve">Overall goodness of fit:</w:t>
      </w:r>
      <w:r>
        <w:t xml:space="preserve"> </w:t>
      </w:r>
      <w:hyperlink w:anchor="X8f3aeddcae968e1d328d29ba9adb7d6f485cab0">
        <w:r>
          <w:rPr>
            <w:rStyle w:val="Hyperlink"/>
          </w:rPr>
          <w:t xml:space="preserve">Section 3.2</w:t>
        </w:r>
      </w:hyperlink>
      <w:r>
        <w:t xml:space="preserve">.</w:t>
      </w:r>
    </w:p>
    <w:p>
      <w:pPr>
        <w:numPr>
          <w:ilvl w:val="0"/>
          <w:numId w:val="1004"/>
        </w:numPr>
        <w:pStyle w:val="Compact"/>
      </w:pPr>
      <w:r>
        <w:t xml:space="preserve">Simulated vs. observed concentration-time profiles for the clinical studies used for model building and for model verification:</w:t>
      </w:r>
      <w:r>
        <w:t xml:space="preserve"> </w:t>
      </w:r>
      <w:hyperlink w:anchor="Xdc8b4cf40574b5c39801a4fb59aa003db333782">
        <w:r>
          <w:rPr>
            <w:rStyle w:val="Hyperlink"/>
          </w:rPr>
          <w:t xml:space="preserve">Section 3.3</w:t>
        </w:r>
      </w:hyperlink>
      <w:r>
        <w:t xml:space="preserve">.</w:t>
      </w:r>
    </w:p>
    <w:bookmarkStart w:id="47" w:name="final-input-parameters"/>
    <w:p>
      <w:pPr>
        <w:pStyle w:val="Heading2"/>
      </w:pPr>
      <w:r>
        <w:t xml:space="preserve">Final input parameters</w:t>
      </w:r>
      <w:bookmarkStart w:id="final-input-parameters" w:name="final-input-parameters"/>
      <w:bookmarkEnd w:id="final-input-parameters"/>
    </w:p>
    <w:p>
      <w:pPr>
        <w:pStyle w:val="FirstParagraph"/>
      </w:pPr>
      <w:r>
        <w:t xml:space="preserve">The parameter values of the final PBPK model are illustrated below.</w:t>
      </w:r>
    </w:p>
    <w:bookmarkStart w:id="44" w:name="compound-mexiletine"/>
    <w:p>
      <w:pPr>
        <w:pStyle w:val="Heading3"/>
      </w:pPr>
      <w:r>
        <w:t xml:space="preserve">Compound: Mexiletine</w:t>
      </w:r>
    </w:p>
    <w:bookmarkStart w:id="31" w:name="parameters"/>
    <w:p>
      <w:pPr>
        <w:pStyle w:val="Heading4"/>
      </w:pPr>
      <w:r>
        <w:t xml:space="preserve">Parameters</w:t>
      </w:r>
    </w:p>
    <w:tbl>
      <w:tblPr>
        <w:tblStyle w:val="Table"/>
        <w:tblW w:type="pct" w:w="5000"/>
        <w:tblLook w:firstRow="1" w:lastRow="0" w:firstColumn="0" w:lastColumn="0" w:noHBand="0" w:noVBand="0" w:val="0020"/>
        <w:jc w:val="start"/>
      </w:tblPr>
      <w:tblGrid>
        <w:gridCol w:w="3334"/>
        <w:gridCol w:w="1597"/>
        <w:gridCol w:w="1736"/>
        <w:gridCol w:w="764"/>
        <w:gridCol w:w="48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c>
          <w:tcPr/>
          <w:p>
            <w:pPr>
              <w:pStyle w:val="Compact"/>
              <w:jc w:val="left"/>
            </w:pPr>
            <w:r>
              <w:t xml:space="preserve">Alternative</w:t>
            </w:r>
          </w:p>
        </w:tc>
        <w:tc>
          <w:tcPr/>
          <w:p>
            <w:pPr>
              <w:pStyle w:val="Compact"/>
              <w:jc w:val="left"/>
            </w:pPr>
            <w:r>
              <w:t xml:space="preserve">Default</w:t>
            </w:r>
          </w:p>
        </w:tc>
      </w:tr>
      <w:tr>
        <w:tc>
          <w:tcPr/>
          <w:p>
            <w:pPr>
              <w:pStyle w:val="Compact"/>
              <w:jc w:val="left"/>
            </w:pPr>
            <w:r>
              <w:t xml:space="preserve">Solubility at reference pH</w:t>
            </w:r>
          </w:p>
        </w:tc>
        <w:tc>
          <w:tcPr/>
          <w:p>
            <w:pPr>
              <w:pStyle w:val="Compact"/>
              <w:jc w:val="left"/>
            </w:pPr>
            <w:r>
              <w:t xml:space="preserve">0.54 mg/ml</w:t>
            </w:r>
          </w:p>
        </w:tc>
        <w:tc>
          <w:tcPr/>
          <w:p>
            <w:pPr>
              <w:pStyle w:val="Compact"/>
              <w:jc w:val="left"/>
            </w:pPr>
            <w:r>
              <w:t xml:space="preserve">Database-DrugBank DB00379</w:t>
            </w:r>
          </w:p>
        </w:tc>
        <w:tc>
          <w:tcPr/>
          <w:p>
            <w:pPr>
              <w:pStyle w:val="Compact"/>
              <w:jc w:val="left"/>
            </w:pPr>
            <w:r>
              <w:t xml:space="preserve">S_aq</w:t>
            </w:r>
          </w:p>
        </w:tc>
        <w:tc>
          <w:tcPr/>
          <w:p>
            <w:pPr>
              <w:pStyle w:val="Compact"/>
              <w:jc w:val="left"/>
            </w:pPr>
            <w:r>
              <w:t xml:space="preserve">True</w:t>
            </w:r>
          </w:p>
        </w:tc>
      </w:tr>
      <w:tr>
        <w:tc>
          <w:tcPr/>
          <w:p>
            <w:pPr>
              <w:pStyle w:val="Compact"/>
              <w:jc w:val="left"/>
            </w:pPr>
            <w:r>
              <w:t xml:space="preserve">Reference pH</w:t>
            </w:r>
          </w:p>
        </w:tc>
        <w:tc>
          <w:tcPr/>
          <w:p>
            <w:pPr>
              <w:pStyle w:val="Compact"/>
              <w:jc w:val="left"/>
            </w:pPr>
            <w:r>
              <w:t xml:space="preserve">7</w:t>
            </w:r>
          </w:p>
        </w:tc>
        <w:tc>
          <w:tcPr/>
          <w:p>
            <w:pPr>
              <w:pStyle w:val="Compact"/>
              <w:jc w:val="left"/>
            </w:pPr>
            <w:r>
              <w:t xml:space="preserve">Database-DrugBank DB00379</w:t>
            </w:r>
          </w:p>
        </w:tc>
        <w:tc>
          <w:tcPr/>
          <w:p>
            <w:pPr>
              <w:pStyle w:val="Compact"/>
              <w:jc w:val="left"/>
            </w:pPr>
            <w:r>
              <w:t xml:space="preserve">S_aq</w:t>
            </w:r>
          </w:p>
        </w:tc>
        <w:tc>
          <w:tcPr/>
          <w:p>
            <w:pPr>
              <w:pStyle w:val="Compact"/>
              <w:jc w:val="left"/>
            </w:pPr>
            <w:r>
              <w:t xml:space="preserve">True</w:t>
            </w:r>
          </w:p>
        </w:tc>
      </w:tr>
      <w:tr>
        <w:tc>
          <w:tcPr/>
          <w:p>
            <w:pPr>
              <w:pStyle w:val="Compact"/>
              <w:jc w:val="left"/>
            </w:pPr>
            <w:r>
              <w:t xml:space="preserve">Lipophilicity</w:t>
            </w:r>
          </w:p>
        </w:tc>
        <w:tc>
          <w:tcPr/>
          <w:p>
            <w:pPr>
              <w:pStyle w:val="Compact"/>
              <w:jc w:val="left"/>
            </w:pPr>
            <w:r>
              <w:t xml:space="preserve">2.3770265519 Log Units</w:t>
            </w:r>
          </w:p>
        </w:tc>
        <w:tc>
          <w:tcPr/>
          <w:p>
            <w:pPr>
              <w:pStyle w:val="Compact"/>
              <w:jc w:val="left"/>
            </w:pPr>
            <w:r>
              <w:t xml:space="preserve">Parameter Identification</w:t>
            </w:r>
          </w:p>
        </w:tc>
        <w:tc>
          <w:tcPr/>
          <w:p>
            <w:pPr>
              <w:pStyle w:val="Compact"/>
              <w:jc w:val="left"/>
            </w:pPr>
            <w:r>
              <w:t xml:space="preserve">LogP</w:t>
            </w:r>
          </w:p>
        </w:tc>
        <w:tc>
          <w:tcPr/>
          <w:p>
            <w:pPr>
              <w:pStyle w:val="Compact"/>
              <w:jc w:val="left"/>
            </w:pPr>
            <w:r>
              <w:t xml:space="preserve">True</w:t>
            </w:r>
          </w:p>
        </w:tc>
      </w:tr>
      <w:tr>
        <w:tc>
          <w:tcPr/>
          <w:p>
            <w:pPr>
              <w:pStyle w:val="Compact"/>
              <w:jc w:val="left"/>
            </w:pPr>
            <w:r>
              <w:t xml:space="preserve">Fraction unbound (plasma, reference value)</w:t>
            </w:r>
          </w:p>
        </w:tc>
        <w:tc>
          <w:tcPr/>
          <w:p>
            <w:pPr>
              <w:pStyle w:val="Compact"/>
              <w:jc w:val="left"/>
            </w:pPr>
            <w:r>
              <w:t xml:space="preserve">0.5</w:t>
            </w:r>
          </w:p>
        </w:tc>
        <w:tc>
          <w:tcPr/>
          <w:p>
            <w:pPr>
              <w:pStyle w:val="Compact"/>
              <w:jc w:val="left"/>
            </w:pPr>
            <w:r>
              <w:t xml:space="preserve">Database-DrugBank DB00379</w:t>
            </w:r>
          </w:p>
        </w:tc>
        <w:tc>
          <w:tcPr/>
          <w:p>
            <w:pPr>
              <w:pStyle w:val="Compact"/>
              <w:jc w:val="left"/>
            </w:pPr>
            <w:r>
              <w:t xml:space="preserve">fu_plasma</w:t>
            </w:r>
          </w:p>
        </w:tc>
        <w:tc>
          <w:tcPr/>
          <w:p>
            <w:pPr>
              <w:pStyle w:val="Compact"/>
              <w:jc w:val="left"/>
            </w:pPr>
            <w:r>
              <w:t xml:space="preserve">True</w:t>
            </w:r>
          </w:p>
        </w:tc>
      </w:tr>
      <w:tr>
        <w:tc>
          <w:tcPr/>
          <w:p>
            <w:pPr>
              <w:pStyle w:val="Compact"/>
              <w:jc w:val="left"/>
            </w:pPr>
            <w:r>
              <w:t xml:space="preserve">Permeability</w:t>
            </w:r>
          </w:p>
        </w:tc>
        <w:tc>
          <w:tcPr/>
          <w:p>
            <w:pPr>
              <w:pStyle w:val="Compact"/>
              <w:jc w:val="left"/>
            </w:pPr>
            <w:r>
              <w:t xml:space="preserve">0.001637391584 cm/min</w:t>
            </w:r>
          </w:p>
        </w:tc>
        <w:tc>
          <w:tcPr/>
          <w:p>
            <w:pPr>
              <w:pStyle w:val="Compact"/>
              <w:jc w:val="left"/>
            </w:pPr>
            <w:r>
              <w:t xml:space="preserve">Parameter Identification</w:t>
            </w:r>
          </w:p>
        </w:tc>
        <w:tc>
          <w:tcPr/>
          <w:p>
            <w:pPr>
              <w:pStyle w:val="Compact"/>
              <w:jc w:val="left"/>
            </w:pPr>
            <w:r>
              <w:t xml:space="preserve">Fit</w:t>
            </w:r>
          </w:p>
        </w:tc>
        <w:tc>
          <w:tcPr/>
          <w:p>
            <w:pPr>
              <w:pStyle w:val="Compact"/>
              <w:jc w:val="left"/>
            </w:pPr>
            <w:r>
              <w:t xml:space="preserve">True</w:t>
            </w:r>
          </w:p>
        </w:tc>
      </w:tr>
      <w:tr>
        <w:tc>
          <w:tcPr/>
          <w:p>
            <w:pPr>
              <w:pStyle w:val="Compact"/>
              <w:jc w:val="left"/>
            </w:pPr>
            <w:r>
              <w:t xml:space="preserve">Specific intestinal permeability (transcellular)</w:t>
            </w:r>
          </w:p>
        </w:tc>
        <w:tc>
          <w:tcPr/>
          <w:p>
            <w:pPr>
              <w:pStyle w:val="Compact"/>
              <w:jc w:val="left"/>
            </w:pPr>
            <w:r>
              <w:t xml:space="preserve">0.00047373454608 cm/min</w:t>
            </w:r>
          </w:p>
        </w:tc>
        <w:tc>
          <w:tcPr/>
          <w:p>
            <w:pPr>
              <w:pStyle w:val="Compact"/>
              <w:jc w:val="left"/>
            </w:pPr>
            <w:r>
              <w:t xml:space="preserve">Parameter Identification</w:t>
            </w:r>
          </w:p>
        </w:tc>
        <w:tc>
          <w:tcPr/>
          <w:p>
            <w:pPr>
              <w:pStyle w:val="Compact"/>
              <w:jc w:val="left"/>
            </w:pPr>
            <w:r>
              <w:t xml:space="preserve">Fit</w:t>
            </w:r>
          </w:p>
        </w:tc>
        <w:tc>
          <w:tcPr/>
          <w:p>
            <w:pPr>
              <w:pStyle w:val="Compact"/>
              <w:jc w:val="left"/>
            </w:pPr>
            <w:r>
              <w:t xml:space="preserve">True</w:t>
            </w:r>
          </w:p>
        </w:tc>
      </w:tr>
      <w:tr>
        <w:tc>
          <w:tcPr/>
          <w:p>
            <w:pPr>
              <w:pStyle w:val="Compact"/>
              <w:jc w:val="left"/>
            </w:pPr>
            <w:r>
              <w:t xml:space="preserve">Is small molecule</w:t>
            </w:r>
          </w:p>
        </w:tc>
        <w:tc>
          <w:tcPr/>
          <w:p>
            <w:pPr>
              <w:pStyle w:val="Compact"/>
              <w:jc w:val="left"/>
            </w:pPr>
            <w:r>
              <w:t xml:space="preserve">Yes</w:t>
            </w:r>
          </w:p>
        </w:tc>
        <w:tc>
          <w:tcPr/>
          <w:p>
            <w:pPr>
              <w:pStyle w:val="Compact"/>
            </w:pPr>
          </w:p>
        </w:tc>
        <w:tc>
          <w:tcPr/>
          <w:p>
            <w:pPr>
              <w:pStyle w:val="Compact"/>
            </w:pPr>
          </w:p>
        </w:tc>
        <w:tc>
          <w:tcPr/>
          <w:p>
            <w:pPr>
              <w:pStyle w:val="Compact"/>
            </w:pPr>
          </w:p>
        </w:tc>
      </w:tr>
      <w:tr>
        <w:tc>
          <w:tcPr/>
          <w:p>
            <w:pPr>
              <w:pStyle w:val="Compact"/>
              <w:jc w:val="left"/>
            </w:pPr>
            <w:r>
              <w:t xml:space="preserve">Molecular weight</w:t>
            </w:r>
          </w:p>
        </w:tc>
        <w:tc>
          <w:tcPr/>
          <w:p>
            <w:pPr>
              <w:pStyle w:val="Compact"/>
              <w:jc w:val="left"/>
            </w:pPr>
            <w:r>
              <w:t xml:space="preserve">179.26 g/mol</w:t>
            </w:r>
          </w:p>
        </w:tc>
        <w:tc>
          <w:tcPr/>
          <w:p>
            <w:pPr>
              <w:pStyle w:val="Compact"/>
              <w:jc w:val="left"/>
            </w:pPr>
            <w:r>
              <w:t xml:space="preserve">Database-DrugBank DB00379</w:t>
            </w:r>
          </w:p>
        </w:tc>
        <w:tc>
          <w:tcPr/>
          <w:p>
            <w:pPr>
              <w:pStyle w:val="Compact"/>
            </w:pPr>
          </w:p>
        </w:tc>
        <w:tc>
          <w:tcPr/>
          <w:p>
            <w:pPr>
              <w:pStyle w:val="Compact"/>
            </w:pPr>
          </w:p>
        </w:tc>
      </w:tr>
      <w:tr>
        <w:tc>
          <w:tcPr/>
          <w:p>
            <w:pPr>
              <w:pStyle w:val="Compact"/>
              <w:jc w:val="left"/>
            </w:pPr>
            <w:r>
              <w:t xml:space="preserve">Plasma protein binding partner</w:t>
            </w:r>
          </w:p>
        </w:tc>
        <w:tc>
          <w:tcPr/>
          <w:p>
            <w:pPr>
              <w:pStyle w:val="Compact"/>
              <w:jc w:val="left"/>
            </w:pPr>
            <w:r>
              <w:t xml:space="preserve">Albumin</w:t>
            </w:r>
          </w:p>
        </w:tc>
        <w:tc>
          <w:tcPr/>
          <w:p>
            <w:pPr>
              <w:pStyle w:val="Compact"/>
            </w:pPr>
          </w:p>
        </w:tc>
        <w:tc>
          <w:tcPr/>
          <w:p>
            <w:pPr>
              <w:pStyle w:val="Compact"/>
            </w:pPr>
          </w:p>
        </w:tc>
        <w:tc>
          <w:tcPr/>
          <w:p>
            <w:pPr>
              <w:pStyle w:val="Compact"/>
            </w:pPr>
          </w:p>
        </w:tc>
      </w:tr>
    </w:tbl>
    <w:bookmarkEnd w:id="31"/>
    <w:bookmarkStart w:id="32" w:name="calculation-methods"/>
    <w:p>
      <w:pPr>
        <w:pStyle w:val="Heading4"/>
      </w:pPr>
      <w:r>
        <w:t xml:space="preserve">Calculation methods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Partition coefficients</w:t>
            </w:r>
          </w:p>
        </w:tc>
        <w:tc>
          <w:tcPr/>
          <w:p>
            <w:pPr>
              <w:pStyle w:val="Compact"/>
              <w:jc w:val="left"/>
            </w:pPr>
            <w:r>
              <w:t xml:space="preserve">Rodgers and Rowland</w:t>
            </w:r>
          </w:p>
        </w:tc>
      </w:tr>
      <w:tr>
        <w:tc>
          <w:tcPr/>
          <w:p>
            <w:pPr>
              <w:pStyle w:val="Compact"/>
              <w:jc w:val="left"/>
            </w:pPr>
            <w:r>
              <w:t xml:space="preserve">Cellular permeabilities</w:t>
            </w:r>
          </w:p>
        </w:tc>
        <w:tc>
          <w:tcPr/>
          <w:p>
            <w:pPr>
              <w:pStyle w:val="Compact"/>
              <w:jc w:val="left"/>
            </w:pPr>
            <w:r>
              <w:t xml:space="preserve">PK-Sim Standard</w:t>
            </w:r>
          </w:p>
        </w:tc>
      </w:tr>
    </w:tbl>
    <w:bookmarkEnd w:id="32"/>
    <w:bookmarkStart w:id="43" w:name="processes"/>
    <w:p>
      <w:pPr>
        <w:pStyle w:val="Heading4"/>
      </w:pPr>
      <w:r>
        <w:t xml:space="preserve">Processes</w:t>
      </w:r>
    </w:p>
    <w:bookmarkStart w:id="34" w:name="metabolizing-enzyme-cyp1a2-linear-fit"/>
    <w:p>
      <w:pPr>
        <w:pStyle w:val="Heading5"/>
      </w:pPr>
      <w:r>
        <w:t xml:space="preserve">Metabolizing Enzyme: CYP1A2-Linear fit</w:t>
      </w:r>
    </w:p>
    <w:p>
      <w:pPr>
        <w:pStyle w:val="FirstParagraph"/>
      </w:pPr>
      <w:r>
        <w:t xml:space="preserve">Species: Human</w:t>
      </w:r>
    </w:p>
    <w:p>
      <w:pPr>
        <w:pStyle w:val="BodyText"/>
      </w:pPr>
      <w:r>
        <w:t xml:space="preserve">Molecule: CYP1A2</w:t>
      </w:r>
    </w:p>
    <w:bookmarkStart w:id="33" w:name="parameters-1"/>
    <w:p>
      <w:pPr>
        <w:pStyle w:val="Heading6"/>
      </w:pPr>
      <w:r>
        <w:t xml:space="preserve">Parameters</w:t>
      </w:r>
    </w:p>
    <w:tbl>
      <w:tblPr>
        <w:tblStyle w:val="Table"/>
        <w:tblW w:type="pct" w:w="5000"/>
        <w:tblLook w:firstRow="1" w:lastRow="0" w:firstColumn="0" w:lastColumn="0" w:noHBand="0" w:noVBand="0" w:val="0020"/>
        <w:jc w:val="start"/>
      </w:tblPr>
      <w:tblGrid>
        <w:gridCol w:w="1082"/>
        <w:gridCol w:w="911"/>
        <w:gridCol w:w="5925"/>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Intrinsic clearance</w:t>
            </w:r>
          </w:p>
        </w:tc>
        <w:tc>
          <w:tcPr/>
          <w:p>
            <w:pPr>
              <w:pStyle w:val="Compact"/>
              <w:jc w:val="left"/>
            </w:pPr>
            <w:r>
              <w:t xml:space="preserve">0 l/min</w:t>
            </w:r>
          </w:p>
        </w:tc>
        <w:tc>
          <w:tcPr/>
          <w:p>
            <w:pPr>
              <w:pStyle w:val="Compact"/>
            </w:pPr>
          </w:p>
        </w:tc>
      </w:tr>
      <w:tr>
        <w:tc>
          <w:tcPr/>
          <w:p>
            <w:pPr>
              <w:pStyle w:val="Compact"/>
              <w:jc w:val="left"/>
            </w:pPr>
            <w:r>
              <w:t xml:space="preserve">Specific clearance</w:t>
            </w:r>
          </w:p>
        </w:tc>
        <w:tc>
          <w:tcPr/>
          <w:p>
            <w:pPr>
              <w:pStyle w:val="Compact"/>
              <w:jc w:val="left"/>
            </w:pPr>
            <w:r>
              <w:t xml:space="preserve">0.07944444 1/min</w:t>
            </w:r>
          </w:p>
        </w:tc>
        <w:tc>
          <w:tcPr/>
          <w:p>
            <w:pPr>
              <w:pStyle w:val="Compact"/>
              <w:jc w:val="left"/>
            </w:pPr>
            <w:r>
              <w:t xml:space="preserve">Other-Assumption-28.6% of 0.50 tot hep spec CL - divided by 1.8 µmol/l reference concentration of CYP1A2</w:t>
            </w:r>
          </w:p>
        </w:tc>
      </w:tr>
    </w:tbl>
    <w:bookmarkEnd w:id="33"/>
    <w:bookmarkEnd w:id="34"/>
    <w:bookmarkStart w:id="36" w:name="metabolizing-enzyme-cyp2d6-linear-fit"/>
    <w:p>
      <w:pPr>
        <w:pStyle w:val="Heading5"/>
      </w:pPr>
      <w:r>
        <w:t xml:space="preserve">Metabolizing Enzyme: CYP2D6-Linear fit</w:t>
      </w:r>
    </w:p>
    <w:p>
      <w:pPr>
        <w:pStyle w:val="FirstParagraph"/>
      </w:pPr>
      <w:r>
        <w:t xml:space="preserve">Species: Human</w:t>
      </w:r>
    </w:p>
    <w:p>
      <w:pPr>
        <w:pStyle w:val="BodyText"/>
      </w:pPr>
      <w:r>
        <w:t xml:space="preserve">Molecule: CYP2D6</w:t>
      </w:r>
    </w:p>
    <w:bookmarkStart w:id="35" w:name="parameters-2"/>
    <w:p>
      <w:pPr>
        <w:pStyle w:val="Heading6"/>
      </w:pPr>
      <w:r>
        <w:t xml:space="preserve">Parameters</w:t>
      </w:r>
    </w:p>
    <w:tbl>
      <w:tblPr>
        <w:tblStyle w:val="Table"/>
        <w:tblW w:type="pct" w:w="5000"/>
        <w:tblLook w:firstRow="1" w:lastRow="0" w:firstColumn="0" w:lastColumn="0" w:noHBand="0" w:noVBand="0" w:val="0020"/>
        <w:jc w:val="start"/>
      </w:tblPr>
      <w:tblGrid>
        <w:gridCol w:w="1106"/>
        <w:gridCol w:w="757"/>
        <w:gridCol w:w="6056"/>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Intrinsic clearance</w:t>
            </w:r>
          </w:p>
        </w:tc>
        <w:tc>
          <w:tcPr/>
          <w:p>
            <w:pPr>
              <w:pStyle w:val="Compact"/>
              <w:jc w:val="left"/>
            </w:pPr>
            <w:r>
              <w:t xml:space="preserve">0 l/min</w:t>
            </w:r>
          </w:p>
        </w:tc>
        <w:tc>
          <w:tcPr/>
          <w:p>
            <w:pPr>
              <w:pStyle w:val="Compact"/>
            </w:pPr>
          </w:p>
        </w:tc>
      </w:tr>
      <w:tr>
        <w:tc>
          <w:tcPr/>
          <w:p>
            <w:pPr>
              <w:pStyle w:val="Compact"/>
              <w:jc w:val="left"/>
            </w:pPr>
            <w:r>
              <w:t xml:space="preserve">Specific clearance</w:t>
            </w:r>
          </w:p>
        </w:tc>
        <w:tc>
          <w:tcPr/>
          <w:p>
            <w:pPr>
              <w:pStyle w:val="Compact"/>
              <w:jc w:val="left"/>
            </w:pPr>
            <w:r>
              <w:t xml:space="preserve">0.46375 1/min</w:t>
            </w:r>
          </w:p>
        </w:tc>
        <w:tc>
          <w:tcPr/>
          <w:p>
            <w:pPr>
              <w:pStyle w:val="Compact"/>
              <w:jc w:val="left"/>
            </w:pPr>
            <w:r>
              <w:t xml:space="preserve">Other-Assumption-37.1% of 0.50 tot hep spec CL - divided by 0.4 µmol/l reference concentration of CYP2D6</w:t>
            </w:r>
          </w:p>
        </w:tc>
      </w:tr>
    </w:tbl>
    <w:bookmarkEnd w:id="35"/>
    <w:bookmarkEnd w:id="36"/>
    <w:bookmarkStart w:id="38" w:name="X7c59d0dd2c9d56ace5266a42598acce56d46306"/>
    <w:p>
      <w:pPr>
        <w:pStyle w:val="Heading5"/>
      </w:pPr>
      <w:r>
        <w:t xml:space="preserve">Systemic Process: Total Hepatic Clearance-Linear fit</w:t>
      </w:r>
    </w:p>
    <w:p>
      <w:pPr>
        <w:pStyle w:val="FirstParagraph"/>
      </w:pPr>
      <w:r>
        <w:t xml:space="preserve">Species: Human</w:t>
      </w:r>
    </w:p>
    <w:bookmarkStart w:id="37" w:name="parameters-3"/>
    <w:p>
      <w:pPr>
        <w:pStyle w:val="Heading6"/>
      </w:pPr>
      <w:r>
        <w:t xml:space="preserve">Parameters</w:t>
      </w:r>
    </w:p>
    <w:tbl>
      <w:tblPr>
        <w:tblStyle w:val="Table"/>
        <w:tblW w:type="pct" w:w="5000"/>
        <w:tblLook w:firstRow="1" w:lastRow="0" w:firstColumn="0" w:lastColumn="0" w:noHBand="0" w:noVBand="0" w:val="0020"/>
        <w:jc w:val="start"/>
      </w:tblPr>
      <w:tblGrid>
        <w:gridCol w:w="2367"/>
        <w:gridCol w:w="1796"/>
        <w:gridCol w:w="3755"/>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Fraction unbound (experiment)</w:t>
            </w:r>
          </w:p>
        </w:tc>
        <w:tc>
          <w:tcPr/>
          <w:p>
            <w:pPr>
              <w:pStyle w:val="Compact"/>
              <w:jc w:val="left"/>
            </w:pPr>
            <w:r>
              <w:t xml:space="preserve">0.5</w:t>
            </w:r>
          </w:p>
        </w:tc>
        <w:tc>
          <w:tcPr/>
          <w:p>
            <w:pPr>
              <w:pStyle w:val="Compact"/>
            </w:pPr>
          </w:p>
        </w:tc>
      </w:tr>
      <w:tr>
        <w:tc>
          <w:tcPr/>
          <w:p>
            <w:pPr>
              <w:pStyle w:val="Compact"/>
              <w:jc w:val="left"/>
            </w:pPr>
            <w:r>
              <w:t xml:space="preserve">Lipophilicity (experiment)</w:t>
            </w:r>
          </w:p>
        </w:tc>
        <w:tc>
          <w:tcPr/>
          <w:p>
            <w:pPr>
              <w:pStyle w:val="Compact"/>
              <w:jc w:val="left"/>
            </w:pPr>
            <w:r>
              <w:t xml:space="preserve">2.3770265519 Log Units</w:t>
            </w:r>
          </w:p>
        </w:tc>
        <w:tc>
          <w:tcPr/>
          <w:p>
            <w:pPr>
              <w:pStyle w:val="Compact"/>
            </w:pPr>
          </w:p>
        </w:tc>
      </w:tr>
      <w:tr>
        <w:tc>
          <w:tcPr/>
          <w:p>
            <w:pPr>
              <w:pStyle w:val="Compact"/>
              <w:jc w:val="left"/>
            </w:pPr>
            <w:r>
              <w:t xml:space="preserve">Plasma clearance</w:t>
            </w:r>
          </w:p>
        </w:tc>
        <w:tc>
          <w:tcPr/>
          <w:p>
            <w:pPr>
              <w:pStyle w:val="Compact"/>
              <w:jc w:val="left"/>
            </w:pPr>
            <w:r>
              <w:t xml:space="preserve">0 ml/min/kg</w:t>
            </w:r>
          </w:p>
        </w:tc>
        <w:tc>
          <w:tcPr/>
          <w:p>
            <w:pPr>
              <w:pStyle w:val="Compact"/>
            </w:pPr>
          </w:p>
        </w:tc>
      </w:tr>
      <w:tr>
        <w:tc>
          <w:tcPr/>
          <w:p>
            <w:pPr>
              <w:pStyle w:val="Compact"/>
              <w:jc w:val="left"/>
            </w:pPr>
            <w:r>
              <w:t xml:space="preserve">Specific clearance</w:t>
            </w:r>
          </w:p>
        </w:tc>
        <w:tc>
          <w:tcPr/>
          <w:p>
            <w:pPr>
              <w:pStyle w:val="Compact"/>
              <w:jc w:val="left"/>
            </w:pPr>
            <w:r>
              <w:t xml:space="preserve">0.1715 1/min</w:t>
            </w:r>
          </w:p>
        </w:tc>
        <w:tc>
          <w:tcPr/>
          <w:p>
            <w:pPr>
              <w:pStyle w:val="Compact"/>
              <w:jc w:val="left"/>
            </w:pPr>
            <w:r>
              <w:t xml:space="preserve">Other-Assumption-34.3% of 0.50 tot hep spec CL</w:t>
            </w:r>
          </w:p>
        </w:tc>
      </w:tr>
    </w:tbl>
    <w:bookmarkEnd w:id="37"/>
    <w:bookmarkEnd w:id="38"/>
    <w:bookmarkStart w:id="40" w:name="X64eca7bb89dd0bbae19b3963dc5ca8a8184b7fc"/>
    <w:p>
      <w:pPr>
        <w:pStyle w:val="Heading5"/>
      </w:pPr>
      <w:r>
        <w:t xml:space="preserve">Systemic Process: Renal Clearances-CLR - Rmex - Labbe2000</w:t>
      </w:r>
    </w:p>
    <w:p>
      <w:pPr>
        <w:pStyle w:val="FirstParagraph"/>
      </w:pPr>
      <w:r>
        <w:t xml:space="preserve">Species: Human</w:t>
      </w:r>
    </w:p>
    <w:bookmarkStart w:id="39" w:name="parameters-4"/>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Fraction unbound (experiment)</w:t>
            </w:r>
          </w:p>
        </w:tc>
        <w:tc>
          <w:tcPr/>
          <w:p>
            <w:pPr>
              <w:pStyle w:val="Compact"/>
              <w:jc w:val="left"/>
            </w:pPr>
            <w:r>
              <w:t xml:space="preserve">0.5</w:t>
            </w:r>
          </w:p>
        </w:tc>
        <w:tc>
          <w:tcPr/>
          <w:p>
            <w:pPr>
              <w:pStyle w:val="Compact"/>
            </w:pPr>
          </w:p>
        </w:tc>
      </w:tr>
      <w:tr>
        <w:tc>
          <w:tcPr/>
          <w:p>
            <w:pPr>
              <w:pStyle w:val="Compact"/>
              <w:jc w:val="left"/>
            </w:pPr>
            <w:r>
              <w:t xml:space="preserve">Plasma clearance</w:t>
            </w:r>
          </w:p>
        </w:tc>
        <w:tc>
          <w:tcPr/>
          <w:p>
            <w:pPr>
              <w:pStyle w:val="Compact"/>
              <w:jc w:val="left"/>
            </w:pPr>
            <w:r>
              <w:t xml:space="preserve">0 ml/min/kg</w:t>
            </w:r>
          </w:p>
        </w:tc>
        <w:tc>
          <w:tcPr/>
          <w:p>
            <w:pPr>
              <w:pStyle w:val="Compact"/>
            </w:pPr>
          </w:p>
        </w:tc>
      </w:tr>
      <w:tr>
        <w:tc>
          <w:tcPr/>
          <w:p>
            <w:pPr>
              <w:pStyle w:val="Compact"/>
              <w:jc w:val="left"/>
            </w:pPr>
            <w:r>
              <w:t xml:space="preserve">Specific clearance</w:t>
            </w:r>
          </w:p>
        </w:tc>
        <w:tc>
          <w:tcPr/>
          <w:p>
            <w:pPr>
              <w:pStyle w:val="Compact"/>
              <w:jc w:val="left"/>
            </w:pPr>
            <w:r>
              <w:t xml:space="preserve">0.1434490274 1/min</w:t>
            </w:r>
          </w:p>
        </w:tc>
        <w:tc>
          <w:tcPr/>
          <w:p>
            <w:pPr>
              <w:pStyle w:val="Compact"/>
              <w:jc w:val="left"/>
            </w:pPr>
            <w:r>
              <w:t xml:space="preserve">Unknown</w:t>
            </w:r>
          </w:p>
        </w:tc>
      </w:tr>
    </w:tbl>
    <w:bookmarkEnd w:id="39"/>
    <w:bookmarkEnd w:id="40"/>
    <w:bookmarkStart w:id="42" w:name="inhibition-cyp1a2-wei-1991"/>
    <w:p>
      <w:pPr>
        <w:pStyle w:val="Heading5"/>
      </w:pPr>
      <w:r>
        <w:t xml:space="preserve">Inhibition: CYP1A2-Wei 1991</w:t>
      </w:r>
    </w:p>
    <w:p>
      <w:pPr>
        <w:pStyle w:val="FirstParagraph"/>
      </w:pPr>
      <w:r>
        <w:t xml:space="preserve">Molecule: CYP1A2</w:t>
      </w:r>
    </w:p>
    <w:bookmarkStart w:id="41" w:name="parameters-5"/>
    <w:p>
      <w:pPr>
        <w:pStyle w:val="Heading6"/>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left"/>
            </w:pPr>
            <w:r>
              <w:t xml:space="preserve">Value Origin</w:t>
            </w:r>
          </w:p>
        </w:tc>
      </w:tr>
      <w:tr>
        <w:tc>
          <w:tcPr/>
          <w:p>
            <w:pPr>
              <w:pStyle w:val="Compact"/>
              <w:jc w:val="left"/>
            </w:pPr>
            <w:r>
              <w:t xml:space="preserve">Ki</w:t>
            </w:r>
          </w:p>
        </w:tc>
        <w:tc>
          <w:tcPr/>
          <w:p>
            <w:pPr>
              <w:pStyle w:val="Compact"/>
              <w:jc w:val="left"/>
            </w:pPr>
            <w:r>
              <w:t xml:space="preserve">0.28 µmol/l</w:t>
            </w:r>
          </w:p>
        </w:tc>
        <w:tc>
          <w:tcPr/>
          <w:p>
            <w:pPr>
              <w:pStyle w:val="Compact"/>
              <w:jc w:val="left"/>
            </w:pPr>
            <w:r>
              <w:t xml:space="preserve">Publication-Wei 1991</w:t>
            </w:r>
          </w:p>
        </w:tc>
      </w:tr>
    </w:tbl>
    <w:bookmarkEnd w:id="41"/>
    <w:bookmarkEnd w:id="42"/>
    <w:bookmarkEnd w:id="43"/>
    <w:bookmarkEnd w:id="44"/>
    <w:bookmarkStart w:id="46" w:name="formulation-mexiletine-tablet"/>
    <w:p>
      <w:pPr>
        <w:pStyle w:val="Heading3"/>
      </w:pPr>
      <w:r>
        <w:t xml:space="preserve">Formulation: Mexiletine tablet</w:t>
      </w:r>
    </w:p>
    <w:p>
      <w:pPr>
        <w:pStyle w:val="FirstParagraph"/>
      </w:pPr>
      <w:r>
        <w:t xml:space="preserve">Type: Weibull</w:t>
      </w:r>
    </w:p>
    <w:bookmarkStart w:id="45" w:name="parameters-6"/>
    <w:p>
      <w:pPr>
        <w:pStyle w:val="Heading4"/>
      </w:pPr>
      <w:r>
        <w:t xml:space="preserve">Parameters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Name</w:t>
            </w:r>
          </w:p>
        </w:tc>
        <w:tc>
          <w:tcPr/>
          <w:p>
            <w:pPr>
              <w:pStyle w:val="Compact"/>
              <w:jc w:val="left"/>
            </w:pPr>
            <w:r>
              <w:t xml:space="preserve">Value</w:t>
            </w:r>
          </w:p>
        </w:tc>
        <w:tc>
          <w:tcPr/>
          <w:p>
            <w:pPr>
              <w:pStyle w:val="Compact"/>
              <w:jc w:val="right"/>
            </w:pPr>
            <w:r>
              <w:t xml:space="preserve">Value Origin</w:t>
            </w:r>
          </w:p>
        </w:tc>
      </w:tr>
      <w:tr>
        <w:tc>
          <w:tcPr/>
          <w:p>
            <w:pPr>
              <w:pStyle w:val="Compact"/>
              <w:jc w:val="left"/>
            </w:pPr>
            <w:r>
              <w:t xml:space="preserve">Dissolution time (50% dissolved)</w:t>
            </w:r>
          </w:p>
        </w:tc>
        <w:tc>
          <w:tcPr/>
          <w:p>
            <w:pPr>
              <w:pStyle w:val="Compact"/>
              <w:jc w:val="left"/>
            </w:pPr>
            <w:r>
              <w:t xml:space="preserve">60 min</w:t>
            </w:r>
          </w:p>
        </w:tc>
        <w:tc>
          <w:tcPr/>
          <w:p>
            <w:pPr>
              <w:pStyle w:val="Compact"/>
            </w:pPr>
          </w:p>
        </w:tc>
      </w:tr>
      <w:tr>
        <w:tc>
          <w:tcPr/>
          <w:p>
            <w:pPr>
              <w:pStyle w:val="Compact"/>
              <w:jc w:val="left"/>
            </w:pPr>
            <w:r>
              <w:t xml:space="preserve">Lag time</w:t>
            </w:r>
          </w:p>
        </w:tc>
        <w:tc>
          <w:tcPr/>
          <w:p>
            <w:pPr>
              <w:pStyle w:val="Compact"/>
              <w:jc w:val="left"/>
            </w:pPr>
            <w:r>
              <w:t xml:space="preserve">0 min</w:t>
            </w:r>
          </w:p>
        </w:tc>
        <w:tc>
          <w:tcPr/>
          <w:p>
            <w:pPr>
              <w:pStyle w:val="Compact"/>
            </w:pPr>
          </w:p>
        </w:tc>
      </w:tr>
      <w:tr>
        <w:tc>
          <w:tcPr/>
          <w:p>
            <w:pPr>
              <w:pStyle w:val="Compact"/>
              <w:jc w:val="left"/>
            </w:pPr>
            <w:r>
              <w:t xml:space="preserve">Dissolution shape</w:t>
            </w:r>
          </w:p>
        </w:tc>
        <w:tc>
          <w:tcPr/>
          <w:p>
            <w:pPr>
              <w:pStyle w:val="Compact"/>
              <w:jc w:val="left"/>
            </w:pPr>
            <w:r>
              <w:t xml:space="preserve">0.92</w:t>
            </w:r>
          </w:p>
        </w:tc>
        <w:tc>
          <w:tcPr/>
          <w:p>
            <w:pPr>
              <w:pStyle w:val="Compact"/>
            </w:pPr>
          </w:p>
        </w:tc>
      </w:tr>
      <w:tr>
        <w:tc>
          <w:tcPr/>
          <w:p>
            <w:pPr>
              <w:pStyle w:val="Compact"/>
              <w:jc w:val="left"/>
            </w:pPr>
            <w:r>
              <w:t xml:space="preserve">Use as suspension</w:t>
            </w:r>
          </w:p>
        </w:tc>
        <w:tc>
          <w:tcPr/>
          <w:p>
            <w:pPr>
              <w:pStyle w:val="Compact"/>
              <w:jc w:val="left"/>
            </w:pPr>
            <w:r>
              <w:t xml:space="preserve">Yes</w:t>
            </w:r>
          </w:p>
        </w:tc>
        <w:tc>
          <w:tcPr/>
          <w:p>
            <w:pPr>
              <w:pStyle w:val="Compact"/>
            </w:pPr>
          </w:p>
        </w:tc>
      </w:tr>
    </w:tbl>
    <w:bookmarkEnd w:id="45"/>
    <w:bookmarkEnd w:id="46"/>
    <w:bookmarkEnd w:id="47"/>
    <w:bookmarkStart w:id="54" w:name="diagnostics-plots"/>
    <w:p>
      <w:pPr>
        <w:pStyle w:val="Heading2"/>
      </w:pPr>
      <w:r>
        <w:t xml:space="preserve">Diagnostics Plots</w:t>
      </w:r>
      <w:bookmarkStart w:id="diagnostics-plots" w:name="diagnostics-plots"/>
      <w:bookmarkEnd w:id="diagnostics-plots"/>
    </w:p>
    <w:p>
      <w:pPr>
        <w:pStyle w:val="FirstParagraph"/>
      </w:pPr>
      <w:r>
        <w:t xml:space="preserve">The following section displays the goodness-of-fit visual diagnostic plots for the PBPK model performance of all data listed in</w:t>
      </w:r>
      <w:r>
        <w:t xml:space="preserve"> </w:t>
      </w:r>
      <w:hyperlink w:anchor="X7ecbd1fd734a207de60ff9705c88346a68b0398">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br w:type="page"/>
    <w:p>
      <w:pPr>
        <w:pStyle w:val="BodyText"/>
      </w:pPr>
      <w:bookmarkStart w:id="table-3-1" w:name="table-3-1"/>
      <w:bookmarkEnd w:id="table-3-1"/>
    </w:p>
    <w:p>
      <w:pPr>
        <w:pStyle w:val="BodyText"/>
      </w:pPr>
      <w:r>
        <w:rPr>
          <w:bCs/>
          <w:b/>
        </w:rPr>
        <w:t xml:space="preserve">Table 3-1: GMFE for Mexiletine concentration in plasma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Group</w:t>
            </w:r>
          </w:p>
        </w:tc>
        <w:tc>
          <w:tcPr/>
          <w:p>
            <w:pPr>
              <w:pStyle w:val="Compact"/>
              <w:jc w:val="left"/>
            </w:pPr>
            <w:r>
              <w:t xml:space="preserve">GMFE</w:t>
            </w:r>
          </w:p>
        </w:tc>
      </w:tr>
      <w:tr>
        <w:tc>
          <w:tcPr/>
          <w:p>
            <w:pPr>
              <w:pStyle w:val="Compact"/>
              <w:jc w:val="left"/>
            </w:pPr>
            <w:r>
              <w:t xml:space="preserve">Intravenous administration (model building)</w:t>
            </w:r>
          </w:p>
        </w:tc>
        <w:tc>
          <w:tcPr/>
          <w:p>
            <w:pPr>
              <w:pStyle w:val="Compact"/>
              <w:jc w:val="left"/>
            </w:pPr>
            <w:r>
              <w:t xml:space="preserve">1.19</w:t>
            </w:r>
          </w:p>
        </w:tc>
      </w:tr>
      <w:tr>
        <w:tc>
          <w:tcPr/>
          <w:p>
            <w:pPr>
              <w:pStyle w:val="Compact"/>
              <w:jc w:val="left"/>
            </w:pPr>
            <w:r>
              <w:t xml:space="preserve">Oral administration (model building)</w:t>
            </w:r>
          </w:p>
        </w:tc>
        <w:tc>
          <w:tcPr/>
          <w:p>
            <w:pPr>
              <w:pStyle w:val="Compact"/>
              <w:jc w:val="left"/>
            </w:pPr>
            <w:r>
              <w:t xml:space="preserve">1.32</w:t>
            </w:r>
          </w:p>
        </w:tc>
      </w:tr>
      <w:tr>
        <w:tc>
          <w:tcPr/>
          <w:p>
            <w:pPr>
              <w:pStyle w:val="Compact"/>
              <w:jc w:val="left"/>
            </w:pPr>
            <w:r>
              <w:t xml:space="preserve">Oral administration (model validation)</w:t>
            </w:r>
          </w:p>
        </w:tc>
        <w:tc>
          <w:tcPr/>
          <w:p>
            <w:pPr>
              <w:pStyle w:val="Compact"/>
              <w:jc w:val="left"/>
            </w:pPr>
            <w:r>
              <w:t xml:space="preserve">1.24</w:t>
            </w:r>
          </w:p>
        </w:tc>
      </w:tr>
      <w:tr>
        <w:tc>
          <w:tcPr/>
          <w:p>
            <w:pPr>
              <w:pStyle w:val="Compact"/>
              <w:jc w:val="left"/>
            </w:pPr>
            <w:r>
              <w:t xml:space="preserve">All</w:t>
            </w:r>
          </w:p>
        </w:tc>
        <w:tc>
          <w:tcPr/>
          <w:p>
            <w:pPr>
              <w:pStyle w:val="Compact"/>
              <w:jc w:val="left"/>
            </w:pPr>
            <w:r>
              <w:t xml:space="preserve">1.28</w:t>
            </w:r>
          </w:p>
        </w:tc>
      </w:tr>
    </w:tbl>
    <w:p>
      <w:pPr>
        <w:pStyle w:val="BodyText"/>
      </w:pPr>
      <w:r>
        <w:t xml:space="preserve"> </w:t>
      </w:r>
    </w:p>
    <w:br w:type="page"/>
    <w:p>
      <w:pPr>
        <w:pStyle w:val="BodyText"/>
      </w:pPr>
      <w:bookmarkStart w:id="figure-3-1" w:name="figure-3-1"/>
      <w:bookmarkEnd w:id="figure-3-1"/>
    </w:p>
    <w:p>
      <w:pPr>
        <w:pStyle w:val="BodyText"/>
      </w:pPr>
      <w:r>
        <w:drawing>
          <wp:inline>
            <wp:extent cx="5969000" cy="6788357"/>
            <wp:effectExtent b="0" l="0" r="0" t="0"/>
            <wp:docPr descr="" title="" id="49" name="Picture"/>
            <a:graphic>
              <a:graphicData uri="http://schemas.openxmlformats.org/drawingml/2006/picture">
                <pic:pic>
                  <pic:nvPicPr>
                    <pic:cNvPr descr="images/006_section_results-and-discussion/008_section_diagnostics-plots/2_gof_plot_predictedVsObserved.png" id="50" name="Picture"/>
                    <pic:cNvPicPr>
                      <a:picLocks noChangeArrowheads="1" noChangeAspect="1"/>
                    </pic:cNvPicPr>
                  </pic:nvPicPr>
                  <pic:blipFill>
                    <a:blip r:embed="rId48"/>
                    <a:stretch>
                      <a:fillRect/>
                    </a:stretch>
                  </pic:blipFill>
                  <pic:spPr bwMode="auto">
                    <a:xfrm>
                      <a:off x="0" y="0"/>
                      <a:ext cx="5969000" cy="6788357"/>
                    </a:xfrm>
                    <a:prstGeom prst="rect">
                      <a:avLst/>
                    </a:prstGeom>
                    <a:noFill/>
                    <a:ln w="9525">
                      <a:noFill/>
                      <a:headEnd/>
                      <a:tailEnd/>
                    </a:ln>
                  </pic:spPr>
                </pic:pic>
              </a:graphicData>
            </a:graphic>
          </wp:inline>
        </w:drawing>
      </w:r>
    </w:p>
    <w:p>
      <w:pPr>
        <w:pStyle w:val="BodyText"/>
      </w:pPr>
      <w:r>
        <w:rPr>
          <w:bCs/>
          <w:b/>
        </w:rPr>
        <w:t xml:space="preserve">Figure 3-1: Mexiletine concentration in plasma</w:t>
      </w:r>
    </w:p>
    <w:p>
      <w:pPr>
        <w:pStyle w:val="BodyText"/>
      </w:pPr>
      <w:r>
        <w:t xml:space="preserve"> </w:t>
      </w:r>
    </w:p>
    <w:br w:type="page"/>
    <w:p>
      <w:pPr>
        <w:pStyle w:val="BodyText"/>
      </w:pPr>
      <w:bookmarkStart w:id="figure-3-2" w:name="figure-3-2"/>
      <w:bookmarkEnd w:id="figure-3-2"/>
    </w:p>
    <w:p>
      <w:pPr>
        <w:pStyle w:val="BodyText"/>
      </w:pPr>
      <w:r>
        <w:drawing>
          <wp:inline>
            <wp:extent cx="5969000" cy="4555540"/>
            <wp:effectExtent b="0" l="0" r="0" t="0"/>
            <wp:docPr descr="" title="" id="52" name="Picture"/>
            <a:graphic>
              <a:graphicData uri="http://schemas.openxmlformats.org/drawingml/2006/picture">
                <pic:pic>
                  <pic:nvPicPr>
                    <pic:cNvPr descr="images/006_section_results-and-discussion/008_section_diagnostics-plots/3_gof_plot_residualsOverTime.png" id="53" name="Picture"/>
                    <pic:cNvPicPr>
                      <a:picLocks noChangeArrowheads="1" noChangeAspect="1"/>
                    </pic:cNvPicPr>
                  </pic:nvPicPr>
                  <pic:blipFill>
                    <a:blip r:embed="rId51"/>
                    <a:stretch>
                      <a:fillRect/>
                    </a:stretch>
                  </pic:blipFill>
                  <pic:spPr bwMode="auto">
                    <a:xfrm>
                      <a:off x="0" y="0"/>
                      <a:ext cx="5969000" cy="4555540"/>
                    </a:xfrm>
                    <a:prstGeom prst="rect">
                      <a:avLst/>
                    </a:prstGeom>
                    <a:noFill/>
                    <a:ln w="9525">
                      <a:noFill/>
                      <a:headEnd/>
                      <a:tailEnd/>
                    </a:ln>
                  </pic:spPr>
                </pic:pic>
              </a:graphicData>
            </a:graphic>
          </wp:inline>
        </w:drawing>
      </w:r>
    </w:p>
    <w:p>
      <w:pPr>
        <w:pStyle w:val="BodyText"/>
      </w:pPr>
      <w:r>
        <w:rPr>
          <w:bCs/>
          <w:b/>
        </w:rPr>
        <w:t xml:space="preserve">Figure 3-2: Mexiletine concentration in plasma</w:t>
      </w:r>
    </w:p>
    <w:p>
      <w:pPr>
        <w:pStyle w:val="BodyText"/>
      </w:pPr>
      <w:r>
        <w:t xml:space="preserve"> </w:t>
      </w:r>
    </w:p>
    <w:bookmarkEnd w:id="54"/>
    <w:bookmarkStart w:id="96" w:name="concentration-time-profiles"/>
    <w:p>
      <w:pPr>
        <w:pStyle w:val="Heading2"/>
      </w:pPr>
      <w:r>
        <w:t xml:space="preserve">Concentration-Time Profiles</w:t>
      </w:r>
      <w:bookmarkStart w:id="ct-profiles" w:name="ct-profiles"/>
      <w:bookmarkEnd w:id="ct-profiles"/>
    </w:p>
    <w:p>
      <w:pPr>
        <w:pStyle w:val="FirstParagraph"/>
      </w:pPr>
      <w:r>
        <w:t xml:space="preserve">Simulated versus observed concentration-time profiles of all data listed in</w:t>
      </w:r>
      <w:r>
        <w:t xml:space="preserve"> </w:t>
      </w:r>
      <w:hyperlink w:anchor="X7ecbd1fd734a207de60ff9705c88346a68b0398">
        <w:r>
          <w:rPr>
            <w:rStyle w:val="Hyperlink"/>
          </w:rPr>
          <w:t xml:space="preserve">Section 2.2.2</w:t>
        </w:r>
      </w:hyperlink>
      <w:r>
        <w:t xml:space="preserve"> </w:t>
      </w:r>
      <w:r>
        <w:t xml:space="preserve">are presented below.</w:t>
      </w:r>
    </w:p>
    <w:bookmarkStart w:id="85" w:name="model-building"/>
    <w:p>
      <w:pPr>
        <w:pStyle w:val="Heading3"/>
      </w:pPr>
      <w:r>
        <w:t xml:space="preserve">Model Building</w:t>
      </w:r>
      <w:bookmarkStart w:id="model-building" w:name="model-building"/>
      <w:bookmarkEnd w:id="model-building"/>
    </w:p>
    <w:br w:type="page"/>
    <w:p>
      <w:pPr>
        <w:pStyle w:val="FirstParagraph"/>
      </w:pPr>
      <w:bookmarkStart w:id="figure-3-3" w:name="figure-3-3"/>
      <w:bookmarkEnd w:id="figure-3-3"/>
    </w:p>
    <w:p>
      <w:pPr>
        <w:pStyle w:val="BodyText"/>
      </w:pPr>
      <w:r>
        <w:drawing>
          <wp:inline>
            <wp:extent cx="5969000" cy="4639584"/>
            <wp:effectExtent b="0" l="0" r="0" t="0"/>
            <wp:docPr descr="" title="" id="56" name="Picture"/>
            <a:graphic>
              <a:graphicData uri="http://schemas.openxmlformats.org/drawingml/2006/picture">
                <pic:pic>
                  <pic:nvPicPr>
                    <pic:cNvPr descr="images/006_section_results-and-discussion/009_section_ct-profiles/010_section_model-building/1_time_profile_plot_Mexiletine_Mexiletine_200_mg_iv_5_min.png" id="57" name="Picture"/>
                    <pic:cNvPicPr>
                      <a:picLocks noChangeArrowheads="1" noChangeAspect="1"/>
                    </pic:cNvPicPr>
                  </pic:nvPicPr>
                  <pic:blipFill>
                    <a:blip r:embed="rId55"/>
                    <a:stretch>
                      <a:fillRect/>
                    </a:stretch>
                  </pic:blipFill>
                  <pic:spPr bwMode="auto">
                    <a:xfrm>
                      <a:off x="0" y="0"/>
                      <a:ext cx="5969000" cy="4639584"/>
                    </a:xfrm>
                    <a:prstGeom prst="rect">
                      <a:avLst/>
                    </a:prstGeom>
                    <a:noFill/>
                    <a:ln w="9525">
                      <a:noFill/>
                      <a:headEnd/>
                      <a:tailEnd/>
                    </a:ln>
                  </pic:spPr>
                </pic:pic>
              </a:graphicData>
            </a:graphic>
          </wp:inline>
        </w:drawing>
      </w:r>
    </w:p>
    <w:p>
      <w:pPr>
        <w:pStyle w:val="BodyText"/>
      </w:pPr>
      <w:r>
        <w:rPr>
          <w:bCs/>
          <w:b/>
        </w:rPr>
        <w:t xml:space="preserve">Figure 3-3: Mexiletine 200 mg iv</w:t>
      </w:r>
    </w:p>
    <w:p>
      <w:pPr>
        <w:pStyle w:val="BodyText"/>
      </w:pPr>
      <w:r>
        <w:t xml:space="preserve"> </w:t>
      </w:r>
    </w:p>
    <w:br w:type="page"/>
    <w:p>
      <w:pPr>
        <w:pStyle w:val="BodyText"/>
      </w:pPr>
      <w:bookmarkStart w:id="figure-3-4" w:name="figure-3-4"/>
      <w:bookmarkEnd w:id="figure-3-4"/>
    </w:p>
    <w:p>
      <w:pPr>
        <w:pStyle w:val="BodyText"/>
      </w:pPr>
      <w:r>
        <w:drawing>
          <wp:inline>
            <wp:extent cx="5969000" cy="5113284"/>
            <wp:effectExtent b="0" l="0" r="0" t="0"/>
            <wp:docPr descr="" title="" id="59" name="Picture"/>
            <a:graphic>
              <a:graphicData uri="http://schemas.openxmlformats.org/drawingml/2006/picture">
                <pic:pic>
                  <pic:nvPicPr>
                    <pic:cNvPr descr="images/006_section_results-and-discussion/009_section_ct-profiles/010_section_model-building/2_time_profile_plot_Mexiletine_Mexiletine_200_mg_iv_30_min.png" id="60" name="Picture"/>
                    <pic:cNvPicPr>
                      <a:picLocks noChangeArrowheads="1" noChangeAspect="1"/>
                    </pic:cNvPicPr>
                  </pic:nvPicPr>
                  <pic:blipFill>
                    <a:blip r:embed="rId58"/>
                    <a:stretch>
                      <a:fillRect/>
                    </a:stretch>
                  </pic:blipFill>
                  <pic:spPr bwMode="auto">
                    <a:xfrm>
                      <a:off x="0" y="0"/>
                      <a:ext cx="5969000" cy="5113284"/>
                    </a:xfrm>
                    <a:prstGeom prst="rect">
                      <a:avLst/>
                    </a:prstGeom>
                    <a:noFill/>
                    <a:ln w="9525">
                      <a:noFill/>
                      <a:headEnd/>
                      <a:tailEnd/>
                    </a:ln>
                  </pic:spPr>
                </pic:pic>
              </a:graphicData>
            </a:graphic>
          </wp:inline>
        </w:drawing>
      </w:r>
    </w:p>
    <w:p>
      <w:pPr>
        <w:pStyle w:val="BodyText"/>
      </w:pPr>
      <w:r>
        <w:rPr>
          <w:bCs/>
          <w:b/>
        </w:rPr>
        <w:t xml:space="preserve">Figure 3-4: Mexiletine 200 mg iv 30 min</w:t>
      </w:r>
    </w:p>
    <w:p>
      <w:pPr>
        <w:pStyle w:val="BodyText"/>
      </w:pPr>
      <w:r>
        <w:t xml:space="preserve"> </w:t>
      </w:r>
    </w:p>
    <w:br w:type="page"/>
    <w:p>
      <w:pPr>
        <w:pStyle w:val="BodyText"/>
      </w:pPr>
      <w:bookmarkStart w:id="figure-3-5" w:name="figure-3-5"/>
      <w:bookmarkEnd w:id="figure-3-5"/>
    </w:p>
    <w:p>
      <w:pPr>
        <w:pStyle w:val="BodyText"/>
      </w:pPr>
      <w:r>
        <w:drawing>
          <wp:inline>
            <wp:extent cx="5969000" cy="4303410"/>
            <wp:effectExtent b="0" l="0" r="0" t="0"/>
            <wp:docPr descr="" title="" id="62" name="Picture"/>
            <a:graphic>
              <a:graphicData uri="http://schemas.openxmlformats.org/drawingml/2006/picture">
                <pic:pic>
                  <pic:nvPicPr>
                    <pic:cNvPr descr="images/006_section_results-and-discussion/009_section_ct-profiles/010_section_model-building/3_time_profile_plot_Mexiletine_Mexiletine_HCL_100_mg_po.png" id="63" name="Picture"/>
                    <pic:cNvPicPr>
                      <a:picLocks noChangeArrowheads="1" noChangeAspect="1"/>
                    </pic:cNvPicPr>
                  </pic:nvPicPr>
                  <pic:blipFill>
                    <a:blip r:embed="rId61"/>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3-5: Mexiletine HCL 100 mg po</w:t>
      </w:r>
    </w:p>
    <w:p>
      <w:pPr>
        <w:pStyle w:val="BodyText"/>
      </w:pPr>
      <w:r>
        <w:t xml:space="preserve"> </w:t>
      </w:r>
    </w:p>
    <w:br w:type="page"/>
    <w:p>
      <w:pPr>
        <w:pStyle w:val="BodyText"/>
      </w:pPr>
      <w:bookmarkStart w:id="figure-3-6" w:name="figure-3-6"/>
      <w:bookmarkEnd w:id="figure-3-6"/>
    </w:p>
    <w:p>
      <w:pPr>
        <w:pStyle w:val="BodyText"/>
      </w:pPr>
      <w:r>
        <w:drawing>
          <wp:inline>
            <wp:extent cx="5969000" cy="4639584"/>
            <wp:effectExtent b="0" l="0" r="0" t="0"/>
            <wp:docPr descr="" title="" id="65" name="Picture"/>
            <a:graphic>
              <a:graphicData uri="http://schemas.openxmlformats.org/drawingml/2006/picture">
                <pic:pic>
                  <pic:nvPicPr>
                    <pic:cNvPr descr="images/006_section_results-and-discussion/009_section_ct-profiles/010_section_model-building/4_time_profile_plot_Mexiletine_Mexiletine_200_mg_po.png" id="66" name="Picture"/>
                    <pic:cNvPicPr>
                      <a:picLocks noChangeArrowheads="1" noChangeAspect="1"/>
                    </pic:cNvPicPr>
                  </pic:nvPicPr>
                  <pic:blipFill>
                    <a:blip r:embed="rId64"/>
                    <a:stretch>
                      <a:fillRect/>
                    </a:stretch>
                  </pic:blipFill>
                  <pic:spPr bwMode="auto">
                    <a:xfrm>
                      <a:off x="0" y="0"/>
                      <a:ext cx="5969000" cy="4639584"/>
                    </a:xfrm>
                    <a:prstGeom prst="rect">
                      <a:avLst/>
                    </a:prstGeom>
                    <a:noFill/>
                    <a:ln w="9525">
                      <a:noFill/>
                      <a:headEnd/>
                      <a:tailEnd/>
                    </a:ln>
                  </pic:spPr>
                </pic:pic>
              </a:graphicData>
            </a:graphic>
          </wp:inline>
        </w:drawing>
      </w:r>
    </w:p>
    <w:p>
      <w:pPr>
        <w:pStyle w:val="BodyText"/>
      </w:pPr>
      <w:r>
        <w:rPr>
          <w:bCs/>
          <w:b/>
        </w:rPr>
        <w:t xml:space="preserve">Figure 3-6: Mexiletine 200 mg po</w:t>
      </w:r>
    </w:p>
    <w:p>
      <w:pPr>
        <w:pStyle w:val="BodyText"/>
      </w:pPr>
      <w:r>
        <w:t xml:space="preserve"> </w:t>
      </w:r>
    </w:p>
    <w:br w:type="page"/>
    <w:p>
      <w:pPr>
        <w:pStyle w:val="BodyText"/>
      </w:pPr>
      <w:bookmarkStart w:id="figure-3-7" w:name="figure-3-7"/>
      <w:bookmarkEnd w:id="figure-3-7"/>
    </w:p>
    <w:p>
      <w:pPr>
        <w:pStyle w:val="BodyText"/>
      </w:pPr>
      <w:r>
        <w:drawing>
          <wp:inline>
            <wp:extent cx="5969000" cy="4303410"/>
            <wp:effectExtent b="0" l="0" r="0" t="0"/>
            <wp:docPr descr="" title="" id="68" name="Picture"/>
            <a:graphic>
              <a:graphicData uri="http://schemas.openxmlformats.org/drawingml/2006/picture">
                <pic:pic>
                  <pic:nvPicPr>
                    <pic:cNvPr descr="images/006_section_results-and-discussion/009_section_ct-profiles/010_section_model-building/5_time_profile_plot_Mexiletine_Mexiletine_HCL_200_mg_po.png" id="69" name="Picture"/>
                    <pic:cNvPicPr>
                      <a:picLocks noChangeArrowheads="1" noChangeAspect="1"/>
                    </pic:cNvPicPr>
                  </pic:nvPicPr>
                  <pic:blipFill>
                    <a:blip r:embed="rId67"/>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3-7: Mexiletine HCL 200 mg po</w:t>
      </w:r>
    </w:p>
    <w:p>
      <w:pPr>
        <w:pStyle w:val="BodyText"/>
      </w:pPr>
      <w:r>
        <w:t xml:space="preserve"> </w:t>
      </w:r>
    </w:p>
    <w:br w:type="page"/>
    <w:p>
      <w:pPr>
        <w:pStyle w:val="BodyText"/>
      </w:pPr>
      <w:bookmarkStart w:id="figure-3-8" w:name="figure-3-8"/>
      <w:bookmarkEnd w:id="figure-3-8"/>
    </w:p>
    <w:p>
      <w:pPr>
        <w:pStyle w:val="BodyText"/>
      </w:pPr>
      <w:r>
        <w:drawing>
          <wp:inline>
            <wp:extent cx="5969000" cy="4303410"/>
            <wp:effectExtent b="0" l="0" r="0" t="0"/>
            <wp:docPr descr="" title="" id="71" name="Picture"/>
            <a:graphic>
              <a:graphicData uri="http://schemas.openxmlformats.org/drawingml/2006/picture">
                <pic:pic>
                  <pic:nvPicPr>
                    <pic:cNvPr descr="images/006_section_results-and-discussion/009_section_ct-profiles/010_section_model-building/6_time_profile_plot_Mexiletine_Mexiletine_HCL_200_mg_po_asian.png" id="72" name="Picture"/>
                    <pic:cNvPicPr>
                      <a:picLocks noChangeArrowheads="1" noChangeAspect="1"/>
                    </pic:cNvPicPr>
                  </pic:nvPicPr>
                  <pic:blipFill>
                    <a:blip r:embed="rId70"/>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3-8: Mexiletine HCL 200 mg po asian</w:t>
      </w:r>
    </w:p>
    <w:p>
      <w:pPr>
        <w:pStyle w:val="BodyText"/>
      </w:pPr>
      <w:r>
        <w:t xml:space="preserve"> </w:t>
      </w:r>
    </w:p>
    <w:br w:type="page"/>
    <w:p>
      <w:pPr>
        <w:pStyle w:val="BodyText"/>
      </w:pPr>
      <w:bookmarkStart w:id="figure-3-9" w:name="figure-3-9"/>
      <w:bookmarkEnd w:id="figure-3-9"/>
    </w:p>
    <w:p>
      <w:pPr>
        <w:pStyle w:val="BodyText"/>
      </w:pPr>
      <w:r>
        <w:drawing>
          <wp:inline>
            <wp:extent cx="5969000" cy="4303410"/>
            <wp:effectExtent b="0" l="0" r="0" t="0"/>
            <wp:docPr descr="" title="" id="74" name="Picture"/>
            <a:graphic>
              <a:graphicData uri="http://schemas.openxmlformats.org/drawingml/2006/picture">
                <pic:pic>
                  <pic:nvPicPr>
                    <pic:cNvPr descr="images/006_section_results-and-discussion/009_section_ct-profiles/010_section_model-building/7_time_profile_plot_Mexiletine_Mexiletine_HCL_300_mg_po.png" id="75" name="Picture"/>
                    <pic:cNvPicPr>
                      <a:picLocks noChangeArrowheads="1" noChangeAspect="1"/>
                    </pic:cNvPicPr>
                  </pic:nvPicPr>
                  <pic:blipFill>
                    <a:blip r:embed="rId73"/>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3-9: Mexiletine HCL 300 mg po</w:t>
      </w:r>
    </w:p>
    <w:p>
      <w:pPr>
        <w:pStyle w:val="BodyText"/>
      </w:pPr>
      <w:r>
        <w:t xml:space="preserve"> </w:t>
      </w:r>
    </w:p>
    <w:br w:type="page"/>
    <w:p>
      <w:pPr>
        <w:pStyle w:val="BodyText"/>
      </w:pPr>
      <w:bookmarkStart w:id="figure-3-10" w:name="figure-3-10"/>
      <w:bookmarkEnd w:id="figure-3-10"/>
    </w:p>
    <w:p>
      <w:pPr>
        <w:pStyle w:val="BodyText"/>
      </w:pPr>
      <w:r>
        <w:drawing>
          <wp:inline>
            <wp:extent cx="5969000" cy="4303410"/>
            <wp:effectExtent b="0" l="0" r="0" t="0"/>
            <wp:docPr descr="" title="" id="77" name="Picture"/>
            <a:graphic>
              <a:graphicData uri="http://schemas.openxmlformats.org/drawingml/2006/picture">
                <pic:pic>
                  <pic:nvPicPr>
                    <pic:cNvPr descr="images/006_section_results-and-discussion/009_section_ct-profiles/010_section_model-building/8_time_profile_plot_Mexiletine_Mexiletine_HCL_400_mg_po.png" id="78" name="Picture"/>
                    <pic:cNvPicPr>
                      <a:picLocks noChangeArrowheads="1" noChangeAspect="1"/>
                    </pic:cNvPicPr>
                  </pic:nvPicPr>
                  <pic:blipFill>
                    <a:blip r:embed="rId76"/>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3-10: Mexiletine HCL 400 mg po</w:t>
      </w:r>
    </w:p>
    <w:p>
      <w:pPr>
        <w:pStyle w:val="BodyText"/>
      </w:pPr>
      <w:r>
        <w:t xml:space="preserve"> </w:t>
      </w:r>
    </w:p>
    <w:br w:type="page"/>
    <w:p>
      <w:pPr>
        <w:pStyle w:val="BodyText"/>
      </w:pPr>
      <w:bookmarkStart w:id="figure-3-11" w:name="figure-3-11"/>
      <w:bookmarkEnd w:id="figure-3-11"/>
    </w:p>
    <w:p>
      <w:pPr>
        <w:pStyle w:val="BodyText"/>
      </w:pPr>
      <w:r>
        <w:drawing>
          <wp:inline>
            <wp:extent cx="5969000" cy="5296651"/>
            <wp:effectExtent b="0" l="0" r="0" t="0"/>
            <wp:docPr descr="" title="" id="80" name="Picture"/>
            <a:graphic>
              <a:graphicData uri="http://schemas.openxmlformats.org/drawingml/2006/picture">
                <pic:pic>
                  <pic:nvPicPr>
                    <pic:cNvPr descr="images/006_section_results-and-discussion/009_section_ct-profiles/010_section_model-building/9_time_profile_plot_Mexiletine_Mexiletine_400_mg_po.png" id="81" name="Picture"/>
                    <pic:cNvPicPr>
                      <a:picLocks noChangeArrowheads="1" noChangeAspect="1"/>
                    </pic:cNvPicPr>
                  </pic:nvPicPr>
                  <pic:blipFill>
                    <a:blip r:embed="rId79"/>
                    <a:stretch>
                      <a:fillRect/>
                    </a:stretch>
                  </pic:blipFill>
                  <pic:spPr bwMode="auto">
                    <a:xfrm>
                      <a:off x="0" y="0"/>
                      <a:ext cx="5969000" cy="5296651"/>
                    </a:xfrm>
                    <a:prstGeom prst="rect">
                      <a:avLst/>
                    </a:prstGeom>
                    <a:noFill/>
                    <a:ln w="9525">
                      <a:noFill/>
                      <a:headEnd/>
                      <a:tailEnd/>
                    </a:ln>
                  </pic:spPr>
                </pic:pic>
              </a:graphicData>
            </a:graphic>
          </wp:inline>
        </w:drawing>
      </w:r>
    </w:p>
    <w:p>
      <w:pPr>
        <w:pStyle w:val="BodyText"/>
      </w:pPr>
      <w:r>
        <w:rPr>
          <w:bCs/>
          <w:b/>
        </w:rPr>
        <w:t xml:space="preserve">Figure 3-11: Mexiletine 400 mg po</w:t>
      </w:r>
    </w:p>
    <w:p>
      <w:pPr>
        <w:pStyle w:val="BodyText"/>
      </w:pPr>
      <w:r>
        <w:t xml:space="preserve"> </w:t>
      </w:r>
    </w:p>
    <w:br w:type="page"/>
    <w:p>
      <w:pPr>
        <w:pStyle w:val="BodyText"/>
      </w:pPr>
      <w:bookmarkStart w:id="figure-3-12" w:name="figure-3-12"/>
      <w:bookmarkEnd w:id="figure-3-12"/>
    </w:p>
    <w:p>
      <w:pPr>
        <w:pStyle w:val="BodyText"/>
      </w:pPr>
      <w:r>
        <w:drawing>
          <wp:inline>
            <wp:extent cx="5969000" cy="4303410"/>
            <wp:effectExtent b="0" l="0" r="0" t="0"/>
            <wp:docPr descr="" title="" id="83" name="Picture"/>
            <a:graphic>
              <a:graphicData uri="http://schemas.openxmlformats.org/drawingml/2006/picture">
                <pic:pic>
                  <pic:nvPicPr>
                    <pic:cNvPr descr="images/006_section_results-and-discussion/009_section_ct-profiles/010_section_model-building/10_time_profile_plot_Mexiletine_Mexiletine_HCL_600_mg_po.png" id="84" name="Picture"/>
                    <pic:cNvPicPr>
                      <a:picLocks noChangeArrowheads="1" noChangeAspect="1"/>
                    </pic:cNvPicPr>
                  </pic:nvPicPr>
                  <pic:blipFill>
                    <a:blip r:embed="rId82"/>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3-12: Mexiletine HCL 600 mg po</w:t>
      </w:r>
    </w:p>
    <w:p>
      <w:pPr>
        <w:pStyle w:val="BodyText"/>
      </w:pPr>
      <w:r>
        <w:t xml:space="preserve"> </w:t>
      </w:r>
    </w:p>
    <w:bookmarkEnd w:id="85"/>
    <w:bookmarkStart w:id="95" w:name="model-verification"/>
    <w:p>
      <w:pPr>
        <w:pStyle w:val="Heading3"/>
      </w:pPr>
      <w:r>
        <w:t xml:space="preserve">Model Verification</w:t>
      </w:r>
      <w:bookmarkStart w:id="model-verification" w:name="model-verification"/>
      <w:bookmarkEnd w:id="model-verification"/>
    </w:p>
    <w:br w:type="page"/>
    <w:p>
      <w:pPr>
        <w:pStyle w:val="FirstParagraph"/>
      </w:pPr>
      <w:bookmarkStart w:id="figure-3-13" w:name="figure-3-13"/>
      <w:bookmarkEnd w:id="figure-3-13"/>
    </w:p>
    <w:p>
      <w:pPr>
        <w:pStyle w:val="BodyText"/>
      </w:pPr>
      <w:r>
        <w:drawing>
          <wp:inline>
            <wp:extent cx="5969000" cy="4303410"/>
            <wp:effectExtent b="0" l="0" r="0" t="0"/>
            <wp:docPr descr="" title="" id="87" name="Picture"/>
            <a:graphic>
              <a:graphicData uri="http://schemas.openxmlformats.org/drawingml/2006/picture">
                <pic:pic>
                  <pic:nvPicPr>
                    <pic:cNvPr descr="images/006_section_results-and-discussion/009_section_ct-profiles/011_section_model-verification/11_time_profile_plot_Mexiletine_Mexiletine_83_31_mg_po_bid_EM_prediction.png" id="88" name="Picture"/>
                    <pic:cNvPicPr>
                      <a:picLocks noChangeArrowheads="1" noChangeAspect="1"/>
                    </pic:cNvPicPr>
                  </pic:nvPicPr>
                  <pic:blipFill>
                    <a:blip r:embed="rId86"/>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3-13: Mexiletine 83.31 mg po bid EM</w:t>
      </w:r>
    </w:p>
    <w:p>
      <w:pPr>
        <w:pStyle w:val="BodyText"/>
      </w:pPr>
      <w:r>
        <w:t xml:space="preserve"> </w:t>
      </w:r>
    </w:p>
    <w:br w:type="page"/>
    <w:p>
      <w:pPr>
        <w:pStyle w:val="BodyText"/>
      </w:pPr>
      <w:bookmarkStart w:id="figure-3-14" w:name="figure-3-14"/>
      <w:bookmarkEnd w:id="figure-3-14"/>
    </w:p>
    <w:p>
      <w:pPr>
        <w:pStyle w:val="BodyText"/>
      </w:pPr>
      <w:r>
        <w:drawing>
          <wp:inline>
            <wp:extent cx="5969000" cy="4303410"/>
            <wp:effectExtent b="0" l="0" r="0" t="0"/>
            <wp:docPr descr="" title="" id="90" name="Picture"/>
            <a:graphic>
              <a:graphicData uri="http://schemas.openxmlformats.org/drawingml/2006/picture">
                <pic:pic>
                  <pic:nvPicPr>
                    <pic:cNvPr descr="images/006_section_results-and-discussion/009_section_ct-profiles/011_section_model-verification/12_time_profile_plot_Mexiletine_Mexiletine_83_31_mg_po_bid_PM_prediction.png" id="91" name="Picture"/>
                    <pic:cNvPicPr>
                      <a:picLocks noChangeArrowheads="1" noChangeAspect="1"/>
                    </pic:cNvPicPr>
                  </pic:nvPicPr>
                  <pic:blipFill>
                    <a:blip r:embed="rId89"/>
                    <a:stretch>
                      <a:fillRect/>
                    </a:stretch>
                  </pic:blipFill>
                  <pic:spPr bwMode="auto">
                    <a:xfrm>
                      <a:off x="0" y="0"/>
                      <a:ext cx="5969000" cy="4303410"/>
                    </a:xfrm>
                    <a:prstGeom prst="rect">
                      <a:avLst/>
                    </a:prstGeom>
                    <a:noFill/>
                    <a:ln w="9525">
                      <a:noFill/>
                      <a:headEnd/>
                      <a:tailEnd/>
                    </a:ln>
                  </pic:spPr>
                </pic:pic>
              </a:graphicData>
            </a:graphic>
          </wp:inline>
        </w:drawing>
      </w:r>
    </w:p>
    <w:p>
      <w:pPr>
        <w:pStyle w:val="BodyText"/>
      </w:pPr>
      <w:r>
        <w:rPr>
          <w:bCs/>
          <w:b/>
        </w:rPr>
        <w:t xml:space="preserve">Figure 3-14: Mexiletine 83.31 mg po bid PM</w:t>
      </w:r>
    </w:p>
    <w:p>
      <w:pPr>
        <w:pStyle w:val="BodyText"/>
      </w:pPr>
      <w:r>
        <w:t xml:space="preserve"> </w:t>
      </w:r>
    </w:p>
    <w:br w:type="page"/>
    <w:p>
      <w:pPr>
        <w:pStyle w:val="BodyText"/>
      </w:pPr>
      <w:bookmarkStart w:id="figure-3-15" w:name="figure-3-15"/>
      <w:bookmarkEnd w:id="figure-3-15"/>
    </w:p>
    <w:p>
      <w:pPr>
        <w:pStyle w:val="BodyText"/>
      </w:pPr>
      <w:r>
        <w:drawing>
          <wp:inline>
            <wp:extent cx="5969000" cy="4639584"/>
            <wp:effectExtent b="0" l="0" r="0" t="0"/>
            <wp:docPr descr="" title="" id="93" name="Picture"/>
            <a:graphic>
              <a:graphicData uri="http://schemas.openxmlformats.org/drawingml/2006/picture">
                <pic:pic>
                  <pic:nvPicPr>
                    <pic:cNvPr descr="images/006_section_results-and-discussion/009_section_ct-profiles/011_section_model-verification/13_time_profile_plot_Mexiletine_Mexiletine_HCL_100_mg_po_pop.png" id="94" name="Picture"/>
                    <pic:cNvPicPr>
                      <a:picLocks noChangeArrowheads="1" noChangeAspect="1"/>
                    </pic:cNvPicPr>
                  </pic:nvPicPr>
                  <pic:blipFill>
                    <a:blip r:embed="rId92"/>
                    <a:stretch>
                      <a:fillRect/>
                    </a:stretch>
                  </pic:blipFill>
                  <pic:spPr bwMode="auto">
                    <a:xfrm>
                      <a:off x="0" y="0"/>
                      <a:ext cx="5969000" cy="4639584"/>
                    </a:xfrm>
                    <a:prstGeom prst="rect">
                      <a:avLst/>
                    </a:prstGeom>
                    <a:noFill/>
                    <a:ln w="9525">
                      <a:noFill/>
                      <a:headEnd/>
                      <a:tailEnd/>
                    </a:ln>
                  </pic:spPr>
                </pic:pic>
              </a:graphicData>
            </a:graphic>
          </wp:inline>
        </w:drawing>
      </w:r>
    </w:p>
    <w:p>
      <w:pPr>
        <w:pStyle w:val="BodyText"/>
      </w:pPr>
      <w:r>
        <w:rPr>
          <w:bCs/>
          <w:b/>
        </w:rPr>
        <w:t xml:space="preserve">Figure 3-15: Time Profile Analysis</w:t>
      </w:r>
    </w:p>
    <w:p>
      <w:pPr>
        <w:pStyle w:val="BodyText"/>
      </w:pPr>
      <w:r>
        <w:t xml:space="preserve"> </w:t>
      </w:r>
    </w:p>
    <w:bookmarkEnd w:id="95"/>
    <w:bookmarkEnd w:id="96"/>
    <w:bookmarkEnd w:id="97"/>
    <w:bookmarkStart w:id="98" w:name="conclusion"/>
    <w:p>
      <w:pPr>
        <w:pStyle w:val="Heading1"/>
      </w:pPr>
      <w:r>
        <w:t xml:space="preserve">Conclusion</w:t>
      </w:r>
      <w:bookmarkStart w:id="conclusion" w:name="conclusion"/>
      <w:bookmarkEnd w:id="conclusion"/>
    </w:p>
    <w:p>
      <w:pPr>
        <w:pStyle w:val="FirstParagraph"/>
      </w:pPr>
      <w:r>
        <w:t xml:space="preserve">The PBPK model developed for mexiletine was able to accurately predict the time-profiles following i.v. and p.o. dosing of mexiletine in EM and PM phenotypes. Observed variability was generally larger than the predicted in population simulations. Depending on study population, smoking status or variation in CYP-phenotypes may lead to additional variability which might be not included in the PK-Sim ontogeny factor.</w:t>
      </w:r>
    </w:p>
    <w:p>
      <w:pPr>
        <w:pStyle w:val="BodyText"/>
      </w:pPr>
      <w:r>
        <w:t xml:space="preserve">The predicted fraction excreted in urine was similar to the fraction reported in the label (9% vs 10%). The predicted bioavailability was 85%, compared to the observed as per label of 90%.</w:t>
      </w:r>
    </w:p>
    <w:bookmarkEnd w:id="98"/>
    <w:bookmarkStart w:id="99" w:name="references"/>
    <w:p>
      <w:pPr>
        <w:pStyle w:val="Heading1"/>
      </w:pPr>
      <w:r>
        <w:t xml:space="preserve">References</w:t>
      </w:r>
      <w:bookmarkStart w:id="main-references" w:name="main-references"/>
      <w:bookmarkEnd w:id="main-references"/>
    </w:p>
    <w:p>
      <w:pPr>
        <w:pStyle w:val="FirstParagraph"/>
      </w:pPr>
      <w:r>
        <w:rPr>
          <w:bCs/>
          <w:b/>
        </w:rPr>
        <w:t xml:space="preserve">Begg 1982</w:t>
      </w:r>
      <w:r>
        <w:t xml:space="preserve"> </w:t>
      </w:r>
      <w:r>
        <w:t xml:space="preserve">Begg, E., Chinwah, P., Webb, C., Day, R. &amp; Wade, D. Enhanced metabolism of mexiletine after phenytoin administration.</w:t>
      </w:r>
      <w:r>
        <w:t xml:space="preserve"> </w:t>
      </w:r>
      <w:r>
        <w:rPr>
          <w:iCs/>
          <w:i/>
        </w:rPr>
        <w:t xml:space="preserve">British Journal of Clinical Pharmacology</w:t>
      </w:r>
      <w:r>
        <w:t xml:space="preserve"> </w:t>
      </w:r>
      <w:r>
        <w:rPr>
          <w:bCs/>
          <w:b/>
        </w:rPr>
        <w:t xml:space="preserve">14</w:t>
      </w:r>
      <w:r>
        <w:t xml:space="preserve">, 219–223 (1982).</w:t>
      </w:r>
    </w:p>
    <w:p>
      <w:pPr>
        <w:pStyle w:val="BodyText"/>
      </w:pPr>
      <w:r>
        <w:rPr>
          <w:bCs/>
          <w:b/>
        </w:rPr>
        <w:t xml:space="preserve">Campbell 1978</w:t>
      </w:r>
      <w:r>
        <w:t xml:space="preserve"> </w:t>
      </w:r>
      <w:r>
        <w:t xml:space="preserve">Campbell NP, Kelly JG, Adgey AA, Shanks RG. Mexiletine in normal volunteers.</w:t>
      </w:r>
      <w:r>
        <w:t xml:space="preserve"> </w:t>
      </w:r>
      <w:r>
        <w:rPr>
          <w:iCs/>
          <w:i/>
        </w:rPr>
        <w:t xml:space="preserve">Br J Clin Pharmacol</w:t>
      </w:r>
      <w:r>
        <w:t xml:space="preserve">. 1978;6(4):372-373.</w:t>
      </w:r>
    </w:p>
    <w:p>
      <w:pPr>
        <w:pStyle w:val="BodyText"/>
      </w:pPr>
      <w:r>
        <w:rPr>
          <w:bCs/>
          <w:b/>
        </w:rPr>
        <w:t xml:space="preserve">DrugBank DB00379</w:t>
      </w:r>
      <w:r>
        <w:t xml:space="preserve"> </w:t>
      </w:r>
      <w:r>
        <w:t xml:space="preserve">(https://www.drugbank.ca/drugs/DB00379)</w:t>
      </w:r>
    </w:p>
    <w:p>
      <w:pPr>
        <w:pStyle w:val="BodyText"/>
      </w:pPr>
      <w:r>
        <w:rPr>
          <w:bCs/>
          <w:b/>
        </w:rPr>
        <w:t xml:space="preserve">Joeres 1987</w:t>
      </w:r>
      <w:r>
        <w:t xml:space="preserve"> </w:t>
      </w:r>
      <w:r>
        <w:t xml:space="preserve">Joeres, R., Klinker, H., Heusler, H., Epping, J., Richter, E. (1987). Influence of mexiletine on caffeine elimination</w:t>
      </w:r>
      <w:r>
        <w:rPr>
          <w:iCs/>
          <w:i/>
        </w:rPr>
        <w:t xml:space="preserve">. Pharmacology &amp; therapeutics</w:t>
      </w:r>
      <w:r>
        <w:t xml:space="preserve">, 33(1), 163-169.</w:t>
      </w:r>
    </w:p>
    <w:p>
      <w:pPr>
        <w:pStyle w:val="BodyText"/>
      </w:pPr>
      <w:r>
        <w:rPr>
          <w:bCs/>
          <w:b/>
        </w:rPr>
        <w:t xml:space="preserve">Kuepfer 2016</w:t>
      </w:r>
      <w:r>
        <w:t xml:space="preserve"> </w:t>
      </w:r>
      <w:r>
        <w:t xml:space="preserve">Kuepfer L, Niederalt C, Wendl T, Schlender JF, Willmann S, Lippert J, Block M, Eissing T, Teutonico D. Applied Concepts in PBPK Modeling: How to Build a PBPK/PD Model.CPT Pharmacometrics Syst Pharmacol. 2016 Oct;5(10):516-531.</w:t>
      </w:r>
    </w:p>
    <w:p>
      <w:pPr>
        <w:pStyle w:val="BodyText"/>
      </w:pPr>
      <w:r>
        <w:rPr>
          <w:bCs/>
          <w:b/>
        </w:rPr>
        <w:t xml:space="preserve">Kusumoto 1998</w:t>
      </w:r>
      <w:r>
        <w:t xml:space="preserve"> </w:t>
      </w:r>
      <w:r>
        <w:t xml:space="preserve">Kusumoto M, Ueno K, Tanaka K, et al. Lack of pharmacokinetic interaction between mexiletine and omeprazole.</w:t>
      </w:r>
      <w:r>
        <w:t xml:space="preserve"> </w:t>
      </w:r>
      <w:r>
        <w:rPr>
          <w:iCs/>
          <w:i/>
        </w:rPr>
        <w:t xml:space="preserve">Ann Pharmacother</w:t>
      </w:r>
      <w:r>
        <w:t xml:space="preserve">. 1998;32(2):182-184.</w:t>
      </w:r>
    </w:p>
    <w:p>
      <w:pPr>
        <w:pStyle w:val="BodyText"/>
      </w:pPr>
      <w:r>
        <w:rPr>
          <w:bCs/>
          <w:b/>
        </w:rPr>
        <w:t xml:space="preserve">Labbé 2000</w:t>
      </w:r>
      <w:r>
        <w:t xml:space="preserve"> </w:t>
      </w:r>
      <w:r>
        <w:t xml:space="preserve">Labbé L, O’Hara G, Lefebvre M, et al. Pharmacokinetic and pharmacodynamic interaction be mexiletine and propafenone in human beings.</w:t>
      </w:r>
      <w:r>
        <w:t xml:space="preserve"> </w:t>
      </w:r>
      <w:r>
        <w:rPr>
          <w:iCs/>
          <w:i/>
        </w:rPr>
        <w:t xml:space="preserve">Clin Pharmacol Ther</w:t>
      </w:r>
      <w:r>
        <w:t xml:space="preserve">. 2000;68(1):44-57.</w:t>
      </w:r>
    </w:p>
    <w:p>
      <w:pPr>
        <w:pStyle w:val="BodyText"/>
      </w:pPr>
      <w:r>
        <w:rPr>
          <w:bCs/>
          <w:b/>
        </w:rPr>
        <w:t xml:space="preserve">Mexiletine, Drugs.com</w:t>
      </w:r>
      <w:r>
        <w:t xml:space="preserve"> </w:t>
      </w:r>
      <w:r>
        <w:t xml:space="preserve">Mexiletine, Drugs.com, Website https://www.drugs.com/pro/mexiletine.html</w:t>
      </w:r>
    </w:p>
    <w:p>
      <w:pPr>
        <w:pStyle w:val="BodyText"/>
      </w:pPr>
      <w:r>
        <w:rPr>
          <w:bCs/>
          <w:b/>
        </w:rPr>
        <w:t xml:space="preserve">Pentikäinen 1984</w:t>
      </w:r>
      <w:r>
        <w:t xml:space="preserve"> </w:t>
      </w:r>
      <w:r>
        <w:t xml:space="preserve">Pentikainen P, Halinen M, Helin M. Pharmacokinetics of intravenous Mexiletine in patients with acute myocardial infarction.</w:t>
      </w:r>
      <w:r>
        <w:t xml:space="preserve"> </w:t>
      </w:r>
      <w:r>
        <w:rPr>
          <w:iCs/>
          <w:i/>
        </w:rPr>
        <w:t xml:space="preserve">J Cardiovasc Pharmacol</w:t>
      </w:r>
      <w:r>
        <w:t xml:space="preserve">. 1984;6:1-6.</w:t>
      </w:r>
    </w:p>
    <w:p>
      <w:pPr>
        <w:pStyle w:val="BodyText"/>
      </w:pPr>
      <w:r>
        <w:rPr>
          <w:bCs/>
          <w:b/>
        </w:rPr>
        <w:t xml:space="preserve">PK-Sim Ontogeny Database Version 7.3</w:t>
      </w:r>
      <w:r>
        <w:t xml:space="preserve"> </w:t>
      </w:r>
      <w:r>
        <w:t xml:space="preserve">(https://github.com/Open-Systems-Pharmacology/OSPSuite.Documentation/blob/38cf71b384cfc25cfa0ce4d2f3addfd32757e13b/PK-Sim%20Ontogeny%20Database%20Version%207.3.pdf)</w:t>
      </w:r>
    </w:p>
    <w:p>
      <w:pPr>
        <w:pStyle w:val="BodyText"/>
      </w:pPr>
      <w:r>
        <w:rPr>
          <w:bCs/>
          <w:b/>
        </w:rPr>
        <w:t xml:space="preserve">Pringle 1986</w:t>
      </w:r>
      <w:r>
        <w:t xml:space="preserve"> </w:t>
      </w:r>
      <w:r>
        <w:t xml:space="preserve">Pringle T, Fox J, McNeill J, et al. Dose independent pharmacokinetics of mexiletine in healthy volunteers.</w:t>
      </w:r>
      <w:r>
        <w:t xml:space="preserve"> </w:t>
      </w:r>
      <w:r>
        <w:rPr>
          <w:iCs/>
          <w:i/>
        </w:rPr>
        <w:t xml:space="preserve">Br J Clin Pharmacol</w:t>
      </w:r>
      <w:r>
        <w:t xml:space="preserve">. 1986;21(3):319-321.</w:t>
      </w:r>
    </w:p>
    <w:p>
      <w:pPr>
        <w:pStyle w:val="BodyText"/>
      </w:pPr>
      <w:r>
        <w:rPr>
          <w:bCs/>
          <w:b/>
        </w:rPr>
        <w:t xml:space="preserve">SmPC Namuscla</w:t>
      </w:r>
      <w:r>
        <w:t xml:space="preserve"> </w:t>
      </w:r>
      <w:r>
        <w:t xml:space="preserve">SmPC Namuscla 167 mg hard capsules, 2019, website https://www.medicines.org.uk/emc/product/9838/smpc</w:t>
      </w:r>
    </w:p>
    <w:p>
      <w:pPr>
        <w:pStyle w:val="BodyText"/>
      </w:pPr>
      <w:r>
        <w:rPr>
          <w:bCs/>
          <w:b/>
        </w:rPr>
        <w:t xml:space="preserve">Begg 1982</w:t>
      </w:r>
      <w:r>
        <w:t xml:space="preserve"> </w:t>
      </w:r>
      <w:r>
        <w:t xml:space="preserve">Webb C, Day R, Chinwah P, Wade D, Begg E. Enhanced metabolism of mexiletine after phenytoin administration.</w:t>
      </w:r>
      <w:r>
        <w:t xml:space="preserve"> </w:t>
      </w:r>
      <w:r>
        <w:rPr>
          <w:iCs/>
          <w:i/>
        </w:rPr>
        <w:t xml:space="preserve">Br J Clin Pharmacol</w:t>
      </w:r>
      <w:r>
        <w:t xml:space="preserve">. 2012;14(2):219-223.</w:t>
      </w:r>
    </w:p>
    <w:p>
      <w:pPr>
        <w:pStyle w:val="BodyText"/>
      </w:pPr>
      <w:r>
        <w:rPr>
          <w:bCs/>
          <w:b/>
        </w:rPr>
        <w:t xml:space="preserve">Wei 1991</w:t>
      </w:r>
      <w:r>
        <w:t xml:space="preserve"> </w:t>
      </w:r>
      <w:r>
        <w:t xml:space="preserve">Wei X, Dai R, Zhai S, Thummel KE, Friedman FK, Vestal RE. Inhibition of human liver cytochrome P-450 1A2 by the class IB antiarrhythmics mexiletine, lidocaine, and tocainide.</w:t>
      </w:r>
      <w:r>
        <w:t xml:space="preserve"> </w:t>
      </w:r>
      <w:r>
        <w:rPr>
          <w:iCs/>
          <w:i/>
        </w:rPr>
        <w:t xml:space="preserve">J Pharmacol Exp Ther</w:t>
      </w:r>
      <w:r>
        <w:t xml:space="preserve">. 1999;289(2):853-858.</w:t>
      </w:r>
    </w:p>
    <w:p>
      <w:pPr>
        <w:pStyle w:val="BodyText"/>
      </w:pPr>
      <w:r>
        <w:rPr>
          <w:bCs/>
          <w:b/>
        </w:rPr>
        <w:t xml:space="preserve">Willmann 2007</w:t>
      </w:r>
      <w:r>
        <w:t xml:space="preserve"> </w:t>
      </w:r>
      <w:r>
        <w:t xml:space="preserve">Willmann S, Höhn K, Edginton A, Sevestre M, Solodenko J, Weiss W, Lippert J, Schmitt W. Development of a physiology-based whole-body population model for assessing the influence of individual variability on the pharmacokinetics of drugs.</w:t>
      </w:r>
      <w:r>
        <w:t xml:space="preserve"> </w:t>
      </w:r>
      <w:r>
        <w:rPr>
          <w:iCs/>
          <w:i/>
        </w:rPr>
        <w:t xml:space="preserve">J Pharmacokinet Pharmacodyn</w:t>
      </w:r>
      <w:r>
        <w:t xml:space="preserve"> </w:t>
      </w:r>
      <w:r>
        <w:t xml:space="preserve">2007, 34(3): 401-431.</w:t>
      </w:r>
    </w:p>
    <w:bookmarkEnd w:id="99"/>
    <w:bookmarkStart w:id="100" w:name="glossary"/>
    <w:p>
      <w:pPr>
        <w:pStyle w:val="Heading1"/>
      </w:pPr>
      <w:r>
        <w:t xml:space="preserve">Glossary</w:t>
      </w:r>
      <w:bookmarkStart w:id="glossary" w:name="glossary"/>
      <w:bookmarkEnd w:id="glossary"/>
    </w:p>
    <w:tbl>
      <w:tblPr>
        <w:tblStyle w:val="Table"/>
        <w:tblW w:type="pct" w:w="5000"/>
        <w:tblLook w:firstRow="1" w:lastRow="0" w:firstColumn="0" w:lastColumn="0" w:noHBand="0" w:noVBand="0" w:val="0020"/>
        <w:jc w:val="start"/>
      </w:tblPr>
      <w:tblGrid>
        <w:gridCol w:w="827"/>
        <w:gridCol w:w="7092"/>
      </w:tblGrid>
      <w:tr>
        <w:trPr>
          <w:tblHeader w:val="true"/>
        </w:trPr>
        <w:tc>
          <w:tcPr/>
          <w:p>
            <w:pPr>
              <w:pStyle w:val="Compact"/>
              <w:jc w:val="left"/>
            </w:pPr>
            <w:r>
              <w:t xml:space="preserve">ADME</w:t>
            </w:r>
          </w:p>
        </w:tc>
        <w:tc>
          <w:tcPr/>
          <w:p>
            <w:pPr>
              <w:pStyle w:val="Compact"/>
              <w:jc w:val="left"/>
            </w:pPr>
            <w:r>
              <w:t xml:space="preserve">Absorption, Distribution, Metabolism, Excretion</w:t>
            </w:r>
          </w:p>
        </w:tc>
      </w:tr>
      <w:tr>
        <w:tc>
          <w:tcPr/>
          <w:p>
            <w:pPr>
              <w:pStyle w:val="Compact"/>
              <w:jc w:val="left"/>
            </w:pPr>
            <w:r>
              <w:t xml:space="preserve">AUC</w:t>
            </w:r>
          </w:p>
        </w:tc>
        <w:tc>
          <w:tcPr/>
          <w:p>
            <w:pPr>
              <w:pStyle w:val="Compact"/>
              <w:jc w:val="left"/>
            </w:pPr>
            <w:r>
              <w:t xml:space="preserve">Area under the plasma concentration versus time curve</w:t>
            </w:r>
          </w:p>
        </w:tc>
      </w:tr>
      <w:tr>
        <w:tc>
          <w:tcPr/>
          <w:p>
            <w:pPr>
              <w:pStyle w:val="Compact"/>
              <w:jc w:val="left"/>
            </w:pPr>
            <w:r>
              <w:t xml:space="preserve">AUCinf</w:t>
            </w:r>
          </w:p>
        </w:tc>
        <w:tc>
          <w:tcPr/>
          <w:p>
            <w:pPr>
              <w:pStyle w:val="Compact"/>
              <w:jc w:val="left"/>
            </w:pPr>
            <w:r>
              <w:t xml:space="preserve">AUC until infinity</w:t>
            </w:r>
          </w:p>
        </w:tc>
      </w:tr>
      <w:tr>
        <w:tc>
          <w:tcPr/>
          <w:p>
            <w:pPr>
              <w:pStyle w:val="Compact"/>
              <w:jc w:val="left"/>
            </w:pPr>
            <w:r>
              <w:t xml:space="preserve">AUClast</w:t>
            </w:r>
          </w:p>
        </w:tc>
        <w:tc>
          <w:tcPr/>
          <w:p>
            <w:pPr>
              <w:pStyle w:val="Compact"/>
              <w:jc w:val="left"/>
            </w:pPr>
            <w:r>
              <w:t xml:space="preserve">AUC until last measurable sample</w:t>
            </w:r>
          </w:p>
        </w:tc>
      </w:tr>
      <w:tr>
        <w:tc>
          <w:tcPr/>
          <w:p>
            <w:pPr>
              <w:pStyle w:val="Compact"/>
              <w:jc w:val="left"/>
            </w:pPr>
            <w:r>
              <w:t xml:space="preserve">AUCR</w:t>
            </w:r>
          </w:p>
        </w:tc>
        <w:tc>
          <w:tcPr/>
          <w:p>
            <w:pPr>
              <w:pStyle w:val="Compact"/>
              <w:jc w:val="left"/>
            </w:pPr>
            <w:r>
              <w:t xml:space="preserve">Area under the plasma concentration versus time curve Ratio</w:t>
            </w:r>
          </w:p>
        </w:tc>
      </w:tr>
      <w:tr>
        <w:tc>
          <w:tcPr/>
          <w:p>
            <w:pPr>
              <w:pStyle w:val="Compact"/>
              <w:jc w:val="left"/>
            </w:pPr>
            <w:r>
              <w:t xml:space="preserve">b.i.d.</w:t>
            </w:r>
          </w:p>
        </w:tc>
        <w:tc>
          <w:tcPr/>
          <w:p>
            <w:pPr>
              <w:pStyle w:val="Compact"/>
              <w:jc w:val="left"/>
            </w:pPr>
            <w:r>
              <w:t xml:space="preserve">Twice daily (bis in diem)</w:t>
            </w:r>
          </w:p>
        </w:tc>
      </w:tr>
      <w:tr>
        <w:tc>
          <w:tcPr/>
          <w:p>
            <w:pPr>
              <w:pStyle w:val="Compact"/>
              <w:jc w:val="left"/>
            </w:pPr>
            <w:r>
              <w:t xml:space="preserve">CL</w:t>
            </w:r>
          </w:p>
        </w:tc>
        <w:tc>
          <w:tcPr/>
          <w:p>
            <w:pPr>
              <w:pStyle w:val="Compact"/>
              <w:jc w:val="left"/>
            </w:pPr>
            <w:r>
              <w:t xml:space="preserve">Clearance</w:t>
            </w:r>
          </w:p>
        </w:tc>
      </w:tr>
      <w:tr>
        <w:tc>
          <w:tcPr/>
          <w:p>
            <w:pPr>
              <w:pStyle w:val="Compact"/>
              <w:jc w:val="left"/>
            </w:pPr>
            <w:r>
              <w:t xml:space="preserve">Clint</w:t>
            </w:r>
          </w:p>
        </w:tc>
        <w:tc>
          <w:tcPr/>
          <w:p>
            <w:pPr>
              <w:pStyle w:val="Compact"/>
              <w:jc w:val="left"/>
            </w:pPr>
            <w:r>
              <w:t xml:space="preserve">Intrinsic liver clearance</w:t>
            </w:r>
          </w:p>
        </w:tc>
      </w:tr>
      <w:tr>
        <w:tc>
          <w:tcPr/>
          <w:p>
            <w:pPr>
              <w:pStyle w:val="Compact"/>
              <w:jc w:val="left"/>
            </w:pPr>
            <w:r>
              <w:t xml:space="preserve">Cmax</w:t>
            </w:r>
          </w:p>
        </w:tc>
        <w:tc>
          <w:tcPr/>
          <w:p>
            <w:pPr>
              <w:pStyle w:val="Compact"/>
              <w:jc w:val="left"/>
            </w:pPr>
            <w:r>
              <w:t xml:space="preserve">Maximum concentration</w:t>
            </w:r>
          </w:p>
        </w:tc>
      </w:tr>
      <w:tr>
        <w:tc>
          <w:tcPr/>
          <w:p>
            <w:pPr>
              <w:pStyle w:val="Compact"/>
              <w:jc w:val="left"/>
            </w:pPr>
            <w:r>
              <w:t xml:space="preserve">CmaxR</w:t>
            </w:r>
          </w:p>
        </w:tc>
        <w:tc>
          <w:tcPr/>
          <w:p>
            <w:pPr>
              <w:pStyle w:val="Compact"/>
              <w:jc w:val="left"/>
            </w:pPr>
            <w:r>
              <w:t xml:space="preserve">Maximum concentration Ratio</w:t>
            </w:r>
          </w:p>
        </w:tc>
      </w:tr>
      <w:tr>
        <w:tc>
          <w:tcPr/>
          <w:p>
            <w:pPr>
              <w:pStyle w:val="Compact"/>
              <w:jc w:val="left"/>
            </w:pPr>
            <w:r>
              <w:t xml:space="preserve">CYP</w:t>
            </w:r>
          </w:p>
        </w:tc>
        <w:tc>
          <w:tcPr/>
          <w:p>
            <w:pPr>
              <w:pStyle w:val="Compact"/>
              <w:jc w:val="left"/>
            </w:pPr>
            <w:r>
              <w:t xml:space="preserve">Cytochrome P450 oxidase</w:t>
            </w:r>
          </w:p>
        </w:tc>
      </w:tr>
      <w:tr>
        <w:tc>
          <w:tcPr/>
          <w:p>
            <w:pPr>
              <w:pStyle w:val="Compact"/>
              <w:jc w:val="left"/>
            </w:pPr>
            <w:r>
              <w:t xml:space="preserve">CYP1A2</w:t>
            </w:r>
          </w:p>
        </w:tc>
        <w:tc>
          <w:tcPr/>
          <w:p>
            <w:pPr>
              <w:pStyle w:val="Compact"/>
              <w:jc w:val="left"/>
            </w:pPr>
            <w:r>
              <w:t xml:space="preserve">Cytochrome P450 1A2 oxidase</w:t>
            </w:r>
          </w:p>
        </w:tc>
      </w:tr>
      <w:tr>
        <w:tc>
          <w:tcPr/>
          <w:p>
            <w:pPr>
              <w:pStyle w:val="Compact"/>
              <w:jc w:val="left"/>
            </w:pPr>
            <w:r>
              <w:t xml:space="preserve">CYP2C19</w:t>
            </w:r>
          </w:p>
        </w:tc>
        <w:tc>
          <w:tcPr/>
          <w:p>
            <w:pPr>
              <w:pStyle w:val="Compact"/>
              <w:jc w:val="left"/>
            </w:pPr>
            <w:r>
              <w:t xml:space="preserve">Cytochrome P450 2C19 oxidase</w:t>
            </w:r>
          </w:p>
        </w:tc>
      </w:tr>
      <w:tr>
        <w:tc>
          <w:tcPr/>
          <w:p>
            <w:pPr>
              <w:pStyle w:val="Compact"/>
              <w:jc w:val="left"/>
            </w:pPr>
            <w:r>
              <w:t xml:space="preserve">CYP3A4</w:t>
            </w:r>
          </w:p>
        </w:tc>
        <w:tc>
          <w:tcPr/>
          <w:p>
            <w:pPr>
              <w:pStyle w:val="Compact"/>
              <w:jc w:val="left"/>
            </w:pPr>
            <w:r>
              <w:t xml:space="preserve">Cytochrome P450 3A4 oxidase</w:t>
            </w:r>
          </w:p>
        </w:tc>
      </w:tr>
      <w:tr>
        <w:tc>
          <w:tcPr/>
          <w:p>
            <w:pPr>
              <w:pStyle w:val="Compact"/>
              <w:jc w:val="left"/>
            </w:pPr>
            <w:r>
              <w:t xml:space="preserve">DDI</w:t>
            </w:r>
          </w:p>
        </w:tc>
        <w:tc>
          <w:tcPr/>
          <w:p>
            <w:pPr>
              <w:pStyle w:val="Compact"/>
              <w:jc w:val="left"/>
            </w:pPr>
            <w:r>
              <w:t xml:space="preserve">Drug-drug interaction</w:t>
            </w:r>
          </w:p>
        </w:tc>
      </w:tr>
      <w:tr>
        <w:tc>
          <w:tcPr/>
          <w:p>
            <w:pPr>
              <w:pStyle w:val="Compact"/>
              <w:jc w:val="left"/>
            </w:pPr>
            <w:r>
              <w:t xml:space="preserve">e.c.</w:t>
            </w:r>
          </w:p>
        </w:tc>
        <w:tc>
          <w:tcPr/>
          <w:p>
            <w:pPr>
              <w:pStyle w:val="Compact"/>
              <w:jc w:val="left"/>
            </w:pPr>
            <w:r>
              <w:t xml:space="preserve">Enteric coated</w:t>
            </w:r>
          </w:p>
        </w:tc>
      </w:tr>
      <w:tr>
        <w:tc>
          <w:tcPr/>
          <w:p>
            <w:pPr>
              <w:pStyle w:val="Compact"/>
              <w:jc w:val="left"/>
            </w:pPr>
            <w:r>
              <w:t xml:space="preserve">EE</w:t>
            </w:r>
          </w:p>
        </w:tc>
        <w:tc>
          <w:tcPr/>
          <w:p>
            <w:pPr>
              <w:pStyle w:val="Compact"/>
              <w:jc w:val="left"/>
            </w:pPr>
            <w:r>
              <w:t xml:space="preserve">Ethinylestradiol</w:t>
            </w:r>
          </w:p>
        </w:tc>
      </w:tr>
      <w:tr>
        <w:tc>
          <w:tcPr/>
          <w:p>
            <w:pPr>
              <w:pStyle w:val="Compact"/>
              <w:jc w:val="left"/>
            </w:pPr>
            <w:r>
              <w:t xml:space="preserve">EM</w:t>
            </w:r>
          </w:p>
        </w:tc>
        <w:tc>
          <w:tcPr/>
          <w:p>
            <w:pPr>
              <w:pStyle w:val="Compact"/>
              <w:jc w:val="left"/>
            </w:pPr>
            <w:r>
              <w:t xml:space="preserve">Extensive metabolizers</w:t>
            </w:r>
          </w:p>
        </w:tc>
      </w:tr>
      <w:tr>
        <w:tc>
          <w:tcPr/>
          <w:p>
            <w:pPr>
              <w:pStyle w:val="Compact"/>
              <w:jc w:val="left"/>
            </w:pPr>
            <w:r>
              <w:t xml:space="preserve">fm</w:t>
            </w:r>
          </w:p>
        </w:tc>
        <w:tc>
          <w:tcPr/>
          <w:p>
            <w:pPr>
              <w:pStyle w:val="Compact"/>
              <w:jc w:val="left"/>
            </w:pPr>
            <w:r>
              <w:t xml:space="preserve">Fraction metabolized</w:t>
            </w:r>
          </w:p>
        </w:tc>
      </w:tr>
      <w:tr>
        <w:tc>
          <w:tcPr/>
          <w:p>
            <w:pPr>
              <w:pStyle w:val="Compact"/>
              <w:jc w:val="left"/>
            </w:pPr>
            <w:r>
              <w:t xml:space="preserve">FMO</w:t>
            </w:r>
          </w:p>
        </w:tc>
        <w:tc>
          <w:tcPr/>
          <w:p>
            <w:pPr>
              <w:pStyle w:val="Compact"/>
              <w:jc w:val="left"/>
            </w:pPr>
            <w:r>
              <w:t xml:space="preserve">Flavin-containing monooxygenase</w:t>
            </w:r>
          </w:p>
        </w:tc>
      </w:tr>
      <w:tr>
        <w:tc>
          <w:tcPr/>
          <w:p>
            <w:pPr>
              <w:pStyle w:val="Compact"/>
              <w:jc w:val="left"/>
            </w:pPr>
            <w:r>
              <w:t xml:space="preserve">fu</w:t>
            </w:r>
          </w:p>
        </w:tc>
        <w:tc>
          <w:tcPr/>
          <w:p>
            <w:pPr>
              <w:pStyle w:val="Compact"/>
              <w:jc w:val="left"/>
            </w:pPr>
            <w:r>
              <w:t xml:space="preserve">Fraction unbound</w:t>
            </w:r>
          </w:p>
        </w:tc>
      </w:tr>
      <w:tr>
        <w:tc>
          <w:tcPr/>
          <w:p>
            <w:pPr>
              <w:pStyle w:val="Compact"/>
              <w:jc w:val="left"/>
            </w:pPr>
            <w:r>
              <w:t xml:space="preserve">FDA</w:t>
            </w:r>
          </w:p>
        </w:tc>
        <w:tc>
          <w:tcPr/>
          <w:p>
            <w:pPr>
              <w:pStyle w:val="Compact"/>
              <w:jc w:val="left"/>
            </w:pPr>
            <w:r>
              <w:t xml:space="preserve">Food and Drug administration</w:t>
            </w:r>
          </w:p>
        </w:tc>
      </w:tr>
      <w:tr>
        <w:tc>
          <w:tcPr/>
          <w:p>
            <w:pPr>
              <w:pStyle w:val="Compact"/>
              <w:jc w:val="left"/>
            </w:pPr>
            <w:r>
              <w:t xml:space="preserve">GFR</w:t>
            </w:r>
          </w:p>
        </w:tc>
        <w:tc>
          <w:tcPr/>
          <w:p>
            <w:pPr>
              <w:pStyle w:val="Compact"/>
              <w:jc w:val="left"/>
            </w:pPr>
            <w:r>
              <w:t xml:space="preserve">Glomerular filtration rate</w:t>
            </w:r>
          </w:p>
        </w:tc>
      </w:tr>
      <w:tr>
        <w:tc>
          <w:tcPr/>
          <w:p>
            <w:pPr>
              <w:pStyle w:val="Compact"/>
              <w:jc w:val="left"/>
            </w:pPr>
            <w:r>
              <w:t xml:space="preserve">HLM</w:t>
            </w:r>
          </w:p>
        </w:tc>
        <w:tc>
          <w:tcPr/>
          <w:p>
            <w:pPr>
              <w:pStyle w:val="Compact"/>
              <w:jc w:val="left"/>
            </w:pPr>
            <w:r>
              <w:t xml:space="preserve">Human liver microsomes</w:t>
            </w:r>
          </w:p>
        </w:tc>
      </w:tr>
      <w:tr>
        <w:tc>
          <w:tcPr/>
          <w:p>
            <w:pPr>
              <w:pStyle w:val="Compact"/>
              <w:jc w:val="left"/>
            </w:pPr>
            <w:r>
              <w:t xml:space="preserve">hm</w:t>
            </w:r>
          </w:p>
        </w:tc>
        <w:tc>
          <w:tcPr/>
          <w:p>
            <w:pPr>
              <w:pStyle w:val="Compact"/>
              <w:jc w:val="left"/>
            </w:pPr>
            <w:r>
              <w:t xml:space="preserve">homozygous</w:t>
            </w:r>
          </w:p>
        </w:tc>
      </w:tr>
      <w:tr>
        <w:tc>
          <w:tcPr/>
          <w:p>
            <w:pPr>
              <w:pStyle w:val="Compact"/>
              <w:jc w:val="left"/>
            </w:pPr>
            <w:r>
              <w:t xml:space="preserve">ht</w:t>
            </w:r>
          </w:p>
        </w:tc>
        <w:tc>
          <w:tcPr/>
          <w:p>
            <w:pPr>
              <w:pStyle w:val="Compact"/>
              <w:jc w:val="left"/>
            </w:pPr>
            <w:r>
              <w:t xml:space="preserve">heterozygous</w:t>
            </w:r>
          </w:p>
        </w:tc>
      </w:tr>
      <w:tr>
        <w:tc>
          <w:tcPr/>
          <w:p>
            <w:pPr>
              <w:pStyle w:val="Compact"/>
              <w:jc w:val="left"/>
            </w:pPr>
            <w:r>
              <w:t xml:space="preserve">IM</w:t>
            </w:r>
          </w:p>
        </w:tc>
        <w:tc>
          <w:tcPr/>
          <w:p>
            <w:pPr>
              <w:pStyle w:val="Compact"/>
              <w:jc w:val="left"/>
            </w:pPr>
            <w:r>
              <w:t xml:space="preserve">Intermediate metabolizers</w:t>
            </w:r>
          </w:p>
        </w:tc>
      </w:tr>
      <w:tr>
        <w:tc>
          <w:tcPr/>
          <w:p>
            <w:pPr>
              <w:pStyle w:val="Compact"/>
              <w:jc w:val="left"/>
            </w:pPr>
            <w:r>
              <w:t xml:space="preserve">i.v.</w:t>
            </w:r>
          </w:p>
        </w:tc>
        <w:tc>
          <w:tcPr/>
          <w:p>
            <w:pPr>
              <w:pStyle w:val="Compact"/>
              <w:jc w:val="left"/>
            </w:pPr>
            <w:r>
              <w:t xml:space="preserve">Intravenous</w:t>
            </w:r>
          </w:p>
        </w:tc>
      </w:tr>
      <w:tr>
        <w:tc>
          <w:tcPr/>
          <w:p>
            <w:pPr>
              <w:pStyle w:val="Compact"/>
              <w:jc w:val="left"/>
            </w:pPr>
            <w:r>
              <w:t xml:space="preserve">IVIVE</w:t>
            </w:r>
          </w:p>
        </w:tc>
        <w:tc>
          <w:tcPr/>
          <w:p>
            <w:pPr>
              <w:pStyle w:val="Compact"/>
              <w:jc w:val="left"/>
            </w:pPr>
            <w:r>
              <w:t xml:space="preserve">In Vitro to In Vivo Extrapolation</w:t>
            </w:r>
          </w:p>
        </w:tc>
      </w:tr>
      <w:tr>
        <w:tc>
          <w:tcPr/>
          <w:p>
            <w:pPr>
              <w:pStyle w:val="Compact"/>
              <w:jc w:val="left"/>
            </w:pPr>
            <w:r>
              <w:t xml:space="preserve">Ka</w:t>
            </w:r>
          </w:p>
        </w:tc>
        <w:tc>
          <w:tcPr/>
          <w:p>
            <w:pPr>
              <w:pStyle w:val="Compact"/>
              <w:jc w:val="left"/>
            </w:pPr>
            <w:r>
              <w:t xml:space="preserve">Absorption rate constant</w:t>
            </w:r>
          </w:p>
        </w:tc>
      </w:tr>
      <w:tr>
        <w:tc>
          <w:tcPr/>
          <w:p>
            <w:pPr>
              <w:pStyle w:val="Compact"/>
              <w:jc w:val="left"/>
            </w:pPr>
            <w:r>
              <w:t xml:space="preserve">kcat</w:t>
            </w:r>
          </w:p>
        </w:tc>
        <w:tc>
          <w:tcPr/>
          <w:p>
            <w:pPr>
              <w:pStyle w:val="Compact"/>
              <w:jc w:val="left"/>
            </w:pPr>
            <w:r>
              <w:t xml:space="preserve">Catalyst rate constant</w:t>
            </w:r>
          </w:p>
        </w:tc>
      </w:tr>
      <w:tr>
        <w:tc>
          <w:tcPr/>
          <w:p>
            <w:pPr>
              <w:pStyle w:val="Compact"/>
              <w:jc w:val="left"/>
            </w:pPr>
            <w:r>
              <w:t xml:space="preserve">Ki</w:t>
            </w:r>
          </w:p>
        </w:tc>
        <w:tc>
          <w:tcPr/>
          <w:p>
            <w:pPr>
              <w:pStyle w:val="Compact"/>
              <w:jc w:val="left"/>
            </w:pPr>
            <w:r>
              <w:t xml:space="preserve">Inhibitor constant</w:t>
            </w:r>
          </w:p>
        </w:tc>
      </w:tr>
      <w:tr>
        <w:tc>
          <w:tcPr/>
          <w:p>
            <w:pPr>
              <w:pStyle w:val="Compact"/>
              <w:jc w:val="left"/>
            </w:pPr>
            <w:r>
              <w:t xml:space="preserve">Kinact</w:t>
            </w:r>
          </w:p>
        </w:tc>
        <w:tc>
          <w:tcPr/>
          <w:p>
            <w:pPr>
              <w:pStyle w:val="Compact"/>
              <w:jc w:val="left"/>
            </w:pPr>
            <w:r>
              <w:t xml:space="preserve">Rate of enzyme inactivation</w:t>
            </w:r>
          </w:p>
        </w:tc>
      </w:tr>
      <w:tr>
        <w:tc>
          <w:tcPr/>
          <w:p>
            <w:pPr>
              <w:pStyle w:val="Compact"/>
              <w:jc w:val="left"/>
            </w:pPr>
            <w:r>
              <w:t xml:space="preserve">Km</w:t>
            </w:r>
          </w:p>
        </w:tc>
        <w:tc>
          <w:tcPr/>
          <w:p>
            <w:pPr>
              <w:pStyle w:val="Compact"/>
              <w:jc w:val="left"/>
            </w:pPr>
            <w:r>
              <w:t xml:space="preserve">Michaelis Menten constant</w:t>
            </w:r>
          </w:p>
        </w:tc>
      </w:tr>
      <w:tr>
        <w:tc>
          <w:tcPr/>
          <w:p>
            <w:pPr>
              <w:pStyle w:val="Compact"/>
              <w:jc w:val="left"/>
            </w:pPr>
            <w:r>
              <w:t xml:space="preserve">m.d.</w:t>
            </w:r>
          </w:p>
        </w:tc>
        <w:tc>
          <w:tcPr/>
          <w:p>
            <w:pPr>
              <w:pStyle w:val="Compact"/>
              <w:jc w:val="left"/>
            </w:pPr>
            <w:r>
              <w:t xml:space="preserve">Multiple dose</w:t>
            </w:r>
          </w:p>
        </w:tc>
      </w:tr>
      <w:tr>
        <w:tc>
          <w:tcPr/>
          <w:p>
            <w:pPr>
              <w:pStyle w:val="Compact"/>
              <w:jc w:val="left"/>
            </w:pPr>
            <w:r>
              <w:t xml:space="preserve">OSP</w:t>
            </w:r>
          </w:p>
        </w:tc>
        <w:tc>
          <w:tcPr/>
          <w:p>
            <w:pPr>
              <w:pStyle w:val="Compact"/>
              <w:jc w:val="left"/>
            </w:pPr>
            <w:r>
              <w:t xml:space="preserve">Open Systems Pharmacology</w:t>
            </w:r>
          </w:p>
        </w:tc>
      </w:tr>
      <w:tr>
        <w:tc>
          <w:tcPr/>
          <w:p>
            <w:pPr>
              <w:pStyle w:val="Compact"/>
              <w:jc w:val="left"/>
            </w:pPr>
            <w:r>
              <w:t xml:space="preserve">PBPK</w:t>
            </w:r>
          </w:p>
        </w:tc>
        <w:tc>
          <w:tcPr/>
          <w:p>
            <w:pPr>
              <w:pStyle w:val="Compact"/>
              <w:jc w:val="left"/>
            </w:pPr>
            <w:r>
              <w:t xml:space="preserve">Physiologically-based pharmacokinetics</w:t>
            </w:r>
          </w:p>
        </w:tc>
      </w:tr>
      <w:tr>
        <w:tc>
          <w:tcPr/>
          <w:p>
            <w:pPr>
              <w:pStyle w:val="Compact"/>
              <w:jc w:val="left"/>
            </w:pPr>
            <w:r>
              <w:t xml:space="preserve">PK</w:t>
            </w:r>
          </w:p>
        </w:tc>
        <w:tc>
          <w:tcPr/>
          <w:p>
            <w:pPr>
              <w:pStyle w:val="Compact"/>
              <w:jc w:val="left"/>
            </w:pPr>
            <w:r>
              <w:t xml:space="preserve">Pharmacokinetics</w:t>
            </w:r>
          </w:p>
        </w:tc>
      </w:tr>
      <w:tr>
        <w:tc>
          <w:tcPr/>
          <w:p>
            <w:pPr>
              <w:pStyle w:val="Compact"/>
              <w:jc w:val="left"/>
            </w:pPr>
            <w:r>
              <w:t xml:space="preserve">PI</w:t>
            </w:r>
          </w:p>
        </w:tc>
        <w:tc>
          <w:tcPr/>
          <w:p>
            <w:pPr>
              <w:pStyle w:val="Compact"/>
              <w:jc w:val="left"/>
            </w:pPr>
            <w:r>
              <w:t xml:space="preserve">Parameter identification</w:t>
            </w:r>
          </w:p>
        </w:tc>
      </w:tr>
      <w:tr>
        <w:tc>
          <w:tcPr/>
          <w:p>
            <w:pPr>
              <w:pStyle w:val="Compact"/>
              <w:jc w:val="left"/>
            </w:pPr>
            <w:r>
              <w:t xml:space="preserve">PM</w:t>
            </w:r>
          </w:p>
        </w:tc>
        <w:tc>
          <w:tcPr/>
          <w:p>
            <w:pPr>
              <w:pStyle w:val="Compact"/>
              <w:jc w:val="left"/>
            </w:pPr>
            <w:r>
              <w:t xml:space="preserve">Poor metabolizers</w:t>
            </w:r>
          </w:p>
        </w:tc>
      </w:tr>
      <w:tr>
        <w:tc>
          <w:tcPr/>
          <w:p>
            <w:pPr>
              <w:pStyle w:val="Compact"/>
              <w:jc w:val="left"/>
            </w:pPr>
            <w:r>
              <w:t xml:space="preserve">RT-PCR</w:t>
            </w:r>
          </w:p>
        </w:tc>
        <w:tc>
          <w:tcPr/>
          <w:p>
            <w:pPr>
              <w:pStyle w:val="Compact"/>
              <w:jc w:val="left"/>
            </w:pPr>
            <w:r>
              <w:t xml:space="preserve">Reverse transcription polymerase chain reaction</w:t>
            </w:r>
          </w:p>
        </w:tc>
      </w:tr>
      <w:tr>
        <w:tc>
          <w:tcPr/>
          <w:p>
            <w:pPr>
              <w:pStyle w:val="Compact"/>
              <w:jc w:val="left"/>
            </w:pPr>
            <w:r>
              <w:t xml:space="preserve">p.o.</w:t>
            </w:r>
          </w:p>
        </w:tc>
        <w:tc>
          <w:tcPr/>
          <w:p>
            <w:pPr>
              <w:pStyle w:val="Compact"/>
              <w:jc w:val="left"/>
            </w:pPr>
            <w:r>
              <w:t xml:space="preserve">Per os</w:t>
            </w:r>
          </w:p>
        </w:tc>
      </w:tr>
      <w:tr>
        <w:tc>
          <w:tcPr/>
          <w:p>
            <w:pPr>
              <w:pStyle w:val="Compact"/>
              <w:jc w:val="left"/>
            </w:pPr>
            <w:r>
              <w:t xml:space="preserve">q.d.</w:t>
            </w:r>
          </w:p>
        </w:tc>
        <w:tc>
          <w:tcPr/>
          <w:p>
            <w:pPr>
              <w:pStyle w:val="Compact"/>
              <w:jc w:val="left"/>
            </w:pPr>
            <w:r>
              <w:t xml:space="preserve">Once daily (quaque diem)</w:t>
            </w:r>
          </w:p>
        </w:tc>
      </w:tr>
      <w:tr>
        <w:tc>
          <w:tcPr/>
          <w:p>
            <w:pPr>
              <w:pStyle w:val="Compact"/>
              <w:jc w:val="left"/>
            </w:pPr>
            <w:r>
              <w:t xml:space="preserve">SD</w:t>
            </w:r>
          </w:p>
        </w:tc>
        <w:tc>
          <w:tcPr/>
          <w:p>
            <w:pPr>
              <w:pStyle w:val="Compact"/>
              <w:jc w:val="left"/>
            </w:pPr>
            <w:r>
              <w:t xml:space="preserve">Single Dose</w:t>
            </w:r>
          </w:p>
        </w:tc>
      </w:tr>
      <w:tr>
        <w:tc>
          <w:tcPr/>
          <w:p>
            <w:pPr>
              <w:pStyle w:val="Compact"/>
              <w:jc w:val="left"/>
            </w:pPr>
            <w:r>
              <w:t xml:space="preserve">SE</w:t>
            </w:r>
          </w:p>
        </w:tc>
        <w:tc>
          <w:tcPr/>
          <w:p>
            <w:pPr>
              <w:pStyle w:val="Compact"/>
              <w:jc w:val="left"/>
            </w:pPr>
            <w:r>
              <w:t xml:space="preserve">Standard error</w:t>
            </w:r>
          </w:p>
        </w:tc>
      </w:tr>
      <w:tr>
        <w:tc>
          <w:tcPr/>
          <w:p>
            <w:pPr>
              <w:pStyle w:val="Compact"/>
              <w:jc w:val="left"/>
            </w:pPr>
            <w:r>
              <w:t xml:space="preserve">s.d.SPC</w:t>
            </w:r>
          </w:p>
        </w:tc>
        <w:tc>
          <w:tcPr/>
          <w:p>
            <w:pPr>
              <w:pStyle w:val="Compact"/>
              <w:jc w:val="left"/>
            </w:pPr>
            <w:r>
              <w:t xml:space="preserve">Single dose Summary of Product Characteristics</w:t>
            </w:r>
          </w:p>
        </w:tc>
      </w:tr>
      <w:tr>
        <w:tc>
          <w:tcPr/>
          <w:p>
            <w:pPr>
              <w:pStyle w:val="Compact"/>
              <w:jc w:val="left"/>
            </w:pPr>
            <w:r>
              <w:t xml:space="preserve">SD</w:t>
            </w:r>
          </w:p>
        </w:tc>
        <w:tc>
          <w:tcPr/>
          <w:p>
            <w:pPr>
              <w:pStyle w:val="Compact"/>
              <w:jc w:val="left"/>
            </w:pPr>
            <w:r>
              <w:t xml:space="preserve">Standard deviation</w:t>
            </w:r>
          </w:p>
        </w:tc>
      </w:tr>
      <w:tr>
        <w:tc>
          <w:tcPr/>
          <w:p>
            <w:pPr>
              <w:pStyle w:val="Compact"/>
              <w:jc w:val="left"/>
            </w:pPr>
            <w:r>
              <w:t xml:space="preserve">TDI</w:t>
            </w:r>
          </w:p>
        </w:tc>
        <w:tc>
          <w:tcPr/>
          <w:p>
            <w:pPr>
              <w:pStyle w:val="Compact"/>
              <w:jc w:val="left"/>
            </w:pPr>
            <w:r>
              <w:t xml:space="preserve">Time dependent inhibition</w:t>
            </w:r>
          </w:p>
        </w:tc>
      </w:tr>
      <w:tr>
        <w:tc>
          <w:tcPr/>
          <w:p>
            <w:pPr>
              <w:pStyle w:val="Compact"/>
              <w:jc w:val="left"/>
            </w:pPr>
            <w:r>
              <w:t xml:space="preserve">t.i.d</w:t>
            </w:r>
          </w:p>
        </w:tc>
        <w:tc>
          <w:tcPr/>
          <w:p>
            <w:pPr>
              <w:pStyle w:val="Compact"/>
              <w:jc w:val="left"/>
            </w:pPr>
            <w:r>
              <w:t xml:space="preserve">Three times a day (ter in die)</w:t>
            </w:r>
          </w:p>
        </w:tc>
      </w:tr>
      <w:tr>
        <w:tc>
          <w:tcPr/>
          <w:p>
            <w:pPr>
              <w:pStyle w:val="Compact"/>
              <w:jc w:val="left"/>
            </w:pPr>
            <w:r>
              <w:t xml:space="preserve">UGT</w:t>
            </w:r>
          </w:p>
        </w:tc>
        <w:tc>
          <w:tcPr/>
          <w:p>
            <w:pPr>
              <w:pStyle w:val="Compact"/>
              <w:jc w:val="left"/>
            </w:pPr>
            <w:r>
              <w:t xml:space="preserve">Uridine 5’-diphospho-glucuronosyltransferase</w:t>
            </w:r>
          </w:p>
        </w:tc>
      </w:tr>
      <w:tr>
        <w:tc>
          <w:tcPr/>
          <w:p>
            <w:pPr>
              <w:pStyle w:val="Compact"/>
              <w:jc w:val="left"/>
            </w:pPr>
            <w:r>
              <w:t xml:space="preserve">UM</w:t>
            </w:r>
          </w:p>
        </w:tc>
        <w:tc>
          <w:tcPr/>
          <w:p>
            <w:pPr>
              <w:pStyle w:val="Compact"/>
              <w:jc w:val="left"/>
            </w:pPr>
            <w:r>
              <w:t xml:space="preserve">Ultra-rapid metabolizers</w:t>
            </w:r>
          </w:p>
        </w:tc>
      </w:tr>
    </w:tbl>
    <w:bookmarkEnd w:id="100"/>
    <w:sectPr w:rsidR="00B470D9">
      <w:headerReference r:id="rId9" w:type="default"/>
      <w:footerReference r:id="rId10" w:type="default"/>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2D2BCA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AD6823F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FD14951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28122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966F83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746C57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1D6116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46DCFC3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8EB43C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3B06E4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E7ACBA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E6E7027"/>
    <w:multiLevelType w:val="multilevel"/>
    <w:tmpl w:val="CFB603AE"/>
    <w:styleLink w:val="REVersuch2"/>
    <w:lvl w:ilvl="0">
      <w:start w:val="1"/>
      <w:numFmt w:val="decimal"/>
      <w:lvlText w:val="%1"/>
      <w:lvlJc w:val="left"/>
      <w:pPr>
        <w:ind w:hanging="360" w:left="360"/>
      </w:pPr>
      <w:rPr>
        <w:rFonts w:hint="default"/>
      </w:rPr>
    </w:lvl>
    <w:lvl w:ilvl="1">
      <w:start w:val="1"/>
      <w:numFmt w:val="decimal"/>
      <w:lvlText w:val="%1.%2"/>
      <w:lvlJc w:val="left"/>
      <w:pPr>
        <w:ind w:hanging="360" w:left="720"/>
      </w:pPr>
      <w:rPr>
        <w:rFonts w:hint="default"/>
      </w:rPr>
    </w:lvl>
    <w:lvl w:ilvl="2">
      <w:start w:val="1"/>
      <w:numFmt w:val="decimal"/>
      <w:lvlText w:val="%1.%2.%3"/>
      <w:lvlJc w:val="left"/>
      <w:pPr>
        <w:ind w:hanging="360" w:left="1080"/>
      </w:pPr>
      <w:rPr>
        <w:rFonts w:hint="default"/>
      </w:rPr>
    </w:lvl>
    <w:lvl w:ilvl="3">
      <w:start w:val="1"/>
      <w:numFmt w:val="decimal"/>
      <w:lvlText w:val="%1.%2.%3.%4"/>
      <w:lvlJc w:val="left"/>
      <w:pPr>
        <w:ind w:hanging="360" w:left="1440"/>
      </w:pPr>
      <w:rPr>
        <w:rFonts w:hint="default"/>
      </w:rPr>
    </w:lvl>
    <w:lvl w:ilvl="4">
      <w:start w:val="1"/>
      <w:numFmt w:val="decimal"/>
      <w:lvlText w:val="%1.%2.%3.%4.%5"/>
      <w:lvlJc w:val="left"/>
      <w:pPr>
        <w:ind w:hanging="360" w:left="1800"/>
      </w:pPr>
      <w:rPr>
        <w:rFonts w:hint="default"/>
      </w:rPr>
    </w:lvl>
    <w:lvl w:ilvl="5">
      <w:start w:val="1"/>
      <w:numFmt w:val="decimal"/>
      <w:lvlText w:val="%1.%2.%3.%4.%5.%6"/>
      <w:lvlJc w:val="left"/>
      <w:pPr>
        <w:ind w:hanging="360" w:left="2160"/>
      </w:pPr>
      <w:rPr>
        <w:rFonts w:hint="default"/>
      </w:rPr>
    </w:lvl>
    <w:lvl w:ilvl="6">
      <w:start w:val="1"/>
      <w:numFmt w:val="decimal"/>
      <w:lvlText w:val="%1.%2.%3.%4.%5.%6.%7"/>
      <w:lvlJc w:val="left"/>
      <w:pPr>
        <w:ind w:hanging="360" w:left="2520"/>
      </w:pPr>
      <w:rPr>
        <w:rFonts w:hint="default"/>
      </w:rPr>
    </w:lvl>
    <w:lvl w:ilvl="7">
      <w:start w:val="1"/>
      <w:numFmt w:val="decimal"/>
      <w:lvlText w:val="%1.%2.%3.%4.%5.%6.%7.%8"/>
      <w:lvlJc w:val="left"/>
      <w:pPr>
        <w:ind w:hanging="360" w:left="2880"/>
      </w:pPr>
      <w:rPr>
        <w:rFonts w:hint="default"/>
      </w:rPr>
    </w:lvl>
    <w:lvl w:ilvl="8">
      <w:start w:val="1"/>
      <w:numFmt w:val="decimal"/>
      <w:lvlText w:val="%1.%2.%3.%4.%5.%6.%7.%8.%9"/>
      <w:lvlJc w:val="left"/>
      <w:pPr>
        <w:ind w:hanging="360" w:left="3240"/>
      </w:pPr>
      <w:rPr>
        <w:rFonts w:hint="default"/>
      </w:rPr>
    </w:lvl>
  </w:abstractNum>
  <w:abstractNum w15:restartNumberingAfterBreak="0" w:abstractNumId="12">
    <w:nsid w:val="2F4367A2"/>
    <w:multiLevelType w:val="hybridMultilevel"/>
    <w:tmpl w:val="0E94A3F2"/>
    <w:lvl w:ilvl="0" w:tplc="6FFEDB94">
      <w:start w:val="1"/>
      <w:numFmt w:val="decimal"/>
      <w:lvlText w:val="Figur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3">
    <w:nsid w:val="439D272C"/>
    <w:multiLevelType w:val="multilevel"/>
    <w:tmpl w:val="5E8A4980"/>
    <w:lvl w:ilvl="0">
      <w:start w:val="1"/>
      <w:numFmt w:val="decimal"/>
      <w:pStyle w:val="Heading1"/>
      <w:lvlText w:val="%1"/>
      <w:lvlJc w:val="left"/>
      <w:pPr>
        <w:ind w:hanging="1134" w:left="1134"/>
      </w:pPr>
      <w:rPr>
        <w:rFonts w:hint="default"/>
      </w:rPr>
    </w:lvl>
    <w:lvl w:ilvl="1">
      <w:start w:val="1"/>
      <w:numFmt w:val="decimal"/>
      <w:pStyle w:val="Heading2"/>
      <w:lvlText w:val="%1.%2"/>
      <w:lvlJc w:val="left"/>
      <w:pPr>
        <w:ind w:hanging="1134" w:left="1134"/>
      </w:pPr>
      <w:rPr>
        <w:rFonts w:hint="default"/>
      </w:rPr>
    </w:lvl>
    <w:lvl w:ilvl="2">
      <w:start w:val="1"/>
      <w:numFmt w:val="decimal"/>
      <w:pStyle w:val="Heading3"/>
      <w:lvlText w:val="%1.%2.%3"/>
      <w:lvlJc w:val="left"/>
      <w:pPr>
        <w:ind w:hanging="1134" w:left="1134"/>
      </w:pPr>
      <w:rPr>
        <w:rFonts w:hint="default"/>
      </w:rPr>
    </w:lvl>
    <w:lvl w:ilvl="3">
      <w:start w:val="1"/>
      <w:numFmt w:val="decimal"/>
      <w:pStyle w:val="Heading4"/>
      <w:lvlText w:val="%1.%2.%3.%4"/>
      <w:lvlJc w:val="left"/>
      <w:pPr>
        <w:ind w:hanging="1134" w:left="1134"/>
      </w:pPr>
      <w:rPr>
        <w:rFonts w:hint="default"/>
      </w:rPr>
    </w:lvl>
    <w:lvl w:ilvl="4">
      <w:start w:val="1"/>
      <w:numFmt w:val="decimal"/>
      <w:pStyle w:val="Heading5"/>
      <w:lvlText w:val="%1.%2.%3.%4.%5"/>
      <w:lvlJc w:val="left"/>
      <w:pPr>
        <w:ind w:hanging="1134" w:left="1134"/>
      </w:pPr>
      <w:rPr>
        <w:rFonts w:hint="default"/>
      </w:rPr>
    </w:lvl>
    <w:lvl w:ilvl="5">
      <w:start w:val="1"/>
      <w:numFmt w:val="decimal"/>
      <w:pStyle w:val="Heading6"/>
      <w:lvlText w:val="%1.%2.%3.%4.%5.%6"/>
      <w:lvlJc w:val="left"/>
      <w:pPr>
        <w:ind w:hanging="1134" w:left="1134"/>
      </w:pPr>
      <w:rPr>
        <w:rFonts w:hint="default"/>
      </w:rPr>
    </w:lvl>
    <w:lvl w:ilvl="6">
      <w:start w:val="1"/>
      <w:numFmt w:val="decimal"/>
      <w:pStyle w:val="Heading7"/>
      <w:lvlText w:val="%1.%2.%3.%4.%5.%6.%7"/>
      <w:lvlJc w:val="left"/>
      <w:pPr>
        <w:ind w:hanging="1134" w:left="1134"/>
      </w:pPr>
      <w:rPr>
        <w:rFonts w:hint="default"/>
      </w:rPr>
    </w:lvl>
    <w:lvl w:ilvl="7">
      <w:start w:val="1"/>
      <w:numFmt w:val="decimal"/>
      <w:pStyle w:val="Heading8"/>
      <w:lvlText w:val="%1.%2.%3.%4.%5.%6.%7.%8"/>
      <w:lvlJc w:val="left"/>
      <w:pPr>
        <w:ind w:hanging="1134" w:left="1134"/>
      </w:pPr>
      <w:rPr>
        <w:rFonts w:hint="default"/>
      </w:rPr>
    </w:lvl>
    <w:lvl w:ilvl="8">
      <w:start w:val="1"/>
      <w:numFmt w:val="decimal"/>
      <w:pStyle w:val="Heading9"/>
      <w:lvlText w:val="%1.%2.%3.%4.%5.%6.%7.%8.%9"/>
      <w:lvlJc w:val="left"/>
      <w:pPr>
        <w:ind w:hanging="1134" w:left="1134"/>
      </w:pPr>
      <w:rPr>
        <w:rFonts w:hint="default"/>
      </w:rPr>
    </w:lvl>
  </w:abstractNum>
  <w:abstractNum w15:restartNumberingAfterBreak="0" w:abstractNumId="14">
    <w:nsid w:val="4E027060"/>
    <w:multiLevelType w:val="hybridMultilevel"/>
    <w:tmpl w:val="BDE6AA42"/>
    <w:lvl w:ilvl="0" w:tplc="9976DFBA">
      <w:start w:val="1"/>
      <w:numFmt w:val="decimal"/>
      <w:lvlText w:val="Table %1: "/>
      <w:lvlJc w:val="left"/>
      <w:pPr>
        <w:ind w:hanging="360" w:left="720"/>
      </w:pPr>
      <w:rPr>
        <w:rFonts w:hint="default"/>
      </w:rPr>
    </w:lvl>
    <w:lvl w:ilvl="1" w:tentative="1" w:tplc="04070019">
      <w:start w:val="1"/>
      <w:numFmt w:val="lowerLetter"/>
      <w:lvlText w:val="%2."/>
      <w:lvlJc w:val="left"/>
      <w:pPr>
        <w:ind w:hanging="360" w:left="1440"/>
      </w:pPr>
    </w:lvl>
    <w:lvl w:ilvl="2" w:tentative="1" w:tplc="0407001B">
      <w:start w:val="1"/>
      <w:numFmt w:val="lowerRoman"/>
      <w:lvlText w:val="%3."/>
      <w:lvlJc w:val="right"/>
      <w:pPr>
        <w:ind w:hanging="180" w:left="2160"/>
      </w:pPr>
    </w:lvl>
    <w:lvl w:ilvl="3" w:tentative="1" w:tplc="0407000F">
      <w:start w:val="1"/>
      <w:numFmt w:val="decimal"/>
      <w:lvlText w:val="%4."/>
      <w:lvlJc w:val="left"/>
      <w:pPr>
        <w:ind w:hanging="360" w:left="2880"/>
      </w:pPr>
    </w:lvl>
    <w:lvl w:ilvl="4" w:tentative="1" w:tplc="04070019">
      <w:start w:val="1"/>
      <w:numFmt w:val="lowerLetter"/>
      <w:lvlText w:val="%5."/>
      <w:lvlJc w:val="left"/>
      <w:pPr>
        <w:ind w:hanging="360" w:left="3600"/>
      </w:pPr>
    </w:lvl>
    <w:lvl w:ilvl="5" w:tentative="1" w:tplc="0407001B">
      <w:start w:val="1"/>
      <w:numFmt w:val="lowerRoman"/>
      <w:lvlText w:val="%6."/>
      <w:lvlJc w:val="right"/>
      <w:pPr>
        <w:ind w:hanging="180" w:left="4320"/>
      </w:pPr>
    </w:lvl>
    <w:lvl w:ilvl="6" w:tentative="1" w:tplc="0407000F">
      <w:start w:val="1"/>
      <w:numFmt w:val="decimal"/>
      <w:lvlText w:val="%7."/>
      <w:lvlJc w:val="left"/>
      <w:pPr>
        <w:ind w:hanging="360" w:left="5040"/>
      </w:pPr>
    </w:lvl>
    <w:lvl w:ilvl="7" w:tentative="1" w:tplc="04070019">
      <w:start w:val="1"/>
      <w:numFmt w:val="lowerLetter"/>
      <w:lvlText w:val="%8."/>
      <w:lvlJc w:val="left"/>
      <w:pPr>
        <w:ind w:hanging="360" w:left="5760"/>
      </w:pPr>
    </w:lvl>
    <w:lvl w:ilvl="8" w:tentative="1" w:tplc="0407001B">
      <w:start w:val="1"/>
      <w:numFmt w:val="lowerRoman"/>
      <w:lvlText w:val="%9."/>
      <w:lvlJc w:val="right"/>
      <w:pPr>
        <w:ind w:hanging="180" w:left="6480"/>
      </w:pPr>
    </w:lvl>
  </w:abstractNum>
  <w:abstractNum w15:restartNumberingAfterBreak="0" w:abstractNumId="15">
    <w:nsid w:val="57675838"/>
    <w:multiLevelType w:val="multilevel"/>
    <w:tmpl w:val="CFB603AE"/>
    <w:numStyleLink w:val="REVersuch2"/>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rsid w:val="00DF4C3C"/>
    <w:pPr>
      <w:keepNext/>
      <w:keepLines/>
      <w:pageBreakBefore/>
      <w:numPr>
        <w:numId w:val="14"/>
      </w:numPr>
      <w:spacing w:after="0" w:before="480"/>
      <w:outlineLvl w:val="0"/>
    </w:pPr>
    <w:rPr>
      <w:rFonts w:ascii="Times New Roman" w:cstheme="majorBidi" w:eastAsiaTheme="majorEastAsia" w:hAnsi="Times New Roman"/>
      <w:b/>
      <w:bCs/>
      <w:sz w:val="28"/>
      <w:szCs w:val="32"/>
    </w:rPr>
  </w:style>
  <w:style w:styleId="Heading2" w:type="paragraph">
    <w:name w:val="heading 2"/>
    <w:basedOn w:val="Normal"/>
    <w:next w:val="BodyText"/>
    <w:uiPriority w:val="9"/>
    <w:unhideWhenUsed/>
    <w:qFormat/>
    <w:rsid w:val="00D500C1"/>
    <w:pPr>
      <w:keepNext/>
      <w:keepLines/>
      <w:numPr>
        <w:ilvl w:val="1"/>
        <w:numId w:val="14"/>
      </w:numPr>
      <w:spacing w:after="0" w:before="200"/>
      <w:outlineLvl w:val="1"/>
    </w:pPr>
    <w:rPr>
      <w:rFonts w:ascii="Times New Roman" w:cstheme="majorBidi" w:eastAsiaTheme="majorEastAsia" w:hAnsi="Times New Roman"/>
      <w:b/>
      <w:bCs/>
      <w:sz w:val="26"/>
      <w:szCs w:val="28"/>
    </w:rPr>
  </w:style>
  <w:style w:styleId="Heading3" w:type="paragraph">
    <w:name w:val="heading 3"/>
    <w:basedOn w:val="Normal"/>
    <w:next w:val="BodyText"/>
    <w:uiPriority w:val="9"/>
    <w:unhideWhenUsed/>
    <w:qFormat/>
    <w:rsid w:val="00D500C1"/>
    <w:pPr>
      <w:keepNext/>
      <w:keepLines/>
      <w:numPr>
        <w:ilvl w:val="2"/>
        <w:numId w:val="14"/>
      </w:numPr>
      <w:spacing w:after="0" w:before="200"/>
      <w:outlineLvl w:val="2"/>
    </w:pPr>
    <w:rPr>
      <w:rFonts w:ascii="Times New Roman" w:cstheme="majorBidi" w:eastAsiaTheme="majorEastAsia" w:hAnsi="Times New Roman"/>
      <w:b/>
      <w:bCs/>
      <w:sz w:val="26"/>
    </w:rPr>
  </w:style>
  <w:style w:styleId="Heading4" w:type="paragraph">
    <w:name w:val="heading 4"/>
    <w:basedOn w:val="Normal"/>
    <w:next w:val="BodyText"/>
    <w:uiPriority w:val="9"/>
    <w:unhideWhenUsed/>
    <w:qFormat/>
    <w:rsid w:val="00D500C1"/>
    <w:pPr>
      <w:keepNext/>
      <w:keepLines/>
      <w:numPr>
        <w:ilvl w:val="3"/>
        <w:numId w:val="14"/>
      </w:numPr>
      <w:spacing w:after="0" w:before="200"/>
      <w:outlineLvl w:val="3"/>
    </w:pPr>
    <w:rPr>
      <w:rFonts w:ascii="Times New Roman" w:cstheme="majorBidi" w:eastAsiaTheme="majorEastAsia" w:hAnsi="Times New Roman"/>
      <w:b/>
      <w:bCs/>
      <w:sz w:val="26"/>
    </w:rPr>
  </w:style>
  <w:style w:styleId="Heading5" w:type="paragraph">
    <w:name w:val="heading 5"/>
    <w:basedOn w:val="Normal"/>
    <w:next w:val="BodyText"/>
    <w:uiPriority w:val="9"/>
    <w:unhideWhenUsed/>
    <w:qFormat/>
    <w:rsid w:val="00D500C1"/>
    <w:pPr>
      <w:keepNext/>
      <w:keepLines/>
      <w:numPr>
        <w:ilvl w:val="4"/>
        <w:numId w:val="14"/>
      </w:numPr>
      <w:spacing w:after="0" w:before="200"/>
      <w:outlineLvl w:val="4"/>
    </w:pPr>
    <w:rPr>
      <w:rFonts w:ascii="Times New Roman" w:cstheme="majorBidi" w:eastAsiaTheme="majorEastAsia" w:hAnsi="Times New Roman"/>
      <w:b/>
      <w:iCs/>
      <w:sz w:val="26"/>
    </w:rPr>
  </w:style>
  <w:style w:styleId="Heading6" w:type="paragraph">
    <w:name w:val="heading 6"/>
    <w:basedOn w:val="Normal"/>
    <w:next w:val="BodyText"/>
    <w:uiPriority w:val="9"/>
    <w:unhideWhenUsed/>
    <w:qFormat/>
    <w:rsid w:val="00D500C1"/>
    <w:pPr>
      <w:keepNext/>
      <w:keepLines/>
      <w:numPr>
        <w:ilvl w:val="5"/>
        <w:numId w:val="14"/>
      </w:numPr>
      <w:spacing w:after="0" w:before="200"/>
      <w:outlineLvl w:val="5"/>
    </w:pPr>
    <w:rPr>
      <w:rFonts w:ascii="Times New Roman" w:cstheme="majorBidi" w:eastAsiaTheme="majorEastAsia" w:hAnsi="Times New Roman"/>
      <w:b/>
      <w:sz w:val="26"/>
    </w:rPr>
  </w:style>
  <w:style w:styleId="Heading7" w:type="paragraph">
    <w:name w:val="heading 7"/>
    <w:basedOn w:val="Normal"/>
    <w:next w:val="BodyText"/>
    <w:uiPriority w:val="9"/>
    <w:unhideWhenUsed/>
    <w:qFormat/>
    <w:rsid w:val="00D500C1"/>
    <w:pPr>
      <w:keepNext/>
      <w:keepLines/>
      <w:numPr>
        <w:ilvl w:val="6"/>
        <w:numId w:val="14"/>
      </w:numPr>
      <w:spacing w:after="0" w:before="200"/>
      <w:outlineLvl w:val="6"/>
    </w:pPr>
    <w:rPr>
      <w:rFonts w:ascii="Times New Roman" w:cstheme="majorBidi" w:eastAsiaTheme="majorEastAsia" w:hAnsi="Times New Roman"/>
      <w:b/>
      <w:sz w:val="26"/>
    </w:rPr>
  </w:style>
  <w:style w:styleId="Heading8" w:type="paragraph">
    <w:name w:val="heading 8"/>
    <w:basedOn w:val="Normal"/>
    <w:next w:val="BodyText"/>
    <w:uiPriority w:val="9"/>
    <w:unhideWhenUsed/>
    <w:qFormat/>
    <w:rsid w:val="00D500C1"/>
    <w:pPr>
      <w:keepNext/>
      <w:keepLines/>
      <w:numPr>
        <w:ilvl w:val="7"/>
        <w:numId w:val="14"/>
      </w:numPr>
      <w:spacing w:after="0" w:before="200"/>
      <w:outlineLvl w:val="7"/>
    </w:pPr>
    <w:rPr>
      <w:rFonts w:ascii="Times New Roman" w:cstheme="majorBidi" w:eastAsiaTheme="majorEastAsia" w:hAnsi="Times New Roman"/>
      <w:b/>
      <w:sz w:val="26"/>
    </w:rPr>
  </w:style>
  <w:style w:styleId="Heading9" w:type="paragraph">
    <w:name w:val="heading 9"/>
    <w:basedOn w:val="Normal"/>
    <w:next w:val="BodyText"/>
    <w:uiPriority w:val="9"/>
    <w:unhideWhenUsed/>
    <w:qFormat/>
    <w:rsid w:val="00D500C1"/>
    <w:pPr>
      <w:keepNext/>
      <w:keepLines/>
      <w:numPr>
        <w:ilvl w:val="8"/>
        <w:numId w:val="14"/>
      </w:numPr>
      <w:spacing w:after="0" w:before="200"/>
      <w:outlineLvl w:val="8"/>
    </w:pPr>
    <w:rPr>
      <w:rFonts w:ascii="Times New Roman" w:cstheme="majorBidi" w:eastAsiaTheme="majorEastAsia" w:hAnsi="Times New Roman"/>
      <w:b/>
      <w:sz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B034F3"/>
    <w:pPr>
      <w:spacing w:after="180" w:before="180" w:line="360" w:lineRule="auto"/>
    </w:pPr>
    <w:rPr>
      <w:rFonts w:ascii="Arial" w:hAnsi="Arial"/>
      <w:sz w:val="20"/>
    </w:rPr>
  </w:style>
  <w:style w:customStyle="1" w:styleId="FirstParagraph" w:type="paragraph">
    <w:name w:val="First Paragraph"/>
    <w:basedOn w:val="BodyText"/>
    <w:next w:val="BodyText"/>
    <w:autoRedefine/>
    <w:qFormat/>
    <w:rsid w:val="008D31A4"/>
  </w:style>
  <w:style w:customStyle="1" w:styleId="Compact" w:type="paragraph">
    <w:name w:val="Compact"/>
    <w:basedOn w:val="BodyText"/>
    <w:autoRedefine/>
    <w:qFormat/>
    <w:rsid w:val="008D31A4"/>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8D31A4"/>
    <w:pPr>
      <w:keepNext/>
      <w:keepLines/>
      <w:jc w:val="center"/>
    </w:pPr>
    <w:rPr>
      <w:rFonts w:ascii="Arial" w:hAnsi="Arial"/>
    </w:rPr>
  </w:style>
  <w:style w:styleId="Date" w:type="paragraph">
    <w:name w:val="Date"/>
    <w:next w:val="BodyText"/>
    <w:autoRedefine/>
    <w:qFormat/>
    <w:rsid w:val="008D31A4"/>
    <w:pPr>
      <w:keepNext/>
      <w:keepLines/>
      <w:jc w:val="center"/>
    </w:pPr>
    <w:rPr>
      <w:rFonts w:ascii="Arial" w:hAnsi="Arial"/>
    </w:rPr>
  </w:style>
  <w:style w:customStyle="1" w:styleId="Abstract" w:type="paragraph">
    <w:name w:val="Abstract"/>
    <w:basedOn w:val="Normal"/>
    <w:next w:val="BodyText"/>
    <w:autoRedefine/>
    <w:qFormat/>
    <w:rsid w:val="008D31A4"/>
    <w:pPr>
      <w:keepNext/>
      <w:keepLines/>
      <w:spacing w:after="300" w:before="300"/>
      <w:jc w:val="both"/>
    </w:pPr>
    <w:rPr>
      <w:rFonts w:ascii="Arial" w:hAnsi="Arial"/>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basedOn w:val="GridTable1Light"/>
    <w:semiHidden/>
    <w:unhideWhenUsed/>
    <w:qFormat/>
    <w:rsid w:val="008F3A26"/>
    <w:rPr>
      <w:rFonts w:ascii="Arial" w:hAnsi="Arial"/>
      <w:sz w:val="20"/>
      <w:szCs w:val="20"/>
      <w:lang w:eastAsia="en-CA" w:val="en-CA"/>
    </w:rPr>
    <w:tblPr/>
    <w:tcPr>
      <w:vAlign w:val="center"/>
    </w:tcPr>
    <w:tblStylePr w:type="firstRow">
      <w:rPr>
        <w:b/>
        <w:bCs/>
      </w:rPr>
      <w:tblPr/>
      <w:tcPr>
        <w:tcBorders>
          <w:bottom w:color="666666" w:space="0" w:sz="12" w:themeColor="text1" w:themeTint="99" w:val="single"/>
        </w:tcBorders>
      </w:tcPr>
    </w:tblStylePr>
    <w:tblStylePr w:type="lastRow">
      <w:rPr>
        <w:b w:val="0"/>
        <w:bCs/>
      </w:rPr>
      <w:tblPr/>
      <w:tcPr>
        <w:tcBorders>
          <w:top w:color="BFBFBF" w:space="0" w:sz="4" w:themeColor="background1" w:themeShade="BF" w:val="single"/>
        </w:tcBorders>
      </w:tcPr>
    </w:tblStylePr>
    <w:tblStylePr w:type="firstCol">
      <w:rPr>
        <w:b/>
        <w:bCs/>
      </w:rPr>
    </w:tblStylePr>
    <w:tblStylePr w:type="lastCol">
      <w:rPr>
        <w:b w:val="0"/>
        <w:bCs/>
      </w:rPr>
    </w:tblStylePr>
    <w:tblStylePr w:type="swCell">
      <w:rPr>
        <w:b/>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CB69FF"/>
    <w:pPr>
      <w:keepNext/>
      <w:spacing w:before="120"/>
    </w:pPr>
    <w:rPr>
      <w:rFonts w:ascii="Arial" w:hAnsi="Arial"/>
      <w:b/>
      <w:i w:val="0"/>
      <w:sz w:val="20"/>
    </w:rPr>
  </w:style>
  <w:style w:customStyle="1" w:styleId="ImageCaption" w:type="paragraph">
    <w:name w:val="Image Caption"/>
    <w:basedOn w:val="Caption"/>
    <w:rsid w:val="00CB69FF"/>
    <w:rPr>
      <w:rFonts w:ascii="Arial" w:hAnsi="Arial"/>
      <w:b/>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styleId="FootnoteReference" w:type="character">
    <w:name w:val="footnote reference"/>
    <w:basedOn w:val="CaptionChar"/>
    <w:rPr>
      <w:vertAlign w:val="superscript"/>
    </w:rPr>
  </w:style>
  <w:style w:styleId="Hyperlink" w:type="character">
    <w:name w:val="Hyperlink"/>
    <w:uiPriority w:val="99"/>
    <w:rsid w:val="007E2361"/>
    <w:rPr>
      <w:color w:val="0000FF"/>
    </w:rPr>
  </w:style>
  <w:style w:styleId="TOCHeading" w:type="paragraph">
    <w:name w:val="TOC Heading"/>
    <w:aliases w:val="RE_TableOfContent"/>
    <w:next w:val="BodyText"/>
    <w:uiPriority w:val="39"/>
    <w:unhideWhenUsed/>
    <w:qFormat/>
    <w:rsid w:val="00D500C1"/>
    <w:pPr>
      <w:spacing w:before="240" w:line="259" w:lineRule="auto"/>
    </w:pPr>
    <w:rPr>
      <w:rFonts w:ascii="Times New Roman" w:cstheme="majorBidi" w:eastAsiaTheme="majorEastAsia" w:hAnsi="Times New Roman"/>
      <w:b/>
      <w:szCs w:val="32"/>
    </w:rPr>
  </w:style>
  <w:style w:styleId="Header" w:type="paragraph">
    <w:name w:val="header"/>
    <w:basedOn w:val="Normal"/>
    <w:link w:val="HeaderChar"/>
    <w:unhideWhenUsed/>
    <w:rsid w:val="00237720"/>
    <w:pPr>
      <w:tabs>
        <w:tab w:pos="4536" w:val="center"/>
        <w:tab w:pos="9072" w:val="right"/>
      </w:tabs>
      <w:spacing w:after="0"/>
    </w:pPr>
  </w:style>
  <w:style w:customStyle="1" w:styleId="HeaderChar" w:type="character">
    <w:name w:val="Header Char"/>
    <w:basedOn w:val="DefaultParagraphFont"/>
    <w:link w:val="Header"/>
    <w:rsid w:val="00237720"/>
  </w:style>
  <w:style w:styleId="Footer" w:type="paragraph">
    <w:name w:val="footer"/>
    <w:basedOn w:val="Normal"/>
    <w:link w:val="FooterChar"/>
    <w:uiPriority w:val="99"/>
    <w:unhideWhenUsed/>
    <w:rsid w:val="00237720"/>
    <w:pPr>
      <w:tabs>
        <w:tab w:pos="4536" w:val="center"/>
        <w:tab w:pos="9072" w:val="right"/>
      </w:tabs>
      <w:spacing w:after="0"/>
    </w:pPr>
  </w:style>
  <w:style w:customStyle="1" w:styleId="FooterChar" w:type="character">
    <w:name w:val="Footer Char"/>
    <w:basedOn w:val="DefaultParagraphFont"/>
    <w:link w:val="Footer"/>
    <w:uiPriority w:val="99"/>
    <w:rsid w:val="00237720"/>
  </w:style>
  <w:style w:customStyle="1" w:styleId="REVersuch2" w:type="numbering">
    <w:name w:val="RE_Versuch_2"/>
    <w:uiPriority w:val="99"/>
    <w:rsid w:val="00F5435A"/>
    <w:pPr>
      <w:numPr>
        <w:numId w:val="12"/>
      </w:numPr>
    </w:pPr>
  </w:style>
  <w:style w:customStyle="1" w:styleId="BodyTextChar" w:type="character">
    <w:name w:val="Body Text Char"/>
    <w:basedOn w:val="DefaultParagraphFont"/>
    <w:link w:val="BodyText"/>
    <w:rsid w:val="00B034F3"/>
    <w:rPr>
      <w:rFonts w:ascii="Arial" w:hAnsi="Arial"/>
      <w:sz w:val="20"/>
    </w:rPr>
  </w:style>
  <w:style w:styleId="TOC2" w:type="paragraph">
    <w:name w:val="toc 2"/>
    <w:basedOn w:val="Normal"/>
    <w:next w:val="Normal"/>
    <w:autoRedefine/>
    <w:uiPriority w:val="39"/>
    <w:unhideWhenUsed/>
    <w:rsid w:val="00F45D3A"/>
    <w:pPr>
      <w:tabs>
        <w:tab w:pos="880" w:val="left"/>
        <w:tab w:leader="dot" w:pos="9396" w:val="right"/>
      </w:tabs>
      <w:spacing w:after="0"/>
      <w:ind w:hanging="624" w:left="624" w:right="284"/>
    </w:pPr>
    <w:rPr>
      <w:rFonts w:ascii="Times New Roman" w:hAnsi="Times New Roman"/>
      <w:color w:val="0000FF"/>
    </w:rPr>
  </w:style>
  <w:style w:styleId="TOC1" w:type="paragraph">
    <w:name w:val="toc 1"/>
    <w:basedOn w:val="Normal"/>
    <w:next w:val="Normal"/>
    <w:autoRedefine/>
    <w:uiPriority w:val="39"/>
    <w:unhideWhenUsed/>
    <w:rsid w:val="00F45D3A"/>
    <w:pPr>
      <w:spacing w:after="0" w:before="120"/>
      <w:ind w:hanging="425" w:left="425" w:right="284"/>
    </w:pPr>
    <w:rPr>
      <w:rFonts w:ascii="Times New Roman" w:hAnsi="Times New Roman"/>
      <w:b/>
      <w:color w:val="0000FF"/>
    </w:rPr>
  </w:style>
  <w:style w:styleId="TOC3" w:type="paragraph">
    <w:name w:val="toc 3"/>
    <w:basedOn w:val="Normal"/>
    <w:next w:val="Normal"/>
    <w:autoRedefine/>
    <w:uiPriority w:val="39"/>
    <w:unhideWhenUsed/>
    <w:rsid w:val="00F45D3A"/>
    <w:pPr>
      <w:tabs>
        <w:tab w:pos="1320" w:val="left"/>
        <w:tab w:leader="dot" w:pos="9396" w:val="right"/>
      </w:tabs>
      <w:spacing w:after="0"/>
      <w:ind w:hanging="822" w:left="822" w:right="284"/>
    </w:pPr>
    <w:rPr>
      <w:rFonts w:ascii="Times New Roman" w:hAnsi="Times New Roman"/>
      <w:color w:val="0000FF"/>
    </w:rPr>
  </w:style>
  <w:style w:styleId="TOC4" w:type="paragraph">
    <w:name w:val="toc 4"/>
    <w:basedOn w:val="Normal"/>
    <w:next w:val="Normal"/>
    <w:autoRedefine/>
    <w:uiPriority w:val="39"/>
    <w:unhideWhenUsed/>
    <w:rsid w:val="00F45D3A"/>
    <w:pPr>
      <w:tabs>
        <w:tab w:pos="1540" w:val="left"/>
        <w:tab w:leader="dot" w:pos="9396" w:val="right"/>
      </w:tabs>
      <w:spacing w:after="0"/>
      <w:ind w:hanging="1021" w:left="1021" w:right="284"/>
    </w:pPr>
    <w:rPr>
      <w:rFonts w:ascii="Times New Roman" w:hAnsi="Times New Roman"/>
      <w:color w:val="0000FF"/>
    </w:rPr>
  </w:style>
  <w:style w:styleId="TOC5" w:type="paragraph">
    <w:name w:val="toc 5"/>
    <w:basedOn w:val="Normal"/>
    <w:next w:val="Normal"/>
    <w:autoRedefine/>
    <w:uiPriority w:val="39"/>
    <w:unhideWhenUsed/>
    <w:rsid w:val="00F45D3A"/>
    <w:pPr>
      <w:tabs>
        <w:tab w:pos="1880" w:val="left"/>
        <w:tab w:leader="dot" w:pos="9396" w:val="right"/>
      </w:tabs>
      <w:spacing w:after="0"/>
      <w:ind w:hanging="1219" w:left="1219" w:right="284"/>
    </w:pPr>
    <w:rPr>
      <w:rFonts w:ascii="Times New Roman" w:hAnsi="Times New Roman"/>
      <w:color w:val="0000FF"/>
    </w:rPr>
  </w:style>
  <w:style w:styleId="Index1" w:type="paragraph">
    <w:name w:val="index 1"/>
    <w:basedOn w:val="Normal"/>
    <w:next w:val="Normal"/>
    <w:autoRedefine/>
    <w:rsid w:val="00830389"/>
    <w:pPr>
      <w:spacing w:after="0"/>
      <w:ind w:hanging="240" w:left="240"/>
    </w:pPr>
  </w:style>
  <w:style w:styleId="TableofFigures" w:type="paragraph">
    <w:name w:val="table of figures"/>
    <w:basedOn w:val="Normal"/>
    <w:next w:val="Normal"/>
    <w:uiPriority w:val="99"/>
    <w:unhideWhenUsed/>
    <w:rsid w:val="00162E8B"/>
    <w:pPr>
      <w:spacing w:after="0"/>
    </w:pPr>
    <w:rPr>
      <w:rFonts w:ascii="Times New Roman" w:hAnsi="Times New Roman"/>
      <w:color w:val="0000FF"/>
    </w:rPr>
  </w:style>
  <w:style w:styleId="GridTable1Light" w:type="table">
    <w:name w:val="Grid Table 1 Light"/>
    <w:basedOn w:val="TableNormal"/>
    <w:rsid w:val="008D31A4"/>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Mexiletine in adults</dc:title>
  <dc:creator/>
  <cp:keywords/>
  <dcterms:created xsi:type="dcterms:W3CDTF">2025-05-12T15:28:24Z</dcterms:created>
  <dcterms:modified xsi:type="dcterms:W3CDTF">2025-05-12T15:28:24Z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Version1.0-OSP12.0based on Model Snapshot and Evaluation Planhttps://github.com/Open-Systems-Pharmacology/Mexiletine-Model/releases/tag/v1.0OSP Version12.0Qualification Framework Version3.3This evaluation report and the corresponding PK-Sim project file are filed at:https://github.com/Open-Systems-Pharmacology/OSP-PBPK-Model-Library/</vt:lpwstr>
  </property>
  <property fmtid="{D5CDD505-2E9C-101B-9397-08002B2CF9AE}" pid="3" name="subtitle">
    <vt:lpwstr/>
  </property>
</Properties>
</file>