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8.png" ContentType="image/png"/>
  <Override PartName="/word/media/rId51.png" ContentType="image/png"/>
  <Override PartName="/word/media/rId82.png" ContentType="image/png"/>
  <Override PartName="/word/media/rId85.png" ContentType="image/png"/>
  <Override PartName="/word/media/rId88.png" ContentType="image/png"/>
  <Override PartName="/word/media/rId91.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Moclobemide</w:t>
      </w:r>
      <w:r>
        <w:t xml:space="preserve"> </w:t>
      </w:r>
      <w:r>
        <w:t xml:space="preserve">in</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https://github.com/Open-Systems-Pharmacology/Moclobemide-Model/releases/tag/v1.0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introduction" w:name="introduction"/>
      <w:bookmarkEnd w:id="introduction"/>
    </w:p>
    <w:p>
      <w:pPr>
        <w:pStyle w:val="FirstParagraph"/>
      </w:pPr>
      <w:r>
        <w:t xml:space="preserve">The presented PBPK model of moclobemide has been developed to be used in a PBPK Drug-Drug-Interactions (DDI) network with moclobemide as a substrate and a moderate inhibitor of CYP2C19.</w:t>
      </w:r>
    </w:p>
    <w:p>
      <w:pPr>
        <w:pStyle w:val="BodyText"/>
      </w:pPr>
      <w:r>
        <w:t xml:space="preserve">Moclobemide is a reversible inhibitor of monoamine oxidase A (RIMA), a drug primarily used to treat depression and social anxiety (</w:t>
      </w:r>
      <w:hyperlink w:anchor="Xa559bd5247f9128e74e6edcc17de37648e8cde6">
        <w:r>
          <w:rPr>
            <w:rStyle w:val="Hyperlink"/>
          </w:rPr>
          <w:t xml:space="preserve">Mayersohn 1995</w:t>
        </w:r>
      </w:hyperlink>
      <w:r>
        <w:t xml:space="preserve">). Moclobemide pharmacokinetics is characterized by non-linearity in dose and time. Cmax concentrations decrease with dose for doses above 100 mg. Furthermore, a saturation in clearance at higher doses (200 mg and up) could be seen, as indicated by a longer terminal phase. In addition, multiple doses administration resulted in higher moclobemide concentrations compared to single dose. This could be indicative of the previously reported auto-inhibitory effect (</w:t>
      </w:r>
      <w:hyperlink w:anchor="Xa559bd5247f9128e74e6edcc17de37648e8cde6">
        <w:r>
          <w:rPr>
            <w:rStyle w:val="Hyperlink"/>
          </w:rPr>
          <w:t xml:space="preserve">Nair 1993</w:t>
        </w:r>
      </w:hyperlink>
      <w:r>
        <w:t xml:space="preserve">).</w:t>
      </w:r>
    </w:p>
    <w:p>
      <w:pPr>
        <w:pStyle w:val="BodyText"/>
      </w:pPr>
      <w:r>
        <w:rPr>
          <w:bCs/>
          <w:b/>
        </w:rPr>
        <w:t xml:space="preserve">Absorption</w:t>
      </w:r>
      <w:r>
        <w:t xml:space="preserve">: Moclobemide is highly soluble, and consequently fast and completely absorbed. Absolute bioavailability has been reported to be dependent on the dose, likely due to saturable (first-pass) metabolism (</w:t>
      </w:r>
      <w:hyperlink w:anchor="Xa559bd5247f9128e74e6edcc17de37648e8cde6">
        <w:r>
          <w:rPr>
            <w:rStyle w:val="Hyperlink"/>
          </w:rPr>
          <w:t xml:space="preserve">Mayersohn 1995</w:t>
        </w:r>
      </w:hyperlink>
      <w:r>
        <w:t xml:space="preserve">).</w:t>
      </w:r>
    </w:p>
    <w:p>
      <w:pPr>
        <w:pStyle w:val="BodyText"/>
      </w:pPr>
      <w:r>
        <w:rPr>
          <w:bCs/>
          <w:b/>
        </w:rPr>
        <w:t xml:space="preserve">Distribution</w:t>
      </w:r>
      <w:r>
        <w:t xml:space="preserve">: Moclobemide is moderately bound to plasma proteins and due to its lipophilicity distributes widely in the body (Vss ~ 1.2 L/kg) (</w:t>
      </w:r>
      <w:hyperlink w:anchor="Xa559bd5247f9128e74e6edcc17de37648e8cde6">
        <w:r>
          <w:rPr>
            <w:rStyle w:val="Hyperlink"/>
          </w:rPr>
          <w:t xml:space="preserve">MHRA Label Moclobemide</w:t>
        </w:r>
      </w:hyperlink>
      <w:r>
        <w:t xml:space="preserve">).</w:t>
      </w:r>
    </w:p>
    <w:p>
      <w:pPr>
        <w:pStyle w:val="BodyText"/>
      </w:pPr>
      <w:r>
        <w:rPr>
          <w:bCs/>
          <w:b/>
        </w:rPr>
        <w:t xml:space="preserve">Metabolism</w:t>
      </w:r>
      <w:r>
        <w:t xml:space="preserve">: About 99% of a dose is metabolized mainly via CYP2C19 (C-oxidation, producing metabolite RO12-8095) and FMO3 (N-oxidation, producing metabolite RO12-5637) (</w:t>
      </w:r>
      <w:hyperlink w:anchor="Xa559bd5247f9128e74e6edcc17de37648e8cde6">
        <w:r>
          <w:rPr>
            <w:rStyle w:val="Hyperlink"/>
          </w:rPr>
          <w:t xml:space="preserve">Gram 1995</w:t>
        </w:r>
      </w:hyperlink>
      <w:r>
        <w:t xml:space="preserve">,</w:t>
      </w:r>
      <w:r>
        <w:t xml:space="preserve"> </w:t>
      </w:r>
      <w:hyperlink w:anchor="Xa559bd5247f9128e74e6edcc17de37648e8cde6">
        <w:r>
          <w:rPr>
            <w:rStyle w:val="Hyperlink"/>
          </w:rPr>
          <w:t xml:space="preserve">Hoskins 2001</w:t>
        </w:r>
      </w:hyperlink>
      <w:r>
        <w:t xml:space="preserve">,</w:t>
      </w:r>
      <w:r>
        <w:t xml:space="preserve"> </w:t>
      </w:r>
      <w:hyperlink w:anchor="Xa559bd5247f9128e74e6edcc17de37648e8cde6">
        <w:r>
          <w:rPr>
            <w:rStyle w:val="Hyperlink"/>
          </w:rPr>
          <w:t xml:space="preserve">Mayersohn 1995</w:t>
        </w:r>
      </w:hyperlink>
      <w:r>
        <w:t xml:space="preserve">).</w:t>
      </w:r>
    </w:p>
    <w:p>
      <w:pPr>
        <w:pStyle w:val="BodyText"/>
      </w:pPr>
      <w:r>
        <w:rPr>
          <w:bCs/>
          <w:b/>
        </w:rPr>
        <w:t xml:space="preserve">Excretion</w:t>
      </w:r>
      <w:r>
        <w:t xml:space="preserve">: Less than 1% of a dose is excreted unchanged via the kidneys.</w:t>
      </w:r>
    </w:p>
    <w:bookmarkEnd w:id="20"/>
    <w:bookmarkStart w:id="30" w:name="methods"/>
    <w:p>
      <w:pPr>
        <w:pStyle w:val="Heading1"/>
      </w:pPr>
      <w:r>
        <w:t xml:space="preserve">Methods</w:t>
      </w:r>
      <w:bookmarkStart w:id="methods" w:name="methods"/>
      <w:bookmarkEnd w:id="methods"/>
    </w:p>
    <w:bookmarkStart w:id="21" w:name="modeling-strategy"/>
    <w:p>
      <w:pPr>
        <w:pStyle w:val="Heading2"/>
      </w:pPr>
      <w:r>
        <w:t xml:space="preserve">Modeling Strategy</w:t>
      </w:r>
      <w:bookmarkStart w:id="modeling-strategy" w:name="modeling-strategy"/>
      <w:bookmarkEnd w:id="modeling-strategy"/>
    </w:p>
    <w:p>
      <w:pPr>
        <w:pStyle w:val="FirstParagraph"/>
      </w:pPr>
      <w:r>
        <w:t xml:space="preserve">The general workflow for building an adult PBPK model has been described by Kuepfer et al. (</w:t>
      </w:r>
      <w:hyperlink w:anchor="Xa559bd5247f9128e74e6edcc17de37648e8cde6">
        <w:r>
          <w:rPr>
            <w:rStyle w:val="Hyperlink"/>
          </w:rPr>
          <w:t xml:space="preserve">Kuepfer 2016</w:t>
        </w:r>
      </w:hyperlink>
      <w:r>
        <w:t xml:space="preserve">). Relevant information on the anthropometry (height, weight) was gathered from the respective clinical study, if reported. Information on physiological parameters (e.g. blood flows, organ volumes, hematocrit) in adults was gathered from the literature and has been incorporated in PK-Sim® as described previously (</w:t>
      </w:r>
      <w:hyperlink w:anchor="Xa559bd5247f9128e74e6edcc17de37648e8cde6">
        <w:r>
          <w:rPr>
            <w:rStyle w:val="Hyperlink"/>
          </w:rPr>
          <w:t xml:space="preserve">Willmann 2007</w:t>
        </w:r>
      </w:hyperlink>
      <w:r>
        <w:t xml:space="preserve">). The applied activity and variability of plasma proteins and active processes that are integrated into PK-Sim® are described in the publicly available</w:t>
      </w:r>
      <w:r>
        <w:t xml:space="preserve"> </w:t>
      </w:r>
      <w:r>
        <w:t xml:space="preserve">‘</w:t>
      </w:r>
      <w:r>
        <w:t xml:space="preserve">PK-Sim® Ontogeny Database Version 7.3</w:t>
      </w:r>
      <w:r>
        <w:t xml:space="preserve">’</w:t>
      </w:r>
      <w:r>
        <w:t xml:space="preserve"> </w:t>
      </w:r>
      <w:r>
        <w:t xml:space="preserve">(</w:t>
      </w:r>
      <w:hyperlink w:anchor="Xa559bd5247f9128e74e6edcc17de37648e8cde6">
        <w:r>
          <w:rPr>
            <w:rStyle w:val="Hyperlink"/>
          </w:rPr>
          <w:t xml:space="preserve">PK-Sim Ontogeny Database Version 7.3</w:t>
        </w:r>
      </w:hyperlink>
      <w:r>
        <w:t xml:space="preserve">).</w:t>
      </w:r>
    </w:p>
    <w:p>
      <w:pPr>
        <w:pStyle w:val="BodyText"/>
      </w:pPr>
      <w:r>
        <w:t xml:space="preserve">In general, the following step-wise workflow was followed:</w:t>
      </w:r>
    </w:p>
    <w:p>
      <w:pPr>
        <w:numPr>
          <w:ilvl w:val="0"/>
          <w:numId w:val="1001"/>
        </w:numPr>
        <w:pStyle w:val="Compact"/>
      </w:pPr>
      <w:r>
        <w:t xml:space="preserve">Fit total hepatic CL as a placeholder using single dose i.v. (50 mg (</w:t>
      </w:r>
      <w:hyperlink w:anchor="Xa559bd5247f9128e74e6edcc17de37648e8cde6">
        <w:r>
          <w:rPr>
            <w:rStyle w:val="Hyperlink"/>
          </w:rPr>
          <w:t xml:space="preserve">Raaflaub 1984</w:t>
        </w:r>
      </w:hyperlink>
      <w:r>
        <w:t xml:space="preserve">) and 150 mg (</w:t>
      </w:r>
      <w:hyperlink w:anchor="Xa559bd5247f9128e74e6edcc17de37648e8cde6">
        <w:r>
          <w:rPr>
            <w:rStyle w:val="Hyperlink"/>
          </w:rPr>
          <w:t xml:space="preserve">Schoerlin 1987</w:t>
        </w:r>
      </w:hyperlink>
      <w:r>
        <w:t xml:space="preserve">)) data with renal clearance fixed to 0.034 ml/min/kg as derived from</w:t>
      </w:r>
      <w:r>
        <w:t xml:space="preserve"> </w:t>
      </w:r>
      <w:hyperlink w:anchor="Xa559bd5247f9128e74e6edcc17de37648e8cde6">
        <w:r>
          <w:rPr>
            <w:rStyle w:val="Hyperlink"/>
          </w:rPr>
          <w:t xml:space="preserve">Schoerlin 1987</w:t>
        </w:r>
      </w:hyperlink>
      <w:r>
        <w:t xml:space="preserve"> </w:t>
      </w:r>
      <w:r>
        <w:t xml:space="preserve">to select the appropriate distribution (i.e. partition coefficient) model.</w:t>
      </w:r>
    </w:p>
    <w:p>
      <w:pPr>
        <w:numPr>
          <w:ilvl w:val="0"/>
          <w:numId w:val="1001"/>
        </w:numPr>
        <w:pStyle w:val="Compact"/>
      </w:pPr>
      <w:r>
        <w:t xml:space="preserve">Estimate the contribution of non-CYP2C19 mediated metabolism using data (p.o.) from CYP2C19 poor metabolizers (PM) (</w:t>
      </w:r>
      <w:hyperlink w:anchor="Xa559bd5247f9128e74e6edcc17de37648e8cde6">
        <w:r>
          <w:rPr>
            <w:rStyle w:val="Hyperlink"/>
          </w:rPr>
          <w:t xml:space="preserve">Yu 2001</w:t>
        </w:r>
      </w:hyperlink>
      <w:r>
        <w:t xml:space="preserve">,</w:t>
      </w:r>
      <w:r>
        <w:t xml:space="preserve"> </w:t>
      </w:r>
      <w:hyperlink w:anchor="Xa559bd5247f9128e74e6edcc17de37648e8cde6">
        <w:r>
          <w:rPr>
            <w:rStyle w:val="Hyperlink"/>
          </w:rPr>
          <w:t xml:space="preserve">Gram 1995</w:t>
        </w:r>
      </w:hyperlink>
      <w:r>
        <w:t xml:space="preserve">). This pathway is assumed to be mainly attributed to FMO (flavin-containing monooxygenase) – however, also other unspecific CL would be captured here. An Asian individual was used for simulations of data reported by</w:t>
      </w:r>
      <w:r>
        <w:t xml:space="preserve"> </w:t>
      </w:r>
      <w:hyperlink w:anchor="Xa559bd5247f9128e74e6edcc17de37648e8cde6">
        <w:r>
          <w:rPr>
            <w:rStyle w:val="Hyperlink"/>
          </w:rPr>
          <w:t xml:space="preserve">Yu 2001</w:t>
        </w:r>
      </w:hyperlink>
      <w:r>
        <w:t xml:space="preserve">.</w:t>
      </w:r>
    </w:p>
    <w:p>
      <w:pPr>
        <w:numPr>
          <w:ilvl w:val="0"/>
          <w:numId w:val="1001"/>
        </w:numPr>
        <w:pStyle w:val="Compact"/>
      </w:pPr>
      <w:r>
        <w:t xml:space="preserve">Use single dose data (i.v. and p.o.) to estimate Vmax and Km of CYP2C19.</w:t>
      </w:r>
    </w:p>
    <w:p>
      <w:pPr>
        <w:numPr>
          <w:ilvl w:val="0"/>
          <w:numId w:val="1001"/>
        </w:numPr>
        <w:pStyle w:val="Compact"/>
      </w:pPr>
      <w:r>
        <w:t xml:space="preserve">Predict concentrations after multiple oral dosing and compare to literature. Steady state levels were not predicted very well, and the model was refined by including time-dependent auto-inhibition to account for a change in CL over time.</w:t>
      </w:r>
    </w:p>
    <w:p>
      <w:pPr>
        <w:numPr>
          <w:ilvl w:val="0"/>
          <w:numId w:val="1001"/>
        </w:numPr>
        <w:pStyle w:val="Compact"/>
      </w:pPr>
      <w:r>
        <w:t xml:space="preserve">Predict single and multiple doses profiles (both i.v. and p.o.) with the updated model and compare to published profiles. Qualify model by comparing predicted CL/F and Cmax to the corresponding parameters in a review across multiple studies. Population prediction to verify the variability components of the model.</w:t>
      </w:r>
    </w:p>
    <w:p>
      <w:pPr>
        <w:pStyle w:val="FirstParagraph"/>
      </w:pPr>
      <w:r>
        <w:t xml:space="preserve">A typical European male subject (age = 30 years, weight = 73 kg, height = 176 cm, BMI = 23.57 kg/m2) was created in PK-Sim using the predefined database</w:t>
      </w:r>
      <w:r>
        <w:t xml:space="preserve"> </w:t>
      </w:r>
      <w:r>
        <w:t xml:space="preserve">“</w:t>
      </w:r>
      <w:r>
        <w:t xml:space="preserve">European (ICRP, 2002)</w:t>
      </w:r>
      <w:r>
        <w:t xml:space="preserve">”</w:t>
      </w:r>
      <w:r>
        <w:t xml:space="preserve">, by adding CYP2C19 ( PK-Sim RT PCR database) and FMO (other) expression and used in simulations, until stated otherwise. For simulations of Asian subjects, a typical Asian individual (Age = 30 y, weight = 60.03 kg, height = 169.96 cm, BMI = 20.78 kg/m2) was created from the predefined database</w:t>
      </w:r>
      <w:r>
        <w:t xml:space="preserve"> </w:t>
      </w:r>
      <w:r>
        <w:t xml:space="preserve">“</w:t>
      </w:r>
      <w:r>
        <w:t xml:space="preserve">Asian (Tanaka, 1996)</w:t>
      </w:r>
      <w:r>
        <w:t xml:space="preserve">”</w:t>
      </w:r>
      <w:r>
        <w:t xml:space="preserve"> </w:t>
      </w:r>
      <w:r>
        <w:t xml:space="preserve">by adding CYP2C19 ( PK-Sim RT PCR database) and FMO (other) expression.</w:t>
      </w:r>
    </w:p>
    <w:p>
      <w:pPr>
        <w:pStyle w:val="BodyText"/>
      </w:pPr>
      <w:r>
        <w:t xml:space="preserve">For simulations of the</w:t>
      </w:r>
      <w:r>
        <w:t xml:space="preserve"> </w:t>
      </w:r>
      <w:hyperlink w:anchor="Xa559bd5247f9128e74e6edcc17de37648e8cde6">
        <w:r>
          <w:rPr>
            <w:rStyle w:val="Hyperlink"/>
          </w:rPr>
          <w:t xml:space="preserve">Ignjatovic 2009</w:t>
        </w:r>
      </w:hyperlink>
      <w:r>
        <w:t xml:space="preserve"> </w:t>
      </w:r>
      <w:r>
        <w:t xml:space="preserve">data set, a typical European female subject (Age = 30 years,</w:t>
      </w:r>
      <w:r>
        <w:t xml:space="preserve"> </w:t>
      </w:r>
      <w:r>
        <w:t xml:space="preserve">weight = 64 kg, height = 163 cm, BMI = 24.09 kg/m2) was created from the predefined</w:t>
      </w:r>
      <w:r>
        <w:t xml:space="preserve"> </w:t>
      </w:r>
      <w:r>
        <w:t xml:space="preserve">database</w:t>
      </w:r>
      <w:r>
        <w:t xml:space="preserve"> </w:t>
      </w:r>
      <w:r>
        <w:t xml:space="preserve">“</w:t>
      </w:r>
      <w:r>
        <w:t xml:space="preserve">European (ICRP, 2002)</w:t>
      </w:r>
      <w:r>
        <w:t xml:space="preserve">”</w:t>
      </w:r>
      <w:r>
        <w:t xml:space="preserve"> </w:t>
      </w:r>
      <w:r>
        <w:t xml:space="preserve">by adding CYP2C19 ( PK-Sim RT PCR database) and FMO (other) expression.</w:t>
      </w:r>
    </w:p>
    <w:p>
      <w:pPr>
        <w:pStyle w:val="BodyText"/>
      </w:pPr>
      <w:r>
        <w:t xml:space="preserve">Initially, attempts were made to also unravel the contribution of the FMO3-specific clearance pathway and the unspecific pathway using the in vitro FMO-CL of moclobemide in a microsomal assay reported by</w:t>
      </w:r>
      <w:r>
        <w:t xml:space="preserve"> </w:t>
      </w:r>
      <w:hyperlink w:anchor="Xa559bd5247f9128e74e6edcc17de37648e8cde6">
        <w:r>
          <w:rPr>
            <w:rStyle w:val="Hyperlink"/>
          </w:rPr>
          <w:t xml:space="preserve">Hoskins 2001</w:t>
        </w:r>
      </w:hyperlink>
      <w:r>
        <w:t xml:space="preserve">. However, this route was abandoned as predictions were not in line with observations, potentially requiring the need for an in vivo - in vitro scaling factor. For the purpose of DDI predictions, the details of the CYP2C19 pathway only were considered relevant.</w:t>
      </w:r>
    </w:p>
    <w:p>
      <w:pPr>
        <w:pStyle w:val="BodyText"/>
      </w:pPr>
      <w:r>
        <w:t xml:space="preserve">Population simulations were carried out to evaluate if the variability incorporated in the model matches the literature reports. A population of 2000 Asian subjects with age and weight in the same range as reported by</w:t>
      </w:r>
      <w:r>
        <w:t xml:space="preserve"> </w:t>
      </w:r>
      <w:hyperlink w:anchor="Xa559bd5247f9128e74e6edcc17de37648e8cde6">
        <w:r>
          <w:rPr>
            <w:rStyle w:val="Hyperlink"/>
          </w:rPr>
          <w:t xml:space="preserve">Yu 2001</w:t>
        </w:r>
      </w:hyperlink>
      <w:r>
        <w:t xml:space="preserve"> </w:t>
      </w:r>
      <w:r>
        <w:t xml:space="preserve">(age: 20-36 years, weight: 40-120 kg, 13% female) was generated, and the concentration time profile following a single dose of 300 mg p.o. was simulated for each virtual subject and summarized as mean +/- SD. The simulation was also performed for CYP2C19 poor metabolizers.</w:t>
      </w:r>
    </w:p>
    <w:p>
      <w:pPr>
        <w:pStyle w:val="BodyText"/>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
    <w:p>
      <w:pPr>
        <w:pStyle w:val="Heading2"/>
      </w:pPr>
      <w:r>
        <w:t xml:space="preserve">Data</w:t>
      </w:r>
      <w:bookmarkStart w:id="data" w:name="data"/>
      <w:bookmarkEnd w:id="data"/>
    </w:p>
    <w:bookmarkStart w:id="22" w:name="in-vitro-and-physico-chemical-data"/>
    <w:p>
      <w:pPr>
        <w:pStyle w:val="Heading3"/>
      </w:pPr>
      <w:r>
        <w:t xml:space="preserve">2.2.1 In vitro and physico-chemical data</w:t>
      </w:r>
    </w:p>
    <w:p>
      <w:pPr>
        <w:pStyle w:val="FirstParagraph"/>
      </w:pPr>
      <w:r>
        <w:t xml:space="preserve">A literature search was performed to collect available information on physico-chemical properties of moclobemide, see</w:t>
      </w:r>
      <w:r>
        <w:t xml:space="preserve"> </w:t>
      </w:r>
      <w:hyperlink w:anchor="table-1">
        <w:r>
          <w:rPr>
            <w:rStyle w:val="Hyperlink"/>
          </w:rPr>
          <w:t xml:space="preserve">Table 1</w:t>
        </w:r>
      </w:hyperlink>
      <w:r>
        <w:t xml:space="preserve">.</w:t>
      </w:r>
    </w:p>
    <w:tbl>
      <w:tblPr>
        <w:tblStyle w:val="Table"/>
        <w:tblW w:type="pct" w:w="5000"/>
        <w:tblLook w:firstRow="1" w:lastRow="0" w:firstColumn="0" w:lastColumn="0" w:noHBand="0" w:noVBand="0" w:val="0020"/>
        <w:jc w:val="start"/>
      </w:tblPr>
      <w:tblGrid>
        <w:gridCol w:w="1544"/>
        <w:gridCol w:w="846"/>
        <w:gridCol w:w="597"/>
        <w:gridCol w:w="1942"/>
        <w:gridCol w:w="2988"/>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r>
              <w:rPr>
                <w:vertAlign w:val="superscript"/>
              </w:rPr>
              <w:t xml:space="preserve">+</w:t>
            </w:r>
          </w:p>
        </w:tc>
        <w:tc>
          <w:tcPr/>
          <w:p>
            <w:pPr>
              <w:pStyle w:val="Compact"/>
              <w:jc w:val="left"/>
            </w:pPr>
            <w:r>
              <w:t xml:space="preserve">g/mol</w:t>
            </w:r>
          </w:p>
        </w:tc>
        <w:tc>
          <w:tcPr/>
          <w:p>
            <w:pPr>
              <w:pStyle w:val="Compact"/>
              <w:jc w:val="left"/>
            </w:pPr>
            <w:r>
              <w:t xml:space="preserve">268.74</w:t>
            </w:r>
          </w:p>
        </w:tc>
        <w:tc>
          <w:tcPr/>
          <w:p>
            <w:pPr>
              <w:pStyle w:val="Compact"/>
              <w:jc w:val="left"/>
            </w:pPr>
            <w:hyperlink w:anchor="Xa559bd5247f9128e74e6edcc17de37648e8cde6">
              <w:r>
                <w:rPr>
                  <w:rStyle w:val="Hyperlink"/>
                </w:rPr>
                <w:t xml:space="preserve">DrugBank DB01171</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a,base</w:t>
            </w:r>
            <w:r>
              <w:rPr>
                <w:vertAlign w:val="superscript"/>
              </w:rPr>
              <w:t xml:space="preserve">+</w:t>
            </w:r>
          </w:p>
        </w:tc>
        <w:tc>
          <w:tcPr/>
          <w:p>
            <w:pPr>
              <w:pStyle w:val="Compact"/>
            </w:pPr>
          </w:p>
        </w:tc>
        <w:tc>
          <w:tcPr/>
          <w:p>
            <w:pPr>
              <w:pStyle w:val="Compact"/>
              <w:jc w:val="left"/>
            </w:pPr>
            <w:r>
              <w:t xml:space="preserve">6.2</w:t>
            </w:r>
          </w:p>
        </w:tc>
        <w:tc>
          <w:tcPr/>
          <w:p>
            <w:pPr>
              <w:pStyle w:val="Compact"/>
              <w:jc w:val="left"/>
            </w:pPr>
            <w:hyperlink w:anchor="Xa559bd5247f9128e74e6edcc17de37648e8cde6">
              <w:r>
                <w:rPr>
                  <w:rStyle w:val="Hyperlink"/>
                </w:rPr>
                <w:t xml:space="preserve">IPCS INCHEM</w:t>
              </w:r>
            </w:hyperlink>
          </w:p>
        </w:tc>
        <w:tc>
          <w:tcPr/>
          <w:p>
            <w:pPr>
              <w:pStyle w:val="Compact"/>
              <w:jc w:val="left"/>
            </w:pPr>
            <w:r>
              <w:t xml:space="preserve">Acidic dissociation constant</w:t>
            </w:r>
          </w:p>
        </w:tc>
      </w:tr>
      <w:tr>
        <w:tc>
          <w:tcPr/>
          <w:p>
            <w:pPr>
              <w:pStyle w:val="Compact"/>
              <w:jc w:val="left"/>
            </w:pPr>
            <w:r>
              <w:t xml:space="preserve">Solubility (pH)</w:t>
            </w:r>
            <w:r>
              <w:rPr>
                <w:vertAlign w:val="superscript"/>
              </w:rPr>
              <w:t xml:space="preserve">+</w:t>
            </w:r>
          </w:p>
        </w:tc>
        <w:tc>
          <w:tcPr/>
          <w:p>
            <w:pPr>
              <w:pStyle w:val="Compact"/>
              <w:jc w:val="left"/>
            </w:pPr>
            <w:r>
              <w:t xml:space="preserve">mg/mL</w:t>
            </w:r>
          </w:p>
        </w:tc>
        <w:tc>
          <w:tcPr/>
          <w:p>
            <w:pPr>
              <w:pStyle w:val="Compact"/>
              <w:jc w:val="left"/>
            </w:pPr>
            <w:r>
              <w:t xml:space="preserve">3</w:t>
            </w:r>
            <w:r>
              <w:t xml:space="preserve">(6.8)</w:t>
            </w:r>
          </w:p>
        </w:tc>
        <w:tc>
          <w:tcPr/>
          <w:p>
            <w:pPr>
              <w:pStyle w:val="Compact"/>
              <w:jc w:val="left"/>
            </w:pPr>
            <w:hyperlink w:anchor="Xa559bd5247f9128e74e6edcc17de37648e8cde6">
              <w:r>
                <w:rPr>
                  <w:rStyle w:val="Hyperlink"/>
                </w:rPr>
                <w:t xml:space="preserve">Moclobemide, INCHEM</w:t>
              </w:r>
            </w:hyperlink>
          </w:p>
        </w:tc>
        <w:tc>
          <w:tcPr/>
          <w:p>
            <w:pPr>
              <w:pStyle w:val="Compact"/>
              <w:jc w:val="left"/>
            </w:pPr>
            <w:r>
              <w:t xml:space="preserve">Aqueous Solubility</w:t>
            </w:r>
          </w:p>
        </w:tc>
      </w:tr>
      <w:tr>
        <w:tc>
          <w:tcPr/>
          <w:p>
            <w:pPr>
              <w:pStyle w:val="Compact"/>
              <w:jc w:val="left"/>
            </w:pPr>
            <w:r>
              <w:t xml:space="preserve">logD</w:t>
            </w:r>
          </w:p>
        </w:tc>
        <w:tc>
          <w:tcPr/>
          <w:p>
            <w:pPr>
              <w:pStyle w:val="Compact"/>
            </w:pPr>
          </w:p>
        </w:tc>
        <w:tc>
          <w:tcPr/>
          <w:p>
            <w:pPr>
              <w:pStyle w:val="Compact"/>
              <w:jc w:val="left"/>
            </w:pPr>
            <w:r>
              <w:t xml:space="preserve">1.79</w:t>
            </w:r>
          </w:p>
        </w:tc>
        <w:tc>
          <w:tcPr/>
          <w:p>
            <w:pPr>
              <w:pStyle w:val="Compact"/>
              <w:jc w:val="left"/>
            </w:pPr>
            <w:hyperlink w:anchor="Xa559bd5247f9128e74e6edcc17de37648e8cde6">
              <w:r>
                <w:rPr>
                  <w:rStyle w:val="Hyperlink"/>
                </w:rPr>
                <w:t xml:space="preserve">Pons 1990</w:t>
              </w:r>
            </w:hyperlink>
          </w:p>
        </w:tc>
        <w:tc>
          <w:tcPr/>
          <w:p>
            <w:pPr>
              <w:pStyle w:val="Compact"/>
              <w:jc w:val="left"/>
            </w:pPr>
            <w:r>
              <w:t xml:space="preserve">Distribution coefficient</w:t>
            </w:r>
          </w:p>
        </w:tc>
      </w:tr>
      <w:tr>
        <w:tc>
          <w:tcPr/>
          <w:p>
            <w:pPr>
              <w:pStyle w:val="Compact"/>
              <w:jc w:val="left"/>
            </w:pPr>
            <w:r>
              <w:t xml:space="preserve">fu</w:t>
            </w:r>
            <w:r>
              <w:rPr>
                <w:vertAlign w:val="superscript"/>
              </w:rPr>
              <w:t xml:space="preserve">+</w:t>
            </w:r>
          </w:p>
        </w:tc>
        <w:tc>
          <w:tcPr/>
          <w:p>
            <w:pPr>
              <w:pStyle w:val="Compact"/>
              <w:jc w:val="left"/>
            </w:pPr>
            <w:r>
              <w:t xml:space="preserve">%</w:t>
            </w:r>
          </w:p>
        </w:tc>
        <w:tc>
          <w:tcPr/>
          <w:p>
            <w:pPr>
              <w:pStyle w:val="Compact"/>
              <w:jc w:val="left"/>
            </w:pPr>
            <w:r>
              <w:t xml:space="preserve">50</w:t>
            </w:r>
          </w:p>
        </w:tc>
        <w:tc>
          <w:tcPr/>
          <w:p>
            <w:pPr>
              <w:pStyle w:val="Compact"/>
              <w:jc w:val="left"/>
            </w:pPr>
            <w:hyperlink w:anchor="Xa559bd5247f9128e74e6edcc17de37648e8cde6">
              <w:r>
                <w:rPr>
                  <w:rStyle w:val="Hyperlink"/>
                </w:rPr>
                <w:t xml:space="preserve">MHRA Label Moclobemide</w:t>
              </w:r>
            </w:hyperlink>
          </w:p>
        </w:tc>
        <w:tc>
          <w:tcPr/>
          <w:p>
            <w:pPr>
              <w:pStyle w:val="Compact"/>
              <w:jc w:val="left"/>
            </w:pPr>
            <w:r>
              <w:t xml:space="preserve">Fraction unbound in plasma</w:t>
            </w:r>
          </w:p>
        </w:tc>
      </w:tr>
      <w:tr>
        <w:tc>
          <w:tcPr/>
          <w:p>
            <w:pPr>
              <w:pStyle w:val="Compact"/>
              <w:jc w:val="left"/>
            </w:pPr>
            <w:r>
              <w:t xml:space="preserve">Km_FMO (microsomes)</w:t>
            </w:r>
          </w:p>
        </w:tc>
        <w:tc>
          <w:tcPr/>
          <w:p>
            <w:pPr>
              <w:pStyle w:val="Compact"/>
              <w:jc w:val="left"/>
            </w:pPr>
            <w:r>
              <w:t xml:space="preserve">mmol/L</w:t>
            </w:r>
          </w:p>
        </w:tc>
        <w:tc>
          <w:tcPr/>
          <w:p>
            <w:pPr>
              <w:pStyle w:val="Compact"/>
              <w:jc w:val="left"/>
            </w:pPr>
            <w:r>
              <w:t xml:space="preserve">0.77</w:t>
            </w:r>
          </w:p>
        </w:tc>
        <w:tc>
          <w:tcPr/>
          <w:p>
            <w:pPr>
              <w:pStyle w:val="Compact"/>
              <w:jc w:val="left"/>
            </w:pPr>
            <w:hyperlink w:anchor="Xa559bd5247f9128e74e6edcc17de37648e8cde6">
              <w:r>
                <w:rPr>
                  <w:rStyle w:val="Hyperlink"/>
                </w:rPr>
                <w:t xml:space="preserve">Hoskins 2001</w:t>
              </w:r>
            </w:hyperlink>
          </w:p>
        </w:tc>
        <w:tc>
          <w:tcPr/>
          <w:p>
            <w:pPr>
              <w:pStyle w:val="Compact"/>
            </w:pPr>
          </w:p>
        </w:tc>
      </w:tr>
      <w:tr>
        <w:tc>
          <w:tcPr/>
          <w:p>
            <w:pPr>
              <w:pStyle w:val="Compact"/>
              <w:jc w:val="left"/>
            </w:pPr>
            <w:r>
              <w:t xml:space="preserve">Vmax_FMO (microsomes)</w:t>
            </w:r>
          </w:p>
        </w:tc>
        <w:tc>
          <w:tcPr/>
          <w:p>
            <w:pPr>
              <w:pStyle w:val="Compact"/>
              <w:jc w:val="left"/>
            </w:pPr>
            <w:r>
              <w:t xml:space="preserve">nmol/min/mg prot.</w:t>
            </w:r>
          </w:p>
        </w:tc>
        <w:tc>
          <w:tcPr/>
          <w:p>
            <w:pPr>
              <w:pStyle w:val="Compact"/>
              <w:jc w:val="left"/>
            </w:pPr>
            <w:r>
              <w:t xml:space="preserve">1.39</w:t>
            </w:r>
          </w:p>
        </w:tc>
        <w:tc>
          <w:tcPr/>
          <w:p>
            <w:pPr>
              <w:pStyle w:val="Compact"/>
              <w:jc w:val="left"/>
            </w:pPr>
            <w:hyperlink w:anchor="Xa559bd5247f9128e74e6edcc17de37648e8cde6">
              <w:r>
                <w:rPr>
                  <w:rStyle w:val="Hyperlink"/>
                </w:rPr>
                <w:t xml:space="preserve">Hoskins 2001</w:t>
              </w:r>
            </w:hyperlink>
          </w:p>
        </w:tc>
        <w:tc>
          <w:tcPr/>
          <w:p>
            <w:pPr>
              <w:pStyle w:val="Compact"/>
            </w:pPr>
          </w:p>
        </w:tc>
      </w:tr>
      <w:tr>
        <w:tc>
          <w:tcPr/>
          <w:p>
            <w:pPr>
              <w:pStyle w:val="Compact"/>
              <w:jc w:val="left"/>
            </w:pPr>
            <w:r>
              <w:t xml:space="preserve">Renal Elimination</w:t>
            </w:r>
          </w:p>
        </w:tc>
        <w:tc>
          <w:tcPr/>
          <w:p>
            <w:pPr>
              <w:pStyle w:val="Compact"/>
              <w:jc w:val="left"/>
            </w:pPr>
            <w:r>
              <w:t xml:space="preserve">ml/min/kg</w:t>
            </w:r>
          </w:p>
        </w:tc>
        <w:tc>
          <w:tcPr/>
          <w:p>
            <w:pPr>
              <w:pStyle w:val="Compact"/>
              <w:jc w:val="left"/>
            </w:pPr>
            <w:r>
              <w:t xml:space="preserve">0.03</w:t>
            </w:r>
          </w:p>
        </w:tc>
        <w:tc>
          <w:tcPr/>
          <w:p>
            <w:pPr>
              <w:pStyle w:val="Compact"/>
              <w:jc w:val="left"/>
            </w:pPr>
            <w:hyperlink w:anchor="Xa559bd5247f9128e74e6edcc17de37648e8cde6">
              <w:r>
                <w:rPr>
                  <w:rStyle w:val="Hyperlink"/>
                </w:rPr>
                <w:t xml:space="preserve">Schoerlin 1987</w:t>
              </w:r>
            </w:hyperlink>
          </w:p>
        </w:tc>
        <w:tc>
          <w:tcPr/>
          <w:p>
            <w:pPr>
              <w:pStyle w:val="Compact"/>
              <w:jc w:val="left"/>
            </w:pPr>
            <w:r>
              <w:t xml:space="preserve">Schoerlin reports 2.6 ml/min/76kg</w:t>
            </w:r>
          </w:p>
        </w:tc>
      </w:tr>
      <w:tr>
        <w:tc>
          <w:tcPr/>
          <w:p>
            <w:pPr>
              <w:pStyle w:val="Compact"/>
              <w:jc w:val="left"/>
            </w:pPr>
            <w:r>
              <w:t xml:space="preserve">Ki_CYP2C19 (free)</w:t>
            </w:r>
          </w:p>
        </w:tc>
        <w:tc>
          <w:tcPr/>
          <w:p>
            <w:pPr>
              <w:pStyle w:val="Compact"/>
              <w:jc w:val="left"/>
            </w:pPr>
            <w:r>
              <w:t xml:space="preserve">µmol/L</w:t>
            </w:r>
          </w:p>
        </w:tc>
        <w:tc>
          <w:tcPr/>
          <w:p>
            <w:pPr>
              <w:pStyle w:val="Compact"/>
              <w:jc w:val="left"/>
            </w:pPr>
            <w:r>
              <w:t xml:space="preserve">203.8</w:t>
            </w:r>
          </w:p>
        </w:tc>
        <w:tc>
          <w:tcPr/>
          <w:p>
            <w:pPr>
              <w:pStyle w:val="Compact"/>
              <w:jc w:val="left"/>
            </w:pPr>
            <w:hyperlink w:anchor="Xa559bd5247f9128e74e6edcc17de37648e8cde6">
              <w:r>
                <w:rPr>
                  <w:rStyle w:val="Hyperlink"/>
                </w:rPr>
                <w:t xml:space="preserve">Kramer-Nielsen 1996</w:t>
              </w:r>
            </w:hyperlink>
          </w:p>
        </w:tc>
        <w:tc>
          <w:tcPr/>
          <w:p>
            <w:pPr>
              <w:pStyle w:val="Compact"/>
              <w:jc w:val="left"/>
            </w:pPr>
            <w:r>
              <w:t xml:space="preserve">The total ki value reported by Kramer was 210 umol/L and corrected with an fu_mic of 0.97</w:t>
            </w:r>
          </w:p>
        </w:tc>
      </w:tr>
    </w:tbl>
    <w:p>
      <w:pPr>
        <w:pStyle w:val="BodyText"/>
      </w:pPr>
      <w:r>
        <w:rPr>
          <w:bCs/>
          <w:b/>
        </w:rPr>
        <w:t xml:space="preserve">Table 1:</w:t>
      </w:r>
      <w:r>
        <w:t xml:space="preserve"> </w:t>
      </w:r>
      <w:r>
        <w:t xml:space="preserve">Physico-chemical and</w:t>
      </w:r>
      <w:r>
        <w:t xml:space="preserve"> </w:t>
      </w:r>
      <w:r>
        <w:rPr>
          <w:iCs/>
          <w:i/>
        </w:rPr>
        <w:t xml:space="preserve">in-vitro</w:t>
      </w:r>
      <w:r>
        <w:t xml:space="preserve"> </w:t>
      </w:r>
      <w:r>
        <w:t xml:space="preserve">metabolization properties of moclobemide extracted from literature.</w:t>
      </w:r>
      <w:r>
        <w:t xml:space="preserve"> </w:t>
      </w:r>
      <w:r>
        <w:rPr>
          <w:vertAlign w:val="superscript"/>
          <w:iCs/>
          <w:i/>
        </w:rPr>
        <w:t xml:space="preserve">+</w:t>
      </w:r>
      <w:r>
        <w:rPr>
          <w:iCs/>
          <w:i/>
        </w:rPr>
        <w:t xml:space="preserve">: Value used in final model</w:t>
      </w:r>
      <w:bookmarkStart w:id="table-1" w:name="table-1"/>
      <w:bookmarkEnd w:id="table-1"/>
    </w:p>
    <w:bookmarkEnd w:id="22"/>
    <w:bookmarkStart w:id="23" w:name="clinical-data"/>
    <w:p>
      <w:pPr>
        <w:pStyle w:val="Heading3"/>
      </w:pPr>
      <w:r>
        <w:t xml:space="preserve">2.2.2 Clinical data</w:t>
      </w:r>
    </w:p>
    <w:p>
      <w:pPr>
        <w:pStyle w:val="FirstParagraph"/>
      </w:pPr>
      <w:r>
        <w:t xml:space="preserve">A literature search was performed to collect available clinical data on moclobemide in adults, see</w:t>
      </w:r>
      <w:r>
        <w:t xml:space="preserve"> </w:t>
      </w:r>
      <w:hyperlink w:anchor="table-2">
        <w:r>
          <w:rPr>
            <w:rStyle w:val="Hyperlink"/>
          </w:rPr>
          <w:t xml:space="preserve">Table 2</w:t>
        </w:r>
      </w:hyperlink>
      <w:r>
        <w:t xml:space="preserve">.</w:t>
      </w:r>
    </w:p>
    <w:tbl>
      <w:tblPr>
        <w:tblStyle w:val="Table"/>
        <w:tblW w:type="pct" w:w="5000"/>
        <w:tblLook w:firstRow="1" w:lastRow="0" w:firstColumn="0" w:lastColumn="0" w:noHBand="0" w:noVBand="0" w:val="0020"/>
        <w:jc w:val="start"/>
      </w:tblPr>
      <w:tblGrid>
        <w:gridCol w:w="825"/>
        <w:gridCol w:w="371"/>
        <w:gridCol w:w="1278"/>
        <w:gridCol w:w="495"/>
        <w:gridCol w:w="288"/>
        <w:gridCol w:w="206"/>
        <w:gridCol w:w="371"/>
        <w:gridCol w:w="1361"/>
        <w:gridCol w:w="1361"/>
        <w:gridCol w:w="1361"/>
      </w:tblGrid>
      <w:tr>
        <w:trPr>
          <w:tblHeader w:val="true"/>
        </w:trPr>
        <w:tc>
          <w:tcPr/>
          <w:p>
            <w:pPr>
              <w:pStyle w:val="Compact"/>
              <w:jc w:val="left"/>
            </w:pPr>
            <w:r>
              <w:rPr>
                <w:bCs/>
                <w:b/>
              </w:rPr>
              <w:t xml:space="preserve">Source</w:t>
            </w:r>
          </w:p>
        </w:tc>
        <w:tc>
          <w:tcPr/>
          <w:p>
            <w:pPr>
              <w:pStyle w:val="Compact"/>
              <w:jc w:val="left"/>
            </w:pPr>
            <w:r>
              <w:rPr>
                <w:bCs/>
                <w:b/>
              </w:rPr>
              <w:t xml:space="preserve">Route</w:t>
            </w:r>
          </w:p>
        </w:tc>
        <w:tc>
          <w:tcPr/>
          <w:p>
            <w:pPr>
              <w:pStyle w:val="Compact"/>
              <w:jc w:val="left"/>
            </w:pPr>
            <w:r>
              <w:rPr>
                <w:bCs/>
                <w:b/>
              </w:rPr>
              <w:t xml:space="preserve">Dose [mg]/</w:t>
            </w:r>
            <w:r>
              <w:t xml:space="preserve"> </w:t>
            </w:r>
            <w:r>
              <w:rPr>
                <w:bCs/>
                <w:b/>
              </w:rPr>
              <w:t xml:space="preserve">Schedule *</w:t>
            </w:r>
          </w:p>
        </w:tc>
        <w:tc>
          <w:tcPr/>
          <w:p>
            <w:pPr>
              <w:pStyle w:val="Compact"/>
              <w:jc w:val="left"/>
            </w:pPr>
            <w:r>
              <w:rPr>
                <w:bCs/>
                <w:b/>
              </w:rPr>
              <w:t xml:space="preserve">Pop.</w:t>
            </w:r>
          </w:p>
        </w:tc>
        <w:tc>
          <w:tcPr/>
          <w:p>
            <w:pPr>
              <w:pStyle w:val="Compact"/>
              <w:jc w:val="left"/>
            </w:pPr>
            <w:r>
              <w:t xml:space="preserve">Age [yrs] (mean or range)</w:t>
            </w:r>
          </w:p>
        </w:tc>
        <w:tc>
          <w:tcPr/>
          <w:p>
            <w:pPr>
              <w:pStyle w:val="Compact"/>
              <w:jc w:val="left"/>
            </w:pPr>
            <w:r>
              <w:t xml:space="preserve">Weight [kg] (mean or range)</w:t>
            </w:r>
          </w:p>
        </w:tc>
        <w:tc>
          <w:tcPr/>
          <w:p>
            <w:pPr>
              <w:pStyle w:val="Compact"/>
              <w:jc w:val="left"/>
            </w:pPr>
            <w:r>
              <w:rPr>
                <w:bCs/>
                <w:b/>
              </w:rPr>
              <w:t xml:space="preserve">Sex</w:t>
            </w:r>
          </w:p>
        </w:tc>
        <w:tc>
          <w:tcPr/>
          <w:p>
            <w:pPr>
              <w:pStyle w:val="Compact"/>
              <w:jc w:val="left"/>
            </w:pPr>
            <w:r>
              <w:rPr>
                <w:bCs/>
                <w:b/>
              </w:rPr>
              <w:t xml:space="preserve">N</w:t>
            </w:r>
          </w:p>
        </w:tc>
        <w:tc>
          <w:tcPr/>
          <w:p>
            <w:pPr>
              <w:pStyle w:val="Compact"/>
              <w:jc w:val="left"/>
            </w:pPr>
            <w:r>
              <w:rPr>
                <w:bCs/>
                <w:b/>
              </w:rPr>
              <w:t xml:space="preserve">Form.</w:t>
            </w:r>
          </w:p>
        </w:tc>
        <w:tc>
          <w:tcPr/>
          <w:p>
            <w:pPr>
              <w:pStyle w:val="Compact"/>
              <w:jc w:val="left"/>
            </w:pPr>
            <w:r>
              <w:rPr>
                <w:bCs/>
                <w:b/>
              </w:rPr>
              <w:t xml:space="preserve">Comment</w:t>
            </w:r>
          </w:p>
        </w:tc>
      </w:tr>
      <w:tr>
        <w:tc>
          <w:tcPr/>
          <w:p>
            <w:pPr>
              <w:pStyle w:val="Compact"/>
              <w:jc w:val="left"/>
            </w:pPr>
            <w:hyperlink w:anchor="Xa559bd5247f9128e74e6edcc17de37648e8cde6">
              <w:r>
                <w:rPr>
                  <w:rStyle w:val="Hyperlink"/>
                </w:rPr>
                <w:t xml:space="preserve">Gram 1995</w:t>
              </w:r>
            </w:hyperlink>
            <w:r>
              <w:rPr>
                <w:vertAlign w:val="superscript"/>
              </w:rPr>
              <w:t xml:space="preserve">+</w:t>
            </w:r>
          </w:p>
        </w:tc>
        <w:tc>
          <w:tcPr/>
          <w:p>
            <w:pPr>
              <w:pStyle w:val="Compact"/>
              <w:jc w:val="left"/>
            </w:pPr>
            <w:r>
              <w:t xml:space="preserve">p.o.</w:t>
            </w:r>
          </w:p>
        </w:tc>
        <w:tc>
          <w:tcPr/>
          <w:p>
            <w:pPr>
              <w:pStyle w:val="Compact"/>
              <w:jc w:val="left"/>
            </w:pPr>
            <w:r>
              <w:t xml:space="preserve">300 s.d. / b.i.d.</w:t>
            </w:r>
          </w:p>
        </w:tc>
        <w:tc>
          <w:tcPr/>
          <w:p>
            <w:pPr>
              <w:pStyle w:val="Compact"/>
              <w:jc w:val="left"/>
            </w:pPr>
            <w:r>
              <w:t xml:space="preserve">HV</w:t>
            </w:r>
          </w:p>
        </w:tc>
        <w:tc>
          <w:tcPr/>
          <w:p>
            <w:pPr>
              <w:pStyle w:val="Compact"/>
              <w:jc w:val="left"/>
            </w:pPr>
            <w:r>
              <w:t xml:space="preserve">26</w:t>
            </w:r>
          </w:p>
        </w:tc>
        <w:tc>
          <w:tcPr/>
          <w:p>
            <w:pPr>
              <w:pStyle w:val="Compact"/>
              <w:jc w:val="left"/>
            </w:pPr>
            <w:r>
              <w:t xml:space="preserve">-</w:t>
            </w:r>
          </w:p>
        </w:tc>
        <w:tc>
          <w:tcPr/>
          <w:p>
            <w:pPr>
              <w:pStyle w:val="Compact"/>
              <w:jc w:val="left"/>
            </w:pPr>
            <w:r>
              <w:t xml:space="preserve">m/f</w:t>
            </w:r>
          </w:p>
        </w:tc>
        <w:tc>
          <w:tcPr/>
          <w:p>
            <w:pPr>
              <w:pStyle w:val="Compact"/>
              <w:jc w:val="left"/>
            </w:pPr>
            <w:r>
              <w:t xml:space="preserve">8</w:t>
            </w:r>
          </w:p>
        </w:tc>
        <w:tc>
          <w:tcPr/>
          <w:p>
            <w:pPr>
              <w:pStyle w:val="Compact"/>
              <w:jc w:val="left"/>
            </w:pPr>
            <w:r>
              <w:t xml:space="preserve">tablet</w:t>
            </w:r>
          </w:p>
        </w:tc>
        <w:tc>
          <w:tcPr/>
          <w:p>
            <w:pPr>
              <w:pStyle w:val="Compact"/>
              <w:jc w:val="left"/>
            </w:pPr>
            <w:r>
              <w:t xml:space="preserve">EM + PM</w:t>
            </w:r>
          </w:p>
        </w:tc>
      </w:tr>
      <w:tr>
        <w:tc>
          <w:tcPr/>
          <w:p>
            <w:pPr>
              <w:pStyle w:val="Compact"/>
              <w:jc w:val="left"/>
            </w:pPr>
            <w:hyperlink w:anchor="Xa559bd5247f9128e74e6edcc17de37648e8cde6">
              <w:r>
                <w:rPr>
                  <w:rStyle w:val="Hyperlink"/>
                </w:rPr>
                <w:t xml:space="preserve">Yu 2001</w:t>
              </w:r>
            </w:hyperlink>
            <w:r>
              <w:rPr>
                <w:vertAlign w:val="superscript"/>
              </w:rPr>
              <w:t xml:space="preserve">+</w:t>
            </w:r>
          </w:p>
        </w:tc>
        <w:tc>
          <w:tcPr/>
          <w:p>
            <w:pPr>
              <w:pStyle w:val="Compact"/>
              <w:jc w:val="left"/>
            </w:pPr>
            <w:r>
              <w:t xml:space="preserve">p.o.</w:t>
            </w:r>
          </w:p>
        </w:tc>
        <w:tc>
          <w:tcPr/>
          <w:p>
            <w:pPr>
              <w:pStyle w:val="Compact"/>
              <w:jc w:val="left"/>
            </w:pPr>
            <w:r>
              <w:t xml:space="preserve">300 s.d.</w:t>
            </w:r>
          </w:p>
        </w:tc>
        <w:tc>
          <w:tcPr/>
          <w:p>
            <w:pPr>
              <w:pStyle w:val="Compact"/>
              <w:jc w:val="left"/>
            </w:pPr>
            <w:r>
              <w:t xml:space="preserve">HV-Asian</w:t>
            </w:r>
          </w:p>
        </w:tc>
        <w:tc>
          <w:tcPr/>
          <w:p>
            <w:pPr>
              <w:pStyle w:val="Compact"/>
              <w:jc w:val="left"/>
            </w:pPr>
            <w:r>
              <w:t xml:space="preserve">-</w:t>
            </w:r>
          </w:p>
        </w:tc>
        <w:tc>
          <w:tcPr/>
          <w:p>
            <w:pPr>
              <w:pStyle w:val="Compact"/>
              <w:jc w:val="left"/>
            </w:pPr>
            <w:r>
              <w:t xml:space="preserve">60.3</w:t>
            </w:r>
          </w:p>
        </w:tc>
        <w:tc>
          <w:tcPr/>
          <w:p>
            <w:pPr>
              <w:pStyle w:val="Compact"/>
              <w:jc w:val="left"/>
            </w:pPr>
            <w:r>
              <w:t xml:space="preserve">m</w:t>
            </w:r>
          </w:p>
        </w:tc>
        <w:tc>
          <w:tcPr/>
          <w:p>
            <w:pPr>
              <w:pStyle w:val="Compact"/>
              <w:jc w:val="left"/>
            </w:pPr>
            <w:r>
              <w:t xml:space="preserve">8</w:t>
            </w:r>
          </w:p>
        </w:tc>
        <w:tc>
          <w:tcPr/>
          <w:p>
            <w:pPr>
              <w:pStyle w:val="Compact"/>
              <w:jc w:val="left"/>
            </w:pPr>
            <w:r>
              <w:t xml:space="preserve">tablet</w:t>
            </w:r>
          </w:p>
        </w:tc>
        <w:tc>
          <w:tcPr/>
          <w:p>
            <w:pPr>
              <w:pStyle w:val="Compact"/>
              <w:jc w:val="left"/>
            </w:pPr>
            <w:r>
              <w:t xml:space="preserve">EM, PM and EM+OMP40</w:t>
            </w:r>
          </w:p>
        </w:tc>
      </w:tr>
      <w:tr>
        <w:tc>
          <w:tcPr/>
          <w:p>
            <w:pPr>
              <w:pStyle w:val="Compact"/>
              <w:jc w:val="left"/>
            </w:pPr>
            <w:hyperlink w:anchor="Xa559bd5247f9128e74e6edcc17de37648e8cde6">
              <w:r>
                <w:rPr>
                  <w:rStyle w:val="Hyperlink"/>
                </w:rPr>
                <w:t xml:space="preserve">Wiesel 1985</w:t>
              </w:r>
            </w:hyperlink>
            <w:r>
              <w:rPr>
                <w:vertAlign w:val="superscript"/>
              </w:rPr>
              <w:t xml:space="preserve">+</w:t>
            </w:r>
          </w:p>
        </w:tc>
        <w:tc>
          <w:tcPr/>
          <w:p>
            <w:pPr>
              <w:pStyle w:val="Compact"/>
              <w:jc w:val="left"/>
            </w:pPr>
            <w:r>
              <w:t xml:space="preserve">p.o.</w:t>
            </w:r>
          </w:p>
        </w:tc>
        <w:tc>
          <w:tcPr/>
          <w:p>
            <w:pPr>
              <w:pStyle w:val="Compact"/>
              <w:jc w:val="left"/>
            </w:pPr>
            <w:r>
              <w:t xml:space="preserve">50, 100, 200 s.d.</w:t>
            </w:r>
          </w:p>
        </w:tc>
        <w:tc>
          <w:tcPr/>
          <w:p>
            <w:pPr>
              <w:pStyle w:val="Compact"/>
              <w:jc w:val="left"/>
            </w:pPr>
            <w:r>
              <w:t xml:space="preserve">HV or patient etc</w:t>
            </w:r>
          </w:p>
        </w:tc>
        <w:tc>
          <w:tcPr/>
          <w:p>
            <w:pPr>
              <w:pStyle w:val="Compact"/>
              <w:jc w:val="left"/>
            </w:pPr>
            <w:r>
              <w:t xml:space="preserve">26.3</w:t>
            </w:r>
          </w:p>
        </w:tc>
        <w:tc>
          <w:tcPr/>
          <w:p>
            <w:pPr>
              <w:pStyle w:val="Compact"/>
              <w:jc w:val="left"/>
            </w:pPr>
            <w:r>
              <w:t xml:space="preserve">75.8</w:t>
            </w:r>
          </w:p>
        </w:tc>
        <w:tc>
          <w:tcPr/>
          <w:p>
            <w:pPr>
              <w:pStyle w:val="Compact"/>
              <w:jc w:val="left"/>
            </w:pPr>
            <w:r>
              <w:t xml:space="preserve">m</w:t>
            </w:r>
          </w:p>
        </w:tc>
        <w:tc>
          <w:tcPr/>
          <w:p>
            <w:pPr>
              <w:pStyle w:val="Compact"/>
              <w:jc w:val="left"/>
            </w:pPr>
            <w:r>
              <w:t xml:space="preserve">6</w:t>
            </w:r>
          </w:p>
        </w:tc>
        <w:tc>
          <w:tcPr/>
          <w:p>
            <w:pPr>
              <w:pStyle w:val="Compact"/>
              <w:jc w:val="left"/>
            </w:pPr>
            <w:r>
              <w:t xml:space="preserve">tablet</w:t>
            </w:r>
          </w:p>
        </w:tc>
        <w:tc>
          <w:tcPr/>
          <w:p>
            <w:pPr>
              <w:pStyle w:val="Compact"/>
            </w:pPr>
          </w:p>
        </w:tc>
      </w:tr>
      <w:tr>
        <w:tc>
          <w:tcPr/>
          <w:p>
            <w:pPr>
              <w:pStyle w:val="Compact"/>
              <w:jc w:val="left"/>
            </w:pPr>
            <w:hyperlink w:anchor="Xa559bd5247f9128e74e6edcc17de37648e8cde6">
              <w:r>
                <w:rPr>
                  <w:rStyle w:val="Hyperlink"/>
                </w:rPr>
                <w:t xml:space="preserve">Ignjatovic 2009</w:t>
              </w:r>
            </w:hyperlink>
          </w:p>
        </w:tc>
        <w:tc>
          <w:tcPr/>
          <w:p>
            <w:pPr>
              <w:pStyle w:val="Compact"/>
              <w:jc w:val="left"/>
            </w:pPr>
            <w:r>
              <w:t xml:space="preserve">p.o.</w:t>
            </w:r>
          </w:p>
        </w:tc>
        <w:tc>
          <w:tcPr/>
          <w:p>
            <w:pPr>
              <w:pStyle w:val="Compact"/>
              <w:jc w:val="left"/>
            </w:pPr>
            <w:r>
              <w:t xml:space="preserve">150 t.i.d.</w:t>
            </w:r>
          </w:p>
        </w:tc>
        <w:tc>
          <w:tcPr/>
          <w:p>
            <w:pPr>
              <w:pStyle w:val="Compact"/>
              <w:jc w:val="left"/>
            </w:pPr>
            <w:r>
              <w:t xml:space="preserve">Pat</w:t>
            </w:r>
          </w:p>
        </w:tc>
        <w:tc>
          <w:tcPr/>
          <w:p>
            <w:pPr>
              <w:pStyle w:val="Compact"/>
              <w:jc w:val="left"/>
            </w:pPr>
            <w:r>
              <w:t xml:space="preserve">-</w:t>
            </w:r>
          </w:p>
        </w:tc>
        <w:tc>
          <w:tcPr/>
          <w:p>
            <w:pPr>
              <w:pStyle w:val="Compact"/>
              <w:jc w:val="left"/>
            </w:pPr>
            <w:r>
              <w:t xml:space="preserve">-</w:t>
            </w:r>
          </w:p>
        </w:tc>
        <w:tc>
          <w:tcPr/>
          <w:p>
            <w:pPr>
              <w:pStyle w:val="Compact"/>
              <w:jc w:val="left"/>
            </w:pPr>
            <w:r>
              <w:t xml:space="preserve">m/f</w:t>
            </w:r>
          </w:p>
        </w:tc>
        <w:tc>
          <w:tcPr/>
          <w:p>
            <w:pPr>
              <w:pStyle w:val="Compact"/>
              <w:jc w:val="left"/>
            </w:pPr>
            <w:r>
              <w:t xml:space="preserve">6</w:t>
            </w:r>
          </w:p>
        </w:tc>
        <w:tc>
          <w:tcPr/>
          <w:p>
            <w:pPr>
              <w:pStyle w:val="Compact"/>
              <w:jc w:val="left"/>
            </w:pPr>
            <w:r>
              <w:t xml:space="preserve">tablet</w:t>
            </w:r>
          </w:p>
        </w:tc>
        <w:tc>
          <w:tcPr/>
          <w:p>
            <w:pPr>
              <w:pStyle w:val="Compact"/>
            </w:pPr>
          </w:p>
        </w:tc>
      </w:tr>
      <w:tr>
        <w:tc>
          <w:tcPr/>
          <w:p>
            <w:pPr>
              <w:pStyle w:val="Compact"/>
              <w:jc w:val="left"/>
            </w:pPr>
            <w:hyperlink w:anchor="Xa559bd5247f9128e74e6edcc17de37648e8cde6">
              <w:r>
                <w:rPr>
                  <w:rStyle w:val="Hyperlink"/>
                </w:rPr>
                <w:t xml:space="preserve">Dingemanse 1998</w:t>
              </w:r>
            </w:hyperlink>
          </w:p>
        </w:tc>
        <w:tc>
          <w:tcPr/>
          <w:p>
            <w:pPr>
              <w:pStyle w:val="Compact"/>
              <w:jc w:val="left"/>
            </w:pPr>
            <w:r>
              <w:t xml:space="preserve">p.o.</w:t>
            </w:r>
          </w:p>
        </w:tc>
        <w:tc>
          <w:tcPr/>
          <w:p>
            <w:pPr>
              <w:pStyle w:val="Compact"/>
              <w:jc w:val="left"/>
            </w:pPr>
            <w:r>
              <w:t xml:space="preserve">300 s.d.</w:t>
            </w:r>
          </w:p>
        </w:tc>
        <w:tc>
          <w:tcPr/>
          <w:p>
            <w:pPr>
              <w:pStyle w:val="Compact"/>
              <w:jc w:val="left"/>
            </w:pPr>
            <w:r>
              <w:t xml:space="preserve">HV</w:t>
            </w:r>
          </w:p>
        </w:tc>
        <w:tc>
          <w:tcPr/>
          <w:p>
            <w:pPr>
              <w:pStyle w:val="Compact"/>
              <w:jc w:val="left"/>
            </w:pPr>
            <w:r>
              <w:t xml:space="preserve">-</w:t>
            </w:r>
          </w:p>
        </w:tc>
        <w:tc>
          <w:tcPr/>
          <w:p>
            <w:pPr>
              <w:pStyle w:val="Compact"/>
              <w:jc w:val="left"/>
            </w:pPr>
            <w:r>
              <w:t xml:space="preserve">-</w:t>
            </w:r>
          </w:p>
        </w:tc>
        <w:tc>
          <w:tcPr/>
          <w:p>
            <w:pPr>
              <w:pStyle w:val="Compact"/>
              <w:jc w:val="left"/>
            </w:pPr>
            <w:r>
              <w:t xml:space="preserve">f/m</w:t>
            </w:r>
          </w:p>
        </w:tc>
        <w:tc>
          <w:tcPr/>
          <w:p>
            <w:pPr>
              <w:pStyle w:val="Compact"/>
              <w:jc w:val="left"/>
            </w:pPr>
            <w:r>
              <w:t xml:space="preserve">12</w:t>
            </w:r>
          </w:p>
        </w:tc>
        <w:tc>
          <w:tcPr/>
          <w:p>
            <w:pPr>
              <w:pStyle w:val="Compact"/>
              <w:jc w:val="left"/>
            </w:pPr>
            <w:r>
              <w:t xml:space="preserve">tablet</w:t>
            </w:r>
          </w:p>
        </w:tc>
        <w:tc>
          <w:tcPr/>
          <w:p>
            <w:pPr>
              <w:pStyle w:val="Compact"/>
            </w:pPr>
          </w:p>
        </w:tc>
      </w:tr>
      <w:tr>
        <w:tc>
          <w:tcPr/>
          <w:p>
            <w:pPr>
              <w:pStyle w:val="Compact"/>
              <w:jc w:val="left"/>
            </w:pPr>
            <w:hyperlink w:anchor="Xa559bd5247f9128e74e6edcc17de37648e8cde6">
              <w:r>
                <w:rPr>
                  <w:rStyle w:val="Hyperlink"/>
                </w:rPr>
                <w:t xml:space="preserve">Schoerlin 1987</w:t>
              </w:r>
            </w:hyperlink>
            <w:r>
              <w:rPr>
                <w:vertAlign w:val="superscript"/>
              </w:rPr>
              <w:t xml:space="preserve">+</w:t>
            </w:r>
          </w:p>
        </w:tc>
        <w:tc>
          <w:tcPr/>
          <w:p>
            <w:pPr>
              <w:pStyle w:val="Compact"/>
              <w:jc w:val="left"/>
            </w:pPr>
            <w:r>
              <w:t xml:space="preserve">p.o. &amp; i.v. infusion</w:t>
            </w:r>
          </w:p>
        </w:tc>
        <w:tc>
          <w:tcPr/>
          <w:p>
            <w:pPr>
              <w:pStyle w:val="Compact"/>
              <w:jc w:val="left"/>
            </w:pPr>
            <w:r>
              <w:t xml:space="preserve">150 t.i.d. /s.d.</w:t>
            </w:r>
          </w:p>
        </w:tc>
        <w:tc>
          <w:tcPr/>
          <w:p>
            <w:pPr>
              <w:pStyle w:val="Compact"/>
              <w:jc w:val="left"/>
            </w:pPr>
            <w:r>
              <w:t xml:space="preserve">HV</w:t>
            </w:r>
          </w:p>
        </w:tc>
        <w:tc>
          <w:tcPr/>
          <w:p>
            <w:pPr>
              <w:pStyle w:val="Compact"/>
              <w:jc w:val="left"/>
            </w:pPr>
            <w:r>
              <w:t xml:space="preserve">27</w:t>
            </w:r>
          </w:p>
        </w:tc>
        <w:tc>
          <w:tcPr/>
          <w:p>
            <w:pPr>
              <w:pStyle w:val="Compact"/>
              <w:jc w:val="left"/>
            </w:pPr>
            <w:r>
              <w:t xml:space="preserve">76</w:t>
            </w:r>
          </w:p>
        </w:tc>
        <w:tc>
          <w:tcPr/>
          <w:p>
            <w:pPr>
              <w:pStyle w:val="Compact"/>
              <w:jc w:val="left"/>
            </w:pPr>
            <w:r>
              <w:t xml:space="preserve">m</w:t>
            </w:r>
          </w:p>
        </w:tc>
        <w:tc>
          <w:tcPr/>
          <w:p>
            <w:pPr>
              <w:pStyle w:val="Compact"/>
              <w:jc w:val="left"/>
            </w:pPr>
            <w:r>
              <w:t xml:space="preserve">12</w:t>
            </w:r>
          </w:p>
        </w:tc>
        <w:tc>
          <w:tcPr/>
          <w:p>
            <w:pPr>
              <w:pStyle w:val="Compact"/>
              <w:jc w:val="left"/>
            </w:pPr>
            <w:r>
              <w:t xml:space="preserve">tablet/ solution</w:t>
            </w:r>
          </w:p>
        </w:tc>
        <w:tc>
          <w:tcPr/>
          <w:p>
            <w:pPr>
              <w:pStyle w:val="Compact"/>
            </w:pPr>
          </w:p>
        </w:tc>
      </w:tr>
      <w:tr>
        <w:tc>
          <w:tcPr/>
          <w:p>
            <w:pPr>
              <w:pStyle w:val="Compact"/>
              <w:jc w:val="left"/>
            </w:pPr>
            <w:hyperlink w:anchor="Xa559bd5247f9128e74e6edcc17de37648e8cde6">
              <w:r>
                <w:rPr>
                  <w:rStyle w:val="Hyperlink"/>
                </w:rPr>
                <w:t xml:space="preserve">Guentert 1990</w:t>
              </w:r>
            </w:hyperlink>
            <w:r>
              <w:rPr>
                <w:vertAlign w:val="superscript"/>
              </w:rPr>
              <w:t xml:space="preserve">+</w:t>
            </w:r>
          </w:p>
        </w:tc>
        <w:tc>
          <w:tcPr/>
          <w:p>
            <w:pPr>
              <w:pStyle w:val="Compact"/>
              <w:jc w:val="left"/>
            </w:pPr>
            <w:r>
              <w:t xml:space="preserve">p.o.</w:t>
            </w:r>
          </w:p>
        </w:tc>
        <w:tc>
          <w:tcPr/>
          <w:p>
            <w:pPr>
              <w:pStyle w:val="Compact"/>
              <w:jc w:val="left"/>
            </w:pPr>
            <w:r>
              <w:t xml:space="preserve">150 t.i.d.</w:t>
            </w:r>
          </w:p>
        </w:tc>
        <w:tc>
          <w:tcPr/>
          <w:p>
            <w:pPr>
              <w:pStyle w:val="Compact"/>
              <w:jc w:val="left"/>
            </w:pPr>
            <w:r>
              <w:t xml:space="preserve">HV</w:t>
            </w:r>
          </w:p>
        </w:tc>
        <w:tc>
          <w:tcPr/>
          <w:p>
            <w:pPr>
              <w:pStyle w:val="Compact"/>
              <w:jc w:val="left"/>
            </w:pPr>
            <w:r>
              <w:t xml:space="preserve">19-29</w:t>
            </w:r>
          </w:p>
        </w:tc>
        <w:tc>
          <w:tcPr/>
          <w:p>
            <w:pPr>
              <w:pStyle w:val="Compact"/>
              <w:jc w:val="left"/>
            </w:pPr>
            <w:r>
              <w:t xml:space="preserve">59-86</w:t>
            </w:r>
          </w:p>
        </w:tc>
        <w:tc>
          <w:tcPr/>
          <w:p>
            <w:pPr>
              <w:pStyle w:val="Compact"/>
              <w:jc w:val="left"/>
            </w:pPr>
            <w:r>
              <w:t xml:space="preserve">m/f</w:t>
            </w:r>
          </w:p>
        </w:tc>
        <w:tc>
          <w:tcPr/>
          <w:p>
            <w:pPr>
              <w:pStyle w:val="Compact"/>
              <w:jc w:val="left"/>
            </w:pPr>
            <w:r>
              <w:t xml:space="preserve">14</w:t>
            </w:r>
          </w:p>
        </w:tc>
        <w:tc>
          <w:tcPr/>
          <w:p>
            <w:pPr>
              <w:pStyle w:val="Compact"/>
              <w:jc w:val="left"/>
            </w:pPr>
            <w:r>
              <w:t xml:space="preserve">tablet</w:t>
            </w:r>
          </w:p>
        </w:tc>
        <w:tc>
          <w:tcPr/>
          <w:p>
            <w:pPr>
              <w:pStyle w:val="Compact"/>
            </w:pPr>
          </w:p>
        </w:tc>
      </w:tr>
      <w:tr>
        <w:tc>
          <w:tcPr/>
          <w:p>
            <w:pPr>
              <w:pStyle w:val="Compact"/>
              <w:jc w:val="left"/>
            </w:pPr>
            <w:hyperlink w:anchor="Xa559bd5247f9128e74e6edcc17de37648e8cde6">
              <w:r>
                <w:rPr>
                  <w:rStyle w:val="Hyperlink"/>
                </w:rPr>
                <w:t xml:space="preserve">Raaflaub 1984</w:t>
              </w:r>
            </w:hyperlink>
            <w:r>
              <w:rPr>
                <w:vertAlign w:val="superscript"/>
              </w:rPr>
              <w:t xml:space="preserve">+</w:t>
            </w:r>
          </w:p>
        </w:tc>
        <w:tc>
          <w:tcPr/>
          <w:p>
            <w:pPr>
              <w:pStyle w:val="Compact"/>
              <w:jc w:val="left"/>
            </w:pPr>
            <w:r>
              <w:t xml:space="preserve">p.o. &amp; i.v. infusion</w:t>
            </w:r>
          </w:p>
        </w:tc>
        <w:tc>
          <w:tcPr/>
          <w:p>
            <w:pPr>
              <w:pStyle w:val="Compact"/>
              <w:jc w:val="left"/>
            </w:pPr>
            <w:r>
              <w:t xml:space="preserve">50 s.d.</w:t>
            </w:r>
          </w:p>
        </w:tc>
        <w:tc>
          <w:tcPr/>
          <w:p>
            <w:pPr>
              <w:pStyle w:val="Compact"/>
              <w:jc w:val="left"/>
            </w:pPr>
            <w:r>
              <w:t xml:space="preserve">HV</w:t>
            </w:r>
          </w:p>
        </w:tc>
        <w:tc>
          <w:tcPr/>
          <w:p>
            <w:pPr>
              <w:pStyle w:val="Compact"/>
              <w:jc w:val="left"/>
            </w:pPr>
            <w:r>
              <w:t xml:space="preserve">42</w:t>
            </w:r>
          </w:p>
        </w:tc>
        <w:tc>
          <w:tcPr/>
          <w:p>
            <w:pPr>
              <w:pStyle w:val="Compact"/>
              <w:jc w:val="left"/>
            </w:pPr>
            <w:r>
              <w:t xml:space="preserve">4</w:t>
            </w:r>
          </w:p>
        </w:tc>
        <w:tc>
          <w:tcPr/>
          <w:p>
            <w:pPr>
              <w:pStyle w:val="Compact"/>
              <w:jc w:val="left"/>
            </w:pPr>
            <w:r>
              <w:t xml:space="preserve">m</w:t>
            </w:r>
          </w:p>
        </w:tc>
        <w:tc>
          <w:tcPr/>
          <w:p>
            <w:pPr>
              <w:pStyle w:val="Compact"/>
              <w:jc w:val="left"/>
            </w:pPr>
            <w:r>
              <w:t xml:space="preserve">6</w:t>
            </w:r>
          </w:p>
        </w:tc>
        <w:tc>
          <w:tcPr/>
          <w:p>
            <w:pPr>
              <w:pStyle w:val="Compact"/>
              <w:jc w:val="left"/>
            </w:pPr>
            <w:r>
              <w:t xml:space="preserve">tablet/ solution</w:t>
            </w:r>
          </w:p>
        </w:tc>
        <w:tc>
          <w:tcPr/>
          <w:p>
            <w:pPr>
              <w:pStyle w:val="Compact"/>
            </w:pPr>
          </w:p>
        </w:tc>
      </w:tr>
    </w:tbl>
    <w:p>
      <w:pPr>
        <w:pStyle w:val="BodyText"/>
      </w:pPr>
      <w:r>
        <w:rPr>
          <w:bCs/>
          <w:b/>
        </w:rPr>
        <w:t xml:space="preserve">Table 2:</w:t>
      </w:r>
      <w:r>
        <w:t xml:space="preserve"> </w:t>
      </w:r>
      <w:r>
        <w:t xml:space="preserve">Literature sources of clinical concentration data of moclobemide used for model development and validation.</w:t>
      </w:r>
      <w:r>
        <w:t xml:space="preserve"> </w:t>
      </w:r>
      <w:r>
        <w:rPr>
          <w:iCs/>
          <w:i/>
        </w:rPr>
        <w:t xml:space="preserve">-: respective information was not provided in the literature source; *:single dose unless otherwise specified; EM: extensive metabolizers; PM: poor metabolizers;</w:t>
      </w:r>
      <w:r>
        <w:rPr>
          <w:iCs/>
          <w:i/>
        </w:rPr>
        <w:t xml:space="preserve"> </w:t>
      </w:r>
      <w:r>
        <w:rPr>
          <w:vertAlign w:val="superscript"/>
          <w:iCs/>
          <w:i/>
        </w:rPr>
        <w:t xml:space="preserve">+</w:t>
      </w:r>
      <w:r>
        <w:rPr>
          <w:iCs/>
          <w:i/>
        </w:rPr>
        <w:t xml:space="preserve">: Data used for final parameter identification</w:t>
      </w:r>
      <w:bookmarkStart w:id="table-2" w:name="table-2"/>
      <w:bookmarkEnd w:id="table-2"/>
    </w:p>
    <w:bookmarkEnd w:id="23"/>
    <w:bookmarkEnd w:id="24"/>
    <w:bookmarkStart w:id="29"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5" w:name="absorption"/>
    <w:p>
      <w:pPr>
        <w:pStyle w:val="Heading3"/>
      </w:pPr>
      <w:r>
        <w:t xml:space="preserve">2.3.1 Absorption</w:t>
      </w:r>
    </w:p>
    <w:p>
      <w:pPr>
        <w:pStyle w:val="FirstParagraph"/>
      </w:pPr>
      <w:r>
        <w:t xml:space="preserve">Particle dissolution for the formulation has been selected.</w:t>
      </w:r>
    </w:p>
    <w:bookmarkEnd w:id="25"/>
    <w:bookmarkStart w:id="26" w:name="distribution"/>
    <w:p>
      <w:pPr>
        <w:pStyle w:val="Heading3"/>
      </w:pPr>
      <w:r>
        <w:t xml:space="preserve">2.3.2 Distribution</w:t>
      </w:r>
    </w:p>
    <w:p>
      <w:pPr>
        <w:pStyle w:val="FirstParagraph"/>
      </w:pPr>
      <w:r>
        <w:t xml:space="preserve">Physico-chemical parameters were set to the reported values (see</w:t>
      </w:r>
      <w:r>
        <w:t xml:space="preserve"> </w:t>
      </w:r>
      <w:hyperlink w:anchor="X63598919d7fab7e51e201e8db58061e8fc5e9b5">
        <w:r>
          <w:rPr>
            <w:rStyle w:val="Hyperlink"/>
          </w:rPr>
          <w:t xml:space="preserve">Section 2.2.1</w:t>
        </w:r>
      </w:hyperlink>
      <w:r>
        <w:t xml:space="preserve">). It was assumed that the major binding partner in plasma is albumin.</w:t>
      </w:r>
    </w:p>
    <w:p>
      <w:pPr>
        <w:pStyle w:val="BodyText"/>
      </w:pPr>
      <w:r>
        <w:t xml:space="preserve">After testing the available organ-plasma partition coefficient and cell permeability calculation methods available in PK-Sim, observed clinical data were best described by choosing the partition coefficient calculation by</w:t>
      </w:r>
      <w:r>
        <w:t xml:space="preserve"> </w:t>
      </w:r>
      <w:r>
        <w:rPr>
          <w:rStyle w:val="VerbatimChar"/>
        </w:rPr>
        <w:t xml:space="preserve">Rodgers and Rowland</w:t>
      </w:r>
      <w:r>
        <w:t xml:space="preserve"> </w:t>
      </w:r>
      <w:r>
        <w:t xml:space="preserve">and cellular permeability calculation by</w:t>
      </w:r>
      <w:r>
        <w:t xml:space="preserve"> </w:t>
      </w:r>
      <w:r>
        <w:rPr>
          <w:rStyle w:val="VerbatimChar"/>
        </w:rPr>
        <w:t xml:space="preserve">PK-Sim Standard</w:t>
      </w:r>
      <w:r>
        <w:t xml:space="preserve">.</w:t>
      </w:r>
    </w:p>
    <w:bookmarkEnd w:id="26"/>
    <w:bookmarkStart w:id="27" w:name="metabolism-and-elimination"/>
    <w:p>
      <w:pPr>
        <w:pStyle w:val="Heading3"/>
      </w:pPr>
      <w:r>
        <w:t xml:space="preserve">2.3.3 Metabolism and Elimination</w:t>
      </w:r>
    </w:p>
    <w:p>
      <w:pPr>
        <w:pStyle w:val="FirstParagraph"/>
      </w:pPr>
      <w:r>
        <w:t xml:space="preserve">Two metabolic pathways were implement in the model:</w:t>
      </w:r>
    </w:p>
    <w:p>
      <w:pPr>
        <w:numPr>
          <w:ilvl w:val="0"/>
          <w:numId w:val="1002"/>
        </w:numPr>
        <w:pStyle w:val="Compact"/>
      </w:pPr>
      <w:r>
        <w:t xml:space="preserve">Saturable CYP2C19 mediated metabolization.</w:t>
      </w:r>
    </w:p>
    <w:p>
      <w:pPr>
        <w:numPr>
          <w:ilvl w:val="0"/>
          <w:numId w:val="1002"/>
        </w:numPr>
        <w:pStyle w:val="Compact"/>
      </w:pPr>
      <w:r>
        <w:t xml:space="preserve">Linear FMO mediated to account for lumped non-CYP metabolization.</w:t>
      </w:r>
    </w:p>
    <w:p>
      <w:pPr>
        <w:pStyle w:val="FirstParagraph"/>
      </w:pPr>
      <w:r>
        <w:t xml:space="preserve">Data after repeated dosing indicates some sort of time-dependent elimination. The addition of an inhibitory metabolite may be an explanation. However, it would be very challenging to incorporate the kinetics of such a metabolite in the existing model, taking into account that no data on IC50 or Ki are available for such a metabolite. Therefore, it was decided to account for the time-dependency by simply including a time-dependent autoinhibition on CYP2C19 enzyme system.</w:t>
      </w:r>
    </w:p>
    <w:p>
      <w:pPr>
        <w:pStyle w:val="BodyText"/>
      </w:pPr>
      <w:r>
        <w:t xml:space="preserve">Given the available data, the parameters Kinact and Kinact_half defining the time-dependent autoinhibition could not be estimated together (not separately identifiable). Assuming Kinact is enzyme but not substance specific, it was decided to fix Kinact to the value reported by</w:t>
      </w:r>
      <w:r>
        <w:t xml:space="preserve"> </w:t>
      </w:r>
      <w:hyperlink w:anchor="Xa559bd5247f9128e74e6edcc17de37648e8cde6">
        <w:r>
          <w:rPr>
            <w:rStyle w:val="Hyperlink"/>
          </w:rPr>
          <w:t xml:space="preserve">Wu 2014</w:t>
        </w:r>
      </w:hyperlink>
      <w:r>
        <w:t xml:space="preserve"> </w:t>
      </w:r>
      <w:r>
        <w:t xml:space="preserve">for omeprazole and only estimate Kinact_half.</w:t>
      </w:r>
    </w:p>
    <w:bookmarkEnd w:id="27"/>
    <w:bookmarkStart w:id="28" w:name="automated-parameter-identification"/>
    <w:p>
      <w:pPr>
        <w:pStyle w:val="Heading3"/>
      </w:pPr>
      <w:r>
        <w:t xml:space="preserve">2.3.4 Automated Parameter Identification</w:t>
      </w:r>
    </w:p>
    <w:p>
      <w:pPr>
        <w:pStyle w:val="FirstParagraph"/>
      </w:pPr>
      <w:r>
        <w:t xml:space="preserve">Following parameter values were estimated for the base model:</w:t>
      </w:r>
    </w:p>
    <w:p>
      <w:pPr>
        <w:numPr>
          <w:ilvl w:val="0"/>
          <w:numId w:val="1003"/>
        </w:numPr>
      </w:pPr>
      <w:r>
        <w:t xml:space="preserve">Km_2C19</w:t>
      </w:r>
    </w:p>
    <w:p>
      <w:pPr>
        <w:numPr>
          <w:ilvl w:val="0"/>
          <w:numId w:val="1003"/>
        </w:numPr>
      </w:pPr>
      <w:r>
        <w:t xml:space="preserve">Vmax_2C19</w:t>
      </w:r>
    </w:p>
    <w:p>
      <w:pPr>
        <w:numPr>
          <w:ilvl w:val="0"/>
          <w:numId w:val="1003"/>
        </w:numPr>
      </w:pPr>
      <w:r>
        <w:t xml:space="preserve">Intrinsic Clearance FMO (i.e. non CYP2C19 metabolism)</w:t>
      </w:r>
    </w:p>
    <w:p>
      <w:pPr>
        <w:numPr>
          <w:ilvl w:val="0"/>
          <w:numId w:val="1003"/>
        </w:numPr>
      </w:pPr>
      <w:r>
        <w:t xml:space="preserve">Kinact</w:t>
      </w:r>
      <w:r>
        <w:rPr>
          <w:vertAlign w:val="subscript"/>
        </w:rPr>
        <w:t xml:space="preserve">half</w:t>
      </w:r>
      <w:r>
        <w:t xml:space="preserve"> </w:t>
      </w:r>
      <w:r>
        <w:t xml:space="preserve">CYP2C19 for time-dependent autoinhibition</w:t>
      </w:r>
    </w:p>
    <w:bookmarkEnd w:id="28"/>
    <w:bookmarkEnd w:id="29"/>
    <w:bookmarkEnd w:id="30"/>
    <w:bookmarkStart w:id="112"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next sections show:</w:t>
      </w:r>
    </w:p>
    <w:p>
      <w:pPr>
        <w:numPr>
          <w:ilvl w:val="0"/>
          <w:numId w:val="1004"/>
        </w:numPr>
        <w:pStyle w:val="Compact"/>
      </w:pPr>
      <w:r>
        <w:t xml:space="preserve">Final model input parameters for the building blocks:</w:t>
      </w:r>
      <w:r>
        <w:t xml:space="preserve"> </w:t>
      </w:r>
      <w:hyperlink w:anchor="Xc6cf42871317160fa8533d05504fe9284eb5963">
        <w:r>
          <w:rPr>
            <w:rStyle w:val="Hyperlink"/>
          </w:rPr>
          <w:t xml:space="preserve">Section 3.1</w:t>
        </w:r>
      </w:hyperlink>
      <w:r>
        <w:t xml:space="preserve">.</w:t>
      </w:r>
    </w:p>
    <w:p>
      <w:pPr>
        <w:numPr>
          <w:ilvl w:val="0"/>
          <w:numId w:val="1004"/>
        </w:numPr>
        <w:pStyle w:val="Compact"/>
      </w:pPr>
      <w:r>
        <w:t xml:space="preserve">Overall goodness of fit:</w:t>
      </w:r>
      <w:r>
        <w:t xml:space="preserve"> </w:t>
      </w:r>
      <w:hyperlink w:anchor="X8f3aeddcae968e1d328d29ba9adb7d6f485cab0">
        <w:r>
          <w:rPr>
            <w:rStyle w:val="Hyperlink"/>
          </w:rPr>
          <w:t xml:space="preserve">Section 3.2</w:t>
        </w:r>
      </w:hyperlink>
      <w:r>
        <w:t xml:space="preserve">.</w:t>
      </w:r>
    </w:p>
    <w:p>
      <w:pPr>
        <w:numPr>
          <w:ilvl w:val="0"/>
          <w:numId w:val="1004"/>
        </w:numPr>
        <w:pStyle w:val="Compact"/>
      </w:pPr>
      <w:r>
        <w:t xml:space="preserve">Simulated vs. observed concentration-time profiles for the clinical studies used for model building and for model verification:</w:t>
      </w:r>
      <w:r>
        <w:t xml:space="preserve"> </w:t>
      </w:r>
      <w:hyperlink w:anchor="Xdc8b4cf40574b5c39801a4fb59aa003db333782">
        <w:r>
          <w:rPr>
            <w:rStyle w:val="Hyperlink"/>
          </w:rPr>
          <w:t xml:space="preserve">Section 3.3</w:t>
        </w:r>
      </w:hyperlink>
      <w:r>
        <w:t xml:space="preserve">.</w:t>
      </w:r>
    </w:p>
    <w:bookmarkStart w:id="47"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parameter values of the final PBPK model are illustrated below.</w:t>
      </w:r>
    </w:p>
    <w:bookmarkStart w:id="44" w:name="compound-moclobemide"/>
    <w:p>
      <w:pPr>
        <w:pStyle w:val="Heading3"/>
      </w:pPr>
      <w:r>
        <w:t xml:space="preserve">Compound: Moclobemide</w:t>
      </w:r>
    </w:p>
    <w:bookmarkStart w:id="31" w:name="parameters"/>
    <w:p>
      <w:pPr>
        <w:pStyle w:val="Heading4"/>
      </w:pPr>
      <w:r>
        <w:t xml:space="preserve">Parameters</w:t>
      </w:r>
    </w:p>
    <w:tbl>
      <w:tblPr>
        <w:tblStyle w:val="Table"/>
        <w:tblW w:type="pct" w:w="5000"/>
        <w:tblLook w:firstRow="1" w:lastRow="0" w:firstColumn="0" w:lastColumn="0" w:noHBand="0" w:noVBand="0" w:val="0020"/>
        <w:jc w:val="start"/>
      </w:tblPr>
      <w:tblGrid>
        <w:gridCol w:w="3261"/>
        <w:gridCol w:w="1087"/>
        <w:gridCol w:w="2174"/>
        <w:gridCol w:w="854"/>
        <w:gridCol w:w="543"/>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3 mg/ml</w:t>
            </w:r>
          </w:p>
        </w:tc>
        <w:tc>
          <w:tcPr/>
          <w:p>
            <w:pPr>
              <w:pStyle w:val="Compact"/>
              <w:jc w:val="left"/>
            </w:pPr>
            <w:r>
              <w:t xml:space="preserve">Internet-Moclobemide, INCHEM</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6.8</w:t>
            </w:r>
          </w:p>
        </w:tc>
        <w:tc>
          <w:tcPr/>
          <w:p>
            <w:pPr>
              <w:pStyle w:val="Compact"/>
              <w:jc w:val="left"/>
            </w:pPr>
            <w:r>
              <w:t xml:space="preserve">Internet-Moclobemide, INCHEM</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1.79 Log Units</w:t>
            </w:r>
          </w:p>
        </w:tc>
        <w:tc>
          <w:tcPr/>
          <w:p>
            <w:pPr>
              <w:pStyle w:val="Compact"/>
              <w:jc w:val="left"/>
            </w:pPr>
            <w:r>
              <w:t xml:space="preserve">Publication-Pons 1990</w:t>
            </w:r>
          </w:p>
        </w:tc>
        <w:tc>
          <w:tcPr/>
          <w:p>
            <w:pPr>
              <w:pStyle w:val="Compact"/>
              <w:jc w:val="left"/>
            </w:pPr>
            <w:r>
              <w:t xml:space="preserve">logD</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0.5</w:t>
            </w:r>
          </w:p>
        </w:tc>
        <w:tc>
          <w:tcPr/>
          <w:p>
            <w:pPr>
              <w:pStyle w:val="Compact"/>
              <w:jc w:val="left"/>
            </w:pPr>
            <w:r>
              <w:t xml:space="preserve">Other-MHRA Label Moclobemide</w:t>
            </w:r>
          </w:p>
        </w:tc>
        <w:tc>
          <w:tcPr/>
          <w:p>
            <w:pPr>
              <w:pStyle w:val="Compact"/>
              <w:jc w:val="left"/>
            </w:pPr>
            <w:r>
              <w:t xml:space="preserve">Measurement</w:t>
            </w:r>
          </w:p>
        </w:tc>
        <w:tc>
          <w:tcPr/>
          <w:p>
            <w:pPr>
              <w:pStyle w:val="Compact"/>
              <w:jc w:val="left"/>
            </w:pPr>
            <w:r>
              <w:t xml:space="preserve">True</w:t>
            </w:r>
          </w:p>
        </w:tc>
      </w:tr>
      <w:tr>
        <w:tc>
          <w:tcPr/>
          <w:p>
            <w:pPr>
              <w:pStyle w:val="Compact"/>
              <w:jc w:val="left"/>
            </w:pPr>
            <w:r>
              <w:t xml:space="preserve">Cl</w:t>
            </w:r>
          </w:p>
        </w:tc>
        <w:tc>
          <w:tcPr/>
          <w:p>
            <w:pPr>
              <w:pStyle w:val="Compact"/>
              <w:jc w:val="left"/>
            </w:pPr>
            <w:r>
              <w:t xml:space="preserve">1</w:t>
            </w:r>
          </w:p>
        </w:tc>
        <w:tc>
          <w:tcPr/>
          <w:p>
            <w:pPr>
              <w:pStyle w:val="Compact"/>
              <w:jc w:val="left"/>
            </w:pPr>
            <w:r>
              <w:t xml:space="preserve">Database-DrugBank DB01171</w:t>
            </w:r>
          </w:p>
        </w:tc>
        <w:tc>
          <w:tcPr/>
          <w:p>
            <w:pPr>
              <w:pStyle w:val="Compact"/>
            </w:pPr>
          </w:p>
        </w:tc>
        <w:tc>
          <w:tcPr/>
          <w:p>
            <w:pPr>
              <w:pStyle w:val="Compact"/>
            </w:pP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268.74 g/mol</w:t>
            </w:r>
          </w:p>
        </w:tc>
        <w:tc>
          <w:tcPr/>
          <w:p>
            <w:pPr>
              <w:pStyle w:val="Compact"/>
              <w:jc w:val="left"/>
            </w:pPr>
            <w:r>
              <w:t xml:space="preserve">Database-DrugBank DB01171</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1"/>
    <w:bookmarkStart w:id="32"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Rodgers and Rowland</w:t>
            </w:r>
          </w:p>
        </w:tc>
      </w:tr>
      <w:tr>
        <w:tc>
          <w:tcPr/>
          <w:p>
            <w:pPr>
              <w:pStyle w:val="Compact"/>
              <w:jc w:val="left"/>
            </w:pPr>
            <w:r>
              <w:t xml:space="preserve">Cellular permeabilities</w:t>
            </w:r>
          </w:p>
        </w:tc>
        <w:tc>
          <w:tcPr/>
          <w:p>
            <w:pPr>
              <w:pStyle w:val="Compact"/>
              <w:jc w:val="left"/>
            </w:pPr>
            <w:r>
              <w:t xml:space="preserve">PK-Sim Standard</w:t>
            </w:r>
          </w:p>
        </w:tc>
      </w:tr>
    </w:tbl>
    <w:bookmarkEnd w:id="32"/>
    <w:bookmarkStart w:id="43" w:name="processes"/>
    <w:p>
      <w:pPr>
        <w:pStyle w:val="Heading4"/>
      </w:pPr>
      <w:r>
        <w:t xml:space="preserve">Processes</w:t>
      </w:r>
    </w:p>
    <w:bookmarkStart w:id="34" w:name="Xe7d42b0f174935775093b440bc4fb19f10b9659"/>
    <w:p>
      <w:pPr>
        <w:pStyle w:val="Heading5"/>
      </w:pPr>
      <w:r>
        <w:t xml:space="preserve">Metabolizing Enzyme: CYP2C19-Intrinsic-CL_MM_fit</w:t>
      </w:r>
    </w:p>
    <w:p>
      <w:pPr>
        <w:pStyle w:val="FirstParagraph"/>
      </w:pPr>
      <w:r>
        <w:t xml:space="preserve">Species: Human</w:t>
      </w:r>
    </w:p>
    <w:p>
      <w:pPr>
        <w:pStyle w:val="BodyText"/>
      </w:pPr>
      <w:r>
        <w:t xml:space="preserve">Molecule: CYP2C19</w:t>
      </w:r>
    </w:p>
    <w:bookmarkStart w:id="33" w:name="parameters-1"/>
    <w:p>
      <w:pPr>
        <w:pStyle w:val="Heading6"/>
      </w:pPr>
      <w:r>
        <w:t xml:space="preserve">Parameters</w:t>
      </w:r>
    </w:p>
    <w:tbl>
      <w:tblPr>
        <w:tblStyle w:val="Table"/>
        <w:tblW w:type="pct" w:w="5000"/>
        <w:tblLook w:firstRow="1" w:lastRow="0" w:firstColumn="0" w:lastColumn="0" w:noHBand="0" w:noVBand="0" w:val="0020"/>
        <w:jc w:val="start"/>
      </w:tblPr>
      <w:tblGrid>
        <w:gridCol w:w="2280"/>
        <w:gridCol w:w="2760"/>
        <w:gridCol w:w="288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Vmax (liver tissue)</w:t>
            </w:r>
          </w:p>
        </w:tc>
        <w:tc>
          <w:tcPr/>
          <w:p>
            <w:pPr>
              <w:pStyle w:val="Compact"/>
              <w:jc w:val="left"/>
            </w:pPr>
            <w:r>
              <w:t xml:space="preserve">2.03 µmol/min/kg tissue</w:t>
            </w:r>
          </w:p>
        </w:tc>
        <w:tc>
          <w:tcPr/>
          <w:p>
            <w:pPr>
              <w:pStyle w:val="Compact"/>
              <w:jc w:val="left"/>
            </w:pPr>
            <w:r>
              <w:t xml:space="preserve">Parameter Identification</w:t>
            </w:r>
          </w:p>
        </w:tc>
      </w:tr>
      <w:tr>
        <w:tc>
          <w:tcPr/>
          <w:p>
            <w:pPr>
              <w:pStyle w:val="Compact"/>
              <w:jc w:val="left"/>
            </w:pPr>
            <w:r>
              <w:t xml:space="preserve">Km</w:t>
            </w:r>
          </w:p>
        </w:tc>
        <w:tc>
          <w:tcPr/>
          <w:p>
            <w:pPr>
              <w:pStyle w:val="Compact"/>
              <w:jc w:val="left"/>
            </w:pPr>
            <w:r>
              <w:t xml:space="preserve">1.11 µmol/l</w:t>
            </w:r>
          </w:p>
        </w:tc>
        <w:tc>
          <w:tcPr/>
          <w:p>
            <w:pPr>
              <w:pStyle w:val="Compact"/>
              <w:jc w:val="left"/>
            </w:pPr>
            <w:r>
              <w:t xml:space="preserve">Parameter Identification</w:t>
            </w:r>
          </w:p>
        </w:tc>
      </w:tr>
    </w:tbl>
    <w:bookmarkEnd w:id="33"/>
    <w:bookmarkEnd w:id="34"/>
    <w:bookmarkStart w:id="36" w:name="Xeaeec70e2c129fc3b6e9e5728bc5825d5895c32"/>
    <w:p>
      <w:pPr>
        <w:pStyle w:val="Heading5"/>
      </w:pPr>
      <w:r>
        <w:t xml:space="preserve">Metabolizing Enzyme: FMO_other-Intrinsic-CL-fit</w:t>
      </w:r>
    </w:p>
    <w:p>
      <w:pPr>
        <w:pStyle w:val="FirstParagraph"/>
      </w:pPr>
      <w:r>
        <w:t xml:space="preserve">Species: Human</w:t>
      </w:r>
    </w:p>
    <w:p>
      <w:pPr>
        <w:pStyle w:val="BodyText"/>
      </w:pPr>
      <w:r>
        <w:t xml:space="preserve">Molecule: FMO_other</w:t>
      </w:r>
    </w:p>
    <w:bookmarkStart w:id="35" w:name="parameters-2"/>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Intrinsic clearance</w:t>
            </w:r>
          </w:p>
        </w:tc>
        <w:tc>
          <w:tcPr/>
          <w:p>
            <w:pPr>
              <w:pStyle w:val="Compact"/>
              <w:jc w:val="left"/>
            </w:pPr>
            <w:r>
              <w:t xml:space="preserve">0.24 l/min</w:t>
            </w:r>
          </w:p>
        </w:tc>
        <w:tc>
          <w:tcPr/>
          <w:p>
            <w:pPr>
              <w:pStyle w:val="Compact"/>
              <w:jc w:val="left"/>
            </w:pPr>
            <w:r>
              <w:t xml:space="preserve">Parameter Identification</w:t>
            </w:r>
          </w:p>
        </w:tc>
      </w:tr>
    </w:tbl>
    <w:bookmarkEnd w:id="35"/>
    <w:bookmarkEnd w:id="36"/>
    <w:bookmarkStart w:id="38" w:name="Xe9bb913753985c74cf61a5fb552378b94b13721"/>
    <w:p>
      <w:pPr>
        <w:pStyle w:val="Heading5"/>
      </w:pPr>
      <w:r>
        <w:t xml:space="preserve">Systemic Process: Renal Clearances-Schoerlin 1987</w:t>
      </w:r>
    </w:p>
    <w:p>
      <w:pPr>
        <w:pStyle w:val="FirstParagraph"/>
      </w:pPr>
      <w:r>
        <w:t xml:space="preserve">Species: Human</w:t>
      </w:r>
    </w:p>
    <w:bookmarkStart w:id="37" w:name="parameters-3"/>
    <w:p>
      <w:pPr>
        <w:pStyle w:val="Heading6"/>
      </w:pPr>
      <w:r>
        <w:t xml:space="preserve">Parameters</w:t>
      </w:r>
    </w:p>
    <w:tbl>
      <w:tblPr>
        <w:tblStyle w:val="Table"/>
        <w:tblW w:type="pct" w:w="5000"/>
        <w:tblLook w:firstRow="1" w:lastRow="0" w:firstColumn="0" w:lastColumn="0" w:noHBand="0" w:noVBand="0" w:val="0020"/>
        <w:jc w:val="start"/>
      </w:tblPr>
      <w:tblGrid>
        <w:gridCol w:w="3281"/>
        <w:gridCol w:w="1697"/>
        <w:gridCol w:w="2941"/>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Fraction unbound (experiment)</w:t>
            </w:r>
          </w:p>
        </w:tc>
        <w:tc>
          <w:tcPr/>
          <w:p>
            <w:pPr>
              <w:pStyle w:val="Compact"/>
              <w:jc w:val="left"/>
            </w:pPr>
            <w:r>
              <w:t xml:space="preserve">0.5</w:t>
            </w:r>
          </w:p>
        </w:tc>
        <w:tc>
          <w:tcPr/>
          <w:p>
            <w:pPr>
              <w:pStyle w:val="Compact"/>
            </w:pPr>
          </w:p>
        </w:tc>
      </w:tr>
      <w:tr>
        <w:tc>
          <w:tcPr/>
          <w:p>
            <w:pPr>
              <w:pStyle w:val="Compact"/>
              <w:jc w:val="left"/>
            </w:pPr>
            <w:r>
              <w:t xml:space="preserve">Plasma clearance</w:t>
            </w:r>
          </w:p>
        </w:tc>
        <w:tc>
          <w:tcPr/>
          <w:p>
            <w:pPr>
              <w:pStyle w:val="Compact"/>
              <w:jc w:val="left"/>
            </w:pPr>
            <w:r>
              <w:t xml:space="preserve">0.034 ml/min/kg</w:t>
            </w:r>
          </w:p>
        </w:tc>
        <w:tc>
          <w:tcPr/>
          <w:p>
            <w:pPr>
              <w:pStyle w:val="Compact"/>
              <w:jc w:val="left"/>
            </w:pPr>
            <w:r>
              <w:t xml:space="preserve">Publication-Schoerlin 1987</w:t>
            </w:r>
          </w:p>
        </w:tc>
      </w:tr>
    </w:tbl>
    <w:bookmarkEnd w:id="37"/>
    <w:bookmarkEnd w:id="38"/>
    <w:bookmarkStart w:id="40" w:name="inhibition-cyp2c19-kramer-unbound"/>
    <w:p>
      <w:pPr>
        <w:pStyle w:val="Heading5"/>
      </w:pPr>
      <w:r>
        <w:t xml:space="preserve">Inhibition: CYP2C19-Kramer-unbound</w:t>
      </w:r>
    </w:p>
    <w:p>
      <w:pPr>
        <w:pStyle w:val="FirstParagraph"/>
      </w:pPr>
      <w:r>
        <w:t xml:space="preserve">Molecule: CYP2C19</w:t>
      </w:r>
    </w:p>
    <w:bookmarkStart w:id="39" w:name="parameters-4"/>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Ki</w:t>
            </w:r>
          </w:p>
        </w:tc>
        <w:tc>
          <w:tcPr/>
          <w:p>
            <w:pPr>
              <w:pStyle w:val="Compact"/>
              <w:jc w:val="left"/>
            </w:pPr>
            <w:r>
              <w:t xml:space="preserve">203.82 µmol/l</w:t>
            </w:r>
          </w:p>
        </w:tc>
        <w:tc>
          <w:tcPr/>
          <w:p>
            <w:pPr>
              <w:pStyle w:val="Compact"/>
              <w:jc w:val="left"/>
            </w:pPr>
            <w:r>
              <w:t xml:space="preserve">Publication-Kramer-Nielsen 1996</w:t>
            </w:r>
          </w:p>
        </w:tc>
      </w:tr>
    </w:tbl>
    <w:bookmarkEnd w:id="39"/>
    <w:bookmarkEnd w:id="40"/>
    <w:bookmarkStart w:id="42" w:name="inhibition-cyp2c19-timedep_autoinh-fit"/>
    <w:p>
      <w:pPr>
        <w:pStyle w:val="Heading5"/>
      </w:pPr>
      <w:r>
        <w:t xml:space="preserve">Inhibition: CYP2C19-TimeDep_AutoInh-fit</w:t>
      </w:r>
    </w:p>
    <w:p>
      <w:pPr>
        <w:pStyle w:val="FirstParagraph"/>
      </w:pPr>
      <w:r>
        <w:t xml:space="preserve">Molecule: CYP2C19</w:t>
      </w:r>
    </w:p>
    <w:bookmarkStart w:id="41" w:name="parameters-5"/>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kinact</w:t>
            </w:r>
          </w:p>
        </w:tc>
        <w:tc>
          <w:tcPr/>
          <w:p>
            <w:pPr>
              <w:pStyle w:val="Compact"/>
              <w:jc w:val="left"/>
            </w:pPr>
            <w:r>
              <w:t xml:space="preserve">5 1/h</w:t>
            </w:r>
          </w:p>
        </w:tc>
        <w:tc>
          <w:tcPr/>
          <w:p>
            <w:pPr>
              <w:pStyle w:val="Compact"/>
              <w:jc w:val="left"/>
            </w:pPr>
            <w:r>
              <w:t xml:space="preserve">Publication-Wu2014</w:t>
            </w:r>
          </w:p>
        </w:tc>
      </w:tr>
      <w:tr>
        <w:tc>
          <w:tcPr/>
          <w:p>
            <w:pPr>
              <w:pStyle w:val="Compact"/>
              <w:jc w:val="left"/>
            </w:pPr>
            <w:r>
              <w:t xml:space="preserve">K_kinact_half</w:t>
            </w:r>
          </w:p>
        </w:tc>
        <w:tc>
          <w:tcPr/>
          <w:p>
            <w:pPr>
              <w:pStyle w:val="Compact"/>
              <w:jc w:val="left"/>
            </w:pPr>
            <w:r>
              <w:t xml:space="preserve">94.85 µmol/l</w:t>
            </w:r>
          </w:p>
        </w:tc>
        <w:tc>
          <w:tcPr/>
          <w:p>
            <w:pPr>
              <w:pStyle w:val="Compact"/>
              <w:jc w:val="left"/>
            </w:pPr>
            <w:r>
              <w:t xml:space="preserve">Parameter Identification</w:t>
            </w:r>
          </w:p>
        </w:tc>
      </w:tr>
    </w:tbl>
    <w:bookmarkEnd w:id="41"/>
    <w:bookmarkEnd w:id="42"/>
    <w:bookmarkEnd w:id="43"/>
    <w:bookmarkEnd w:id="44"/>
    <w:bookmarkStart w:id="46" w:name="formulation-moclobemide-tablet"/>
    <w:p>
      <w:pPr>
        <w:pStyle w:val="Heading3"/>
      </w:pPr>
      <w:r>
        <w:t xml:space="preserve">Formulation: Moclobemide tablet</w:t>
      </w:r>
    </w:p>
    <w:p>
      <w:pPr>
        <w:pStyle w:val="FirstParagraph"/>
      </w:pPr>
      <w:r>
        <w:t xml:space="preserve">Type: Particle Dissolution</w:t>
      </w:r>
    </w:p>
    <w:bookmarkStart w:id="45" w:name="parameters-6"/>
    <w:p>
      <w:pPr>
        <w:pStyle w:val="Heading4"/>
      </w:pPr>
      <w:r>
        <w:t xml:space="preserve">Parameters</w:t>
      </w:r>
    </w:p>
    <w:tbl>
      <w:tblPr>
        <w:tblStyle w:val="Table"/>
        <w:tblW w:type="pct" w:w="5000"/>
        <w:tblLook w:firstRow="1" w:lastRow="0" w:firstColumn="0" w:lastColumn="0" w:noHBand="0" w:noVBand="0" w:val="0020"/>
        <w:jc w:val="start"/>
      </w:tblPr>
      <w:tblGrid>
        <w:gridCol w:w="894"/>
        <w:gridCol w:w="315"/>
        <w:gridCol w:w="6709"/>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Thickness (unstirred water layer)</w:t>
            </w:r>
          </w:p>
        </w:tc>
        <w:tc>
          <w:tcPr/>
          <w:p>
            <w:pPr>
              <w:pStyle w:val="Compact"/>
              <w:jc w:val="left"/>
            </w:pPr>
            <w:r>
              <w:t xml:space="preserve">20 µm</w:t>
            </w:r>
          </w:p>
        </w:tc>
        <w:tc>
          <w:tcPr/>
          <w:p>
            <w:pPr>
              <w:pStyle w:val="Compact"/>
              <w:jc w:val="left"/>
            </w:pPr>
            <w:r>
              <w:t xml:space="preserve">Publication-Willmann S, Thelen K, Becker C, et al. Mechanism-based prediction of particle size-dependent dissolution and absorption: cilostazol pharmacokinetics in dogs. Eur J Pharm Biopharm. 2010 Sep;76(1):83-94 https://doi.org/10.1016/j.ejpb.2010.06.003</w:t>
            </w:r>
          </w:p>
        </w:tc>
      </w:tr>
      <w:tr>
        <w:tc>
          <w:tcPr/>
          <w:p>
            <w:pPr>
              <w:pStyle w:val="Compact"/>
              <w:jc w:val="left"/>
            </w:pPr>
            <w:r>
              <w:t xml:space="preserve">Type of particle size distribution</w:t>
            </w:r>
          </w:p>
        </w:tc>
        <w:tc>
          <w:tcPr/>
          <w:p>
            <w:pPr>
              <w:pStyle w:val="Compact"/>
              <w:jc w:val="left"/>
            </w:pPr>
            <w:r>
              <w:t xml:space="preserve">Monodisperse</w:t>
            </w:r>
          </w:p>
        </w:tc>
        <w:tc>
          <w:tcPr/>
          <w:p>
            <w:pPr>
              <w:pStyle w:val="Compact"/>
            </w:pPr>
          </w:p>
        </w:tc>
      </w:tr>
      <w:tr>
        <w:tc>
          <w:tcPr/>
          <w:p>
            <w:pPr>
              <w:pStyle w:val="Compact"/>
              <w:jc w:val="left"/>
            </w:pPr>
            <w:r>
              <w:t xml:space="preserve">Particle radius (mean)</w:t>
            </w:r>
          </w:p>
        </w:tc>
        <w:tc>
          <w:tcPr/>
          <w:p>
            <w:pPr>
              <w:pStyle w:val="Compact"/>
              <w:jc w:val="left"/>
            </w:pPr>
            <w:r>
              <w:t xml:space="preserve">10 µm</w:t>
            </w:r>
          </w:p>
        </w:tc>
        <w:tc>
          <w:tcPr/>
          <w:p>
            <w:pPr>
              <w:pStyle w:val="Compact"/>
            </w:pPr>
          </w:p>
        </w:tc>
      </w:tr>
    </w:tbl>
    <w:bookmarkEnd w:id="45"/>
    <w:bookmarkEnd w:id="46"/>
    <w:bookmarkEnd w:id="47"/>
    <w:bookmarkStart w:id="54" w:name="diagnostics-plots"/>
    <w:p>
      <w:pPr>
        <w:pStyle w:val="Heading2"/>
      </w:pPr>
      <w:r>
        <w:t xml:space="preserve">Diagnostics Plots</w:t>
      </w:r>
      <w:bookmarkStart w:id="diagnostics-plots" w:name="diagnostics-plots"/>
      <w:bookmarkEnd w:id="diagnostics-plots"/>
    </w:p>
    <w:p>
      <w:pPr>
        <w:pStyle w:val="FirstParagraph"/>
      </w:pPr>
      <w:r>
        <w:t xml:space="preserve">The following section displays the goodness-of-fit visual diagnostic plots for the PBPK model performance of all data listed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Moclobemide concentration in plasma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iv administration (model building)</w:t>
            </w:r>
          </w:p>
        </w:tc>
        <w:tc>
          <w:tcPr/>
          <w:p>
            <w:pPr>
              <w:pStyle w:val="Compact"/>
              <w:jc w:val="left"/>
            </w:pPr>
            <w:r>
              <w:t xml:space="preserve">1.29</w:t>
            </w:r>
          </w:p>
        </w:tc>
      </w:tr>
      <w:tr>
        <w:tc>
          <w:tcPr/>
          <w:p>
            <w:pPr>
              <w:pStyle w:val="Compact"/>
              <w:jc w:val="left"/>
            </w:pPr>
            <w:r>
              <w:t xml:space="preserve">Oral administration (model building)</w:t>
            </w:r>
          </w:p>
        </w:tc>
        <w:tc>
          <w:tcPr/>
          <w:p>
            <w:pPr>
              <w:pStyle w:val="Compact"/>
              <w:jc w:val="left"/>
            </w:pPr>
            <w:r>
              <w:t xml:space="preserve">1.56</w:t>
            </w:r>
          </w:p>
        </w:tc>
      </w:tr>
      <w:tr>
        <w:tc>
          <w:tcPr/>
          <w:p>
            <w:pPr>
              <w:pStyle w:val="Compact"/>
              <w:jc w:val="left"/>
            </w:pPr>
            <w:r>
              <w:t xml:space="preserve">Oral administration (model validation)</w:t>
            </w:r>
          </w:p>
        </w:tc>
        <w:tc>
          <w:tcPr/>
          <w:p>
            <w:pPr>
              <w:pStyle w:val="Compact"/>
              <w:jc w:val="left"/>
            </w:pPr>
            <w:r>
              <w:t xml:space="preserve">1.31</w:t>
            </w:r>
          </w:p>
        </w:tc>
      </w:tr>
      <w:tr>
        <w:tc>
          <w:tcPr/>
          <w:p>
            <w:pPr>
              <w:pStyle w:val="Compact"/>
              <w:jc w:val="left"/>
            </w:pPr>
            <w:r>
              <w:t xml:space="preserve">All</w:t>
            </w:r>
          </w:p>
        </w:tc>
        <w:tc>
          <w:tcPr/>
          <w:p>
            <w:pPr>
              <w:pStyle w:val="Compact"/>
              <w:jc w:val="left"/>
            </w:pPr>
            <w:r>
              <w:t xml:space="preserve">1.46</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788357"/>
            <wp:effectExtent b="0" l="0" r="0" t="0"/>
            <wp:docPr descr="" title="" id="49" name="Picture"/>
            <a:graphic>
              <a:graphicData uri="http://schemas.openxmlformats.org/drawingml/2006/picture">
                <pic:pic>
                  <pic:nvPicPr>
                    <pic:cNvPr descr="images/006_section_results-and-discussion/008_section_diagnostics-plots/2_gof_plot_predictedVsObserved.png" id="50" name="Picture"/>
                    <pic:cNvPicPr>
                      <a:picLocks noChangeArrowheads="1" noChangeAspect="1"/>
                    </pic:cNvPicPr>
                  </pic:nvPicPr>
                  <pic:blipFill>
                    <a:blip r:embed="rId48"/>
                    <a:stretch>
                      <a:fillRect/>
                    </a:stretch>
                  </pic:blipFill>
                  <pic:spPr bwMode="auto">
                    <a:xfrm>
                      <a:off x="0" y="0"/>
                      <a:ext cx="5969000" cy="6788357"/>
                    </a:xfrm>
                    <a:prstGeom prst="rect">
                      <a:avLst/>
                    </a:prstGeom>
                    <a:noFill/>
                    <a:ln w="9525">
                      <a:noFill/>
                      <a:headEnd/>
                      <a:tailEnd/>
                    </a:ln>
                  </pic:spPr>
                </pic:pic>
              </a:graphicData>
            </a:graphic>
          </wp:inline>
        </w:drawing>
      </w:r>
    </w:p>
    <w:p>
      <w:pPr>
        <w:pStyle w:val="BodyText"/>
      </w:pPr>
      <w:r>
        <w:rPr>
          <w:bCs/>
          <w:b/>
        </w:rPr>
        <w:t xml:space="preserve">Figure 3-1: Moclobemide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555540"/>
            <wp:effectExtent b="0" l="0" r="0" t="0"/>
            <wp:docPr descr="" title="" id="52" name="Picture"/>
            <a:graphic>
              <a:graphicData uri="http://schemas.openxmlformats.org/drawingml/2006/picture">
                <pic:pic>
                  <pic:nvPicPr>
                    <pic:cNvPr descr="images/006_section_results-and-discussion/008_section_diagnostics-plots/3_gof_plot_residualsOverTime.png" id="53" name="Picture"/>
                    <pic:cNvPicPr>
                      <a:picLocks noChangeArrowheads="1" noChangeAspect="1"/>
                    </pic:cNvPicPr>
                  </pic:nvPicPr>
                  <pic:blipFill>
                    <a:blip r:embed="rId51"/>
                    <a:stretch>
                      <a:fillRect/>
                    </a:stretch>
                  </pic:blipFill>
                  <pic:spPr bwMode="auto">
                    <a:xfrm>
                      <a:off x="0" y="0"/>
                      <a:ext cx="5969000" cy="4555540"/>
                    </a:xfrm>
                    <a:prstGeom prst="rect">
                      <a:avLst/>
                    </a:prstGeom>
                    <a:noFill/>
                    <a:ln w="9525">
                      <a:noFill/>
                      <a:headEnd/>
                      <a:tailEnd/>
                    </a:ln>
                  </pic:spPr>
                </pic:pic>
              </a:graphicData>
            </a:graphic>
          </wp:inline>
        </w:drawing>
      </w:r>
    </w:p>
    <w:p>
      <w:pPr>
        <w:pStyle w:val="BodyText"/>
      </w:pPr>
      <w:r>
        <w:rPr>
          <w:bCs/>
          <w:b/>
        </w:rPr>
        <w:t xml:space="preserve">Figure 3-2: Moclobemide concentration in plasma</w:t>
      </w:r>
    </w:p>
    <w:p>
      <w:pPr>
        <w:pStyle w:val="BodyText"/>
      </w:pPr>
      <w:r>
        <w:t xml:space="preserve"> </w:t>
      </w:r>
    </w:p>
    <w:bookmarkEnd w:id="54"/>
    <w:bookmarkStart w:id="111"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ookmarkStart w:id="94" w:name="model-building"/>
    <w:p>
      <w:pPr>
        <w:pStyle w:val="Heading3"/>
      </w:pPr>
      <w:r>
        <w:t xml:space="preserve">Model Building</w:t>
      </w:r>
      <w:bookmarkStart w:id="model-building" w:name="model-building"/>
      <w:bookmarkEnd w:id="model-building"/>
    </w:p>
    <w:br w:type="page"/>
    <w:p>
      <w:pPr>
        <w:pStyle w:val="FirstParagraph"/>
      </w:pPr>
      <w:bookmarkStart w:id="figure-3-3" w:name="figure-3-3"/>
      <w:bookmarkEnd w:id="figure-3-3"/>
    </w:p>
    <w:p>
      <w:pPr>
        <w:pStyle w:val="BodyText"/>
      </w:pPr>
      <w:r>
        <w:drawing>
          <wp:inline>
            <wp:extent cx="5969000" cy="5892596"/>
            <wp:effectExtent b="0" l="0" r="0" t="0"/>
            <wp:docPr descr="" title="" id="56" name="Picture"/>
            <a:graphic>
              <a:graphicData uri="http://schemas.openxmlformats.org/drawingml/2006/picture">
                <pic:pic>
                  <pic:nvPicPr>
                    <pic:cNvPr descr="images/006_section_results-and-discussion/009_section_ct-profiles/010_section_model-building/1_time_profile_plot_Moclobemide_50mg_iv.png" id="57" name="Picture"/>
                    <pic:cNvPicPr>
                      <a:picLocks noChangeArrowheads="1" noChangeAspect="1"/>
                    </pic:cNvPicPr>
                  </pic:nvPicPr>
                  <pic:blipFill>
                    <a:blip r:embed="rId55"/>
                    <a:stretch>
                      <a:fillRect/>
                    </a:stretch>
                  </pic:blipFill>
                  <pic:spPr bwMode="auto">
                    <a:xfrm>
                      <a:off x="0" y="0"/>
                      <a:ext cx="5969000" cy="5892596"/>
                    </a:xfrm>
                    <a:prstGeom prst="rect">
                      <a:avLst/>
                    </a:prstGeom>
                    <a:noFill/>
                    <a:ln w="9525">
                      <a:noFill/>
                      <a:headEnd/>
                      <a:tailEnd/>
                    </a:ln>
                  </pic:spPr>
                </pic:pic>
              </a:graphicData>
            </a:graphic>
          </wp:inline>
        </w:drawing>
      </w:r>
    </w:p>
    <w:p>
      <w:pPr>
        <w:pStyle w:val="BodyText"/>
      </w:pPr>
      <w:r>
        <w:rPr>
          <w:bCs/>
          <w:b/>
        </w:rPr>
        <w:t xml:space="preserve">Figure 3-3: 50 mg moclobemide iv</w:t>
      </w:r>
    </w:p>
    <w:p>
      <w:pPr>
        <w:pStyle w:val="BodyText"/>
      </w:pPr>
      <w:r>
        <w:t xml:space="preserve"> </w:t>
      </w:r>
    </w:p>
    <w:br w:type="page"/>
    <w:p>
      <w:pPr>
        <w:pStyle w:val="BodyText"/>
      </w:pPr>
      <w:bookmarkStart w:id="figure-3-4" w:name="figure-3-4"/>
      <w:bookmarkEnd w:id="figure-3-4"/>
    </w:p>
    <w:p>
      <w:pPr>
        <w:pStyle w:val="BodyText"/>
      </w:pPr>
      <w:r>
        <w:drawing>
          <wp:inline>
            <wp:extent cx="5969000" cy="4303410"/>
            <wp:effectExtent b="0" l="0" r="0" t="0"/>
            <wp:docPr descr="" title="" id="59" name="Picture"/>
            <a:graphic>
              <a:graphicData uri="http://schemas.openxmlformats.org/drawingml/2006/picture">
                <pic:pic>
                  <pic:nvPicPr>
                    <pic:cNvPr descr="images/006_section_results-and-discussion/009_section_ct-profiles/010_section_model-building/2_time_profile_plot_Moclobemide_150mg_iv_20min.png" id="60" name="Picture"/>
                    <pic:cNvPicPr>
                      <a:picLocks noChangeArrowheads="1" noChangeAspect="1"/>
                    </pic:cNvPicPr>
                  </pic:nvPicPr>
                  <pic:blipFill>
                    <a:blip r:embed="rId58"/>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3-4: 150 mg moclobemide iv 20min</w:t>
      </w:r>
    </w:p>
    <w:p>
      <w:pPr>
        <w:pStyle w:val="BodyText"/>
      </w:pPr>
      <w:r>
        <w:t xml:space="preserve"> </w:t>
      </w:r>
    </w:p>
    <w:br w:type="page"/>
    <w:p>
      <w:pPr>
        <w:pStyle w:val="BodyText"/>
      </w:pPr>
      <w:bookmarkStart w:id="figure-3-5" w:name="figure-3-5"/>
      <w:bookmarkEnd w:id="figure-3-5"/>
    </w:p>
    <w:p>
      <w:pPr>
        <w:pStyle w:val="BodyText"/>
      </w:pPr>
      <w:r>
        <w:drawing>
          <wp:inline>
            <wp:extent cx="5969000" cy="6091245"/>
            <wp:effectExtent b="0" l="0" r="0" t="0"/>
            <wp:docPr descr="" title="" id="62" name="Picture"/>
            <a:graphic>
              <a:graphicData uri="http://schemas.openxmlformats.org/drawingml/2006/picture">
                <pic:pic>
                  <pic:nvPicPr>
                    <pic:cNvPr descr="images/006_section_results-and-discussion/009_section_ct-profiles/010_section_model-building/3_time_profile_plot_Moclobemide_50mg_po.png" id="63" name="Picture"/>
                    <pic:cNvPicPr>
                      <a:picLocks noChangeArrowheads="1" noChangeAspect="1"/>
                    </pic:cNvPicPr>
                  </pic:nvPicPr>
                  <pic:blipFill>
                    <a:blip r:embed="rId61"/>
                    <a:stretch>
                      <a:fillRect/>
                    </a:stretch>
                  </pic:blipFill>
                  <pic:spPr bwMode="auto">
                    <a:xfrm>
                      <a:off x="0" y="0"/>
                      <a:ext cx="5969000" cy="6091245"/>
                    </a:xfrm>
                    <a:prstGeom prst="rect">
                      <a:avLst/>
                    </a:prstGeom>
                    <a:noFill/>
                    <a:ln w="9525">
                      <a:noFill/>
                      <a:headEnd/>
                      <a:tailEnd/>
                    </a:ln>
                  </pic:spPr>
                </pic:pic>
              </a:graphicData>
            </a:graphic>
          </wp:inline>
        </w:drawing>
      </w:r>
    </w:p>
    <w:p>
      <w:pPr>
        <w:pStyle w:val="BodyText"/>
      </w:pPr>
      <w:r>
        <w:rPr>
          <w:bCs/>
          <w:b/>
        </w:rPr>
        <w:t xml:space="preserve">Figure 3-5: 50 mg moclobemide po</w:t>
      </w:r>
    </w:p>
    <w:p>
      <w:pPr>
        <w:pStyle w:val="BodyText"/>
      </w:pPr>
      <w:r>
        <w:t xml:space="preserve"> </w:t>
      </w:r>
    </w:p>
    <w:br w:type="page"/>
    <w:p>
      <w:pPr>
        <w:pStyle w:val="BodyText"/>
      </w:pPr>
      <w:bookmarkStart w:id="figure-3-6" w:name="figure-3-6"/>
      <w:bookmarkEnd w:id="figure-3-6"/>
    </w:p>
    <w:p>
      <w:pPr>
        <w:pStyle w:val="BodyText"/>
      </w:pPr>
      <w:r>
        <w:drawing>
          <wp:inline>
            <wp:extent cx="5969000" cy="4303410"/>
            <wp:effectExtent b="0" l="0" r="0" t="0"/>
            <wp:docPr descr="" title="" id="65" name="Picture"/>
            <a:graphic>
              <a:graphicData uri="http://schemas.openxmlformats.org/drawingml/2006/picture">
                <pic:pic>
                  <pic:nvPicPr>
                    <pic:cNvPr descr="images/006_section_results-and-discussion/009_section_ct-profiles/010_section_model-building/4_time_profile_plot_Moclobemide_100mg_po.png" id="66" name="Picture"/>
                    <pic:cNvPicPr>
                      <a:picLocks noChangeArrowheads="1" noChangeAspect="1"/>
                    </pic:cNvPicPr>
                  </pic:nvPicPr>
                  <pic:blipFill>
                    <a:blip r:embed="rId64"/>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3-6: 100 mg moclobemide po</w:t>
      </w:r>
    </w:p>
    <w:p>
      <w:pPr>
        <w:pStyle w:val="BodyText"/>
      </w:pPr>
      <w:r>
        <w:t xml:space="preserve"> </w:t>
      </w:r>
    </w:p>
    <w:br w:type="page"/>
    <w:p>
      <w:pPr>
        <w:pStyle w:val="BodyText"/>
      </w:pPr>
      <w:bookmarkStart w:id="figure-3-7" w:name="figure-3-7"/>
      <w:bookmarkEnd w:id="figure-3-7"/>
    </w:p>
    <w:p>
      <w:pPr>
        <w:pStyle w:val="BodyText"/>
      </w:pPr>
      <w:r>
        <w:drawing>
          <wp:inline>
            <wp:extent cx="5969000" cy="4303410"/>
            <wp:effectExtent b="0" l="0" r="0" t="0"/>
            <wp:docPr descr="" title="" id="68" name="Picture"/>
            <a:graphic>
              <a:graphicData uri="http://schemas.openxmlformats.org/drawingml/2006/picture">
                <pic:pic>
                  <pic:nvPicPr>
                    <pic:cNvPr descr="images/006_section_results-and-discussion/009_section_ct-profiles/010_section_model-building/5_time_profile_plot_Moclobemide_150mg_po.png" id="69" name="Picture"/>
                    <pic:cNvPicPr>
                      <a:picLocks noChangeArrowheads="1" noChangeAspect="1"/>
                    </pic:cNvPicPr>
                  </pic:nvPicPr>
                  <pic:blipFill>
                    <a:blip r:embed="rId67"/>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3-7: 150 mg moclobemide po</w:t>
      </w:r>
    </w:p>
    <w:p>
      <w:pPr>
        <w:pStyle w:val="BodyText"/>
      </w:pPr>
      <w:r>
        <w:t xml:space="preserve"> </w:t>
      </w:r>
    </w:p>
    <w:br w:type="page"/>
    <w:p>
      <w:pPr>
        <w:pStyle w:val="BodyText"/>
      </w:pPr>
      <w:bookmarkStart w:id="figure-3-8" w:name="figure-3-8"/>
      <w:bookmarkEnd w:id="figure-3-8"/>
    </w:p>
    <w:p>
      <w:pPr>
        <w:pStyle w:val="BodyText"/>
      </w:pPr>
      <w:r>
        <w:drawing>
          <wp:inline>
            <wp:extent cx="5969000" cy="5098003"/>
            <wp:effectExtent b="0" l="0" r="0" t="0"/>
            <wp:docPr descr="" title="" id="71" name="Picture"/>
            <a:graphic>
              <a:graphicData uri="http://schemas.openxmlformats.org/drawingml/2006/picture">
                <pic:pic>
                  <pic:nvPicPr>
                    <pic:cNvPr descr="images/006_section_results-and-discussion/009_section_ct-profiles/010_section_model-building/6_time_profile_plot_Moclobemide_150mg_po_14d.png" id="72" name="Picture"/>
                    <pic:cNvPicPr>
                      <a:picLocks noChangeArrowheads="1" noChangeAspect="1"/>
                    </pic:cNvPicPr>
                  </pic:nvPicPr>
                  <pic:blipFill>
                    <a:blip r:embed="rId70"/>
                    <a:stretch>
                      <a:fillRect/>
                    </a:stretch>
                  </pic:blipFill>
                  <pic:spPr bwMode="auto">
                    <a:xfrm>
                      <a:off x="0" y="0"/>
                      <a:ext cx="5969000" cy="5098003"/>
                    </a:xfrm>
                    <a:prstGeom prst="rect">
                      <a:avLst/>
                    </a:prstGeom>
                    <a:noFill/>
                    <a:ln w="9525">
                      <a:noFill/>
                      <a:headEnd/>
                      <a:tailEnd/>
                    </a:ln>
                  </pic:spPr>
                </pic:pic>
              </a:graphicData>
            </a:graphic>
          </wp:inline>
        </w:drawing>
      </w:r>
    </w:p>
    <w:p>
      <w:pPr>
        <w:pStyle w:val="BodyText"/>
      </w:pPr>
      <w:r>
        <w:rPr>
          <w:bCs/>
          <w:b/>
        </w:rPr>
        <w:t xml:space="preserve">Figure 3-8: 150 mg moclobemide po 14d</w:t>
      </w:r>
    </w:p>
    <w:p>
      <w:pPr>
        <w:pStyle w:val="BodyText"/>
      </w:pPr>
      <w:r>
        <w:t xml:space="preserve"> </w:t>
      </w:r>
    </w:p>
    <w:br w:type="page"/>
    <w:p>
      <w:pPr>
        <w:pStyle w:val="BodyText"/>
      </w:pPr>
      <w:bookmarkStart w:id="figure-3-9" w:name="figure-3-9"/>
      <w:bookmarkEnd w:id="figure-3-9"/>
    </w:p>
    <w:p>
      <w:pPr>
        <w:pStyle w:val="BodyText"/>
      </w:pPr>
      <w:r>
        <w:drawing>
          <wp:inline>
            <wp:extent cx="5969000" cy="4303410"/>
            <wp:effectExtent b="0" l="0" r="0" t="0"/>
            <wp:docPr descr="" title="" id="74" name="Picture"/>
            <a:graphic>
              <a:graphicData uri="http://schemas.openxmlformats.org/drawingml/2006/picture">
                <pic:pic>
                  <pic:nvPicPr>
                    <pic:cNvPr descr="images/006_section_results-and-discussion/009_section_ct-profiles/010_section_model-building/7_time_profile_plot_Moclobemide_200mg_po.png" id="75" name="Picture"/>
                    <pic:cNvPicPr>
                      <a:picLocks noChangeArrowheads="1" noChangeAspect="1"/>
                    </pic:cNvPicPr>
                  </pic:nvPicPr>
                  <pic:blipFill>
                    <a:blip r:embed="rId73"/>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3-9: 200 mg moclobemide po</w:t>
      </w:r>
    </w:p>
    <w:p>
      <w:pPr>
        <w:pStyle w:val="BodyText"/>
      </w:pPr>
      <w:r>
        <w:t xml:space="preserve"> </w:t>
      </w:r>
    </w:p>
    <w:br w:type="page"/>
    <w:p>
      <w:pPr>
        <w:pStyle w:val="BodyText"/>
      </w:pPr>
      <w:bookmarkStart w:id="figure-3-10" w:name="figure-3-10"/>
      <w:bookmarkEnd w:id="figure-3-10"/>
    </w:p>
    <w:p>
      <w:pPr>
        <w:pStyle w:val="BodyText"/>
      </w:pPr>
      <w:r>
        <w:drawing>
          <wp:inline>
            <wp:extent cx="5969000" cy="4303410"/>
            <wp:effectExtent b="0" l="0" r="0" t="0"/>
            <wp:docPr descr="" title="" id="77" name="Picture"/>
            <a:graphic>
              <a:graphicData uri="http://schemas.openxmlformats.org/drawingml/2006/picture">
                <pic:pic>
                  <pic:nvPicPr>
                    <pic:cNvPr descr="images/006_section_results-and-discussion/009_section_ct-profiles/010_section_model-building/8_time_profile_plot_Moclobemide_300mg_po.png" id="78" name="Picture"/>
                    <pic:cNvPicPr>
                      <a:picLocks noChangeArrowheads="1" noChangeAspect="1"/>
                    </pic:cNvPicPr>
                  </pic:nvPicPr>
                  <pic:blipFill>
                    <a:blip r:embed="rId76"/>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3-10: 300 mg moclobemide po</w:t>
      </w:r>
    </w:p>
    <w:p>
      <w:pPr>
        <w:pStyle w:val="BodyText"/>
      </w:pPr>
      <w:r>
        <w:t xml:space="preserve"> </w:t>
      </w:r>
    </w:p>
    <w:br w:type="page"/>
    <w:p>
      <w:pPr>
        <w:pStyle w:val="BodyText"/>
      </w:pPr>
      <w:bookmarkStart w:id="figure-3-11" w:name="figure-3-11"/>
      <w:bookmarkEnd w:id="figure-3-11"/>
    </w:p>
    <w:p>
      <w:pPr>
        <w:pStyle w:val="BodyText"/>
      </w:pPr>
      <w:r>
        <w:drawing>
          <wp:inline>
            <wp:extent cx="5969000" cy="4303410"/>
            <wp:effectExtent b="0" l="0" r="0" t="0"/>
            <wp:docPr descr="" title="" id="80" name="Picture"/>
            <a:graphic>
              <a:graphicData uri="http://schemas.openxmlformats.org/drawingml/2006/picture">
                <pic:pic>
                  <pic:nvPicPr>
                    <pic:cNvPr descr="images/006_section_results-and-discussion/009_section_ct-profiles/010_section_model-building/9_time_profile_plot_Moclobemide_300mg_po_PM.png" id="81" name="Picture"/>
                    <pic:cNvPicPr>
                      <a:picLocks noChangeArrowheads="1" noChangeAspect="1"/>
                    </pic:cNvPicPr>
                  </pic:nvPicPr>
                  <pic:blipFill>
                    <a:blip r:embed="rId79"/>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3-11: 300 mg moclobemide po PM</w:t>
      </w:r>
    </w:p>
    <w:p>
      <w:pPr>
        <w:pStyle w:val="BodyText"/>
      </w:pPr>
      <w:r>
        <w:t xml:space="preserve"> </w:t>
      </w:r>
    </w:p>
    <w:br w:type="page"/>
    <w:p>
      <w:pPr>
        <w:pStyle w:val="BodyText"/>
      </w:pPr>
      <w:bookmarkStart w:id="figure-3-12" w:name="figure-3-12"/>
      <w:bookmarkEnd w:id="figure-3-12"/>
    </w:p>
    <w:p>
      <w:pPr>
        <w:pStyle w:val="BodyText"/>
      </w:pPr>
      <w:r>
        <w:drawing>
          <wp:inline>
            <wp:extent cx="5969000" cy="4303410"/>
            <wp:effectExtent b="0" l="0" r="0" t="0"/>
            <wp:docPr descr="" title="" id="83" name="Picture"/>
            <a:graphic>
              <a:graphicData uri="http://schemas.openxmlformats.org/drawingml/2006/picture">
                <pic:pic>
                  <pic:nvPicPr>
                    <pic:cNvPr descr="images/006_section_results-and-discussion/009_section_ct-profiles/010_section_model-building/10_time_profile_plot_Moclobemide_300mg_po_asian.png" id="84" name="Picture"/>
                    <pic:cNvPicPr>
                      <a:picLocks noChangeArrowheads="1" noChangeAspect="1"/>
                    </pic:cNvPicPr>
                  </pic:nvPicPr>
                  <pic:blipFill>
                    <a:blip r:embed="rId82"/>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3-12: 300 mg moclobemide po asian</w:t>
      </w:r>
    </w:p>
    <w:p>
      <w:pPr>
        <w:pStyle w:val="BodyText"/>
      </w:pPr>
      <w:r>
        <w:t xml:space="preserve"> </w:t>
      </w:r>
    </w:p>
    <w:br w:type="page"/>
    <w:p>
      <w:pPr>
        <w:pStyle w:val="BodyText"/>
      </w:pPr>
      <w:bookmarkStart w:id="figure-3-13" w:name="figure-3-13"/>
      <w:bookmarkEnd w:id="figure-3-13"/>
    </w:p>
    <w:p>
      <w:pPr>
        <w:pStyle w:val="BodyText"/>
      </w:pPr>
      <w:r>
        <w:drawing>
          <wp:inline>
            <wp:extent cx="5969000" cy="4303410"/>
            <wp:effectExtent b="0" l="0" r="0" t="0"/>
            <wp:docPr descr="" title="" id="86" name="Picture"/>
            <a:graphic>
              <a:graphicData uri="http://schemas.openxmlformats.org/drawingml/2006/picture">
                <pic:pic>
                  <pic:nvPicPr>
                    <pic:cNvPr descr="images/006_section_results-and-discussion/009_section_ct-profiles/010_section_model-building/11_time_profile_plot_Moclobemide_300mg_po_asian_PM.png" id="87" name="Picture"/>
                    <pic:cNvPicPr>
                      <a:picLocks noChangeArrowheads="1" noChangeAspect="1"/>
                    </pic:cNvPicPr>
                  </pic:nvPicPr>
                  <pic:blipFill>
                    <a:blip r:embed="rId85"/>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3-13: 300 mg moclobemide po asian PM</w:t>
      </w:r>
    </w:p>
    <w:p>
      <w:pPr>
        <w:pStyle w:val="BodyText"/>
      </w:pPr>
      <w:r>
        <w:t xml:space="preserve"> </w:t>
      </w:r>
    </w:p>
    <w:br w:type="page"/>
    <w:p>
      <w:pPr>
        <w:pStyle w:val="BodyText"/>
      </w:pPr>
      <w:bookmarkStart w:id="figure-3-14" w:name="figure-3-14"/>
      <w:bookmarkEnd w:id="figure-3-14"/>
    </w:p>
    <w:p>
      <w:pPr>
        <w:pStyle w:val="BodyText"/>
      </w:pPr>
      <w:r>
        <w:drawing>
          <wp:inline>
            <wp:extent cx="5969000" cy="4303410"/>
            <wp:effectExtent b="0" l="0" r="0" t="0"/>
            <wp:docPr descr="" title="" id="89" name="Picture"/>
            <a:graphic>
              <a:graphicData uri="http://schemas.openxmlformats.org/drawingml/2006/picture">
                <pic:pic>
                  <pic:nvPicPr>
                    <pic:cNvPr descr="images/006_section_results-and-discussion/009_section_ct-profiles/010_section_model-building/12_time_profile_plot_Moclobemide_300mg_po_7d.png" id="90" name="Picture"/>
                    <pic:cNvPicPr>
                      <a:picLocks noChangeArrowheads="1" noChangeAspect="1"/>
                    </pic:cNvPicPr>
                  </pic:nvPicPr>
                  <pic:blipFill>
                    <a:blip r:embed="rId88"/>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3-14: 300 mg moclobemide po 7d</w:t>
      </w:r>
    </w:p>
    <w:p>
      <w:pPr>
        <w:pStyle w:val="BodyText"/>
      </w:pPr>
      <w:r>
        <w:t xml:space="preserve"> </w:t>
      </w:r>
    </w:p>
    <w:br w:type="page"/>
    <w:p>
      <w:pPr>
        <w:pStyle w:val="BodyText"/>
      </w:pPr>
      <w:bookmarkStart w:id="figure-3-15" w:name="figure-3-15"/>
      <w:bookmarkEnd w:id="figure-3-15"/>
    </w:p>
    <w:p>
      <w:pPr>
        <w:pStyle w:val="BodyText"/>
      </w:pPr>
      <w:r>
        <w:drawing>
          <wp:inline>
            <wp:extent cx="5969000" cy="4303410"/>
            <wp:effectExtent b="0" l="0" r="0" t="0"/>
            <wp:docPr descr="" title="" id="92" name="Picture"/>
            <a:graphic>
              <a:graphicData uri="http://schemas.openxmlformats.org/drawingml/2006/picture">
                <pic:pic>
                  <pic:nvPicPr>
                    <pic:cNvPr descr="images/006_section_results-and-discussion/009_section_ct-profiles/010_section_model-building/13_time_profile_plot_Moclobemide_300mg_po_PM_7d.png" id="93" name="Picture"/>
                    <pic:cNvPicPr>
                      <a:picLocks noChangeArrowheads="1" noChangeAspect="1"/>
                    </pic:cNvPicPr>
                  </pic:nvPicPr>
                  <pic:blipFill>
                    <a:blip r:embed="rId91"/>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3-15: 300 mg moclobemide po PM 7d</w:t>
      </w:r>
    </w:p>
    <w:p>
      <w:pPr>
        <w:pStyle w:val="BodyText"/>
      </w:pPr>
      <w:r>
        <w:t xml:space="preserve"> </w:t>
      </w:r>
    </w:p>
    <w:bookmarkEnd w:id="94"/>
    <w:bookmarkStart w:id="110" w:name="model-verification"/>
    <w:p>
      <w:pPr>
        <w:pStyle w:val="Heading3"/>
      </w:pPr>
      <w:r>
        <w:t xml:space="preserve">Model Verification</w:t>
      </w:r>
      <w:bookmarkStart w:id="model-verification" w:name="model-verification"/>
      <w:bookmarkEnd w:id="model-verification"/>
    </w:p>
    <w:br w:type="page"/>
    <w:p>
      <w:pPr>
        <w:pStyle w:val="FirstParagraph"/>
      </w:pPr>
      <w:bookmarkStart w:id="figure-3-16" w:name="figure-3-16"/>
      <w:bookmarkEnd w:id="figure-3-16"/>
    </w:p>
    <w:p>
      <w:pPr>
        <w:pStyle w:val="BodyText"/>
      </w:pPr>
      <w:r>
        <w:drawing>
          <wp:inline>
            <wp:extent cx="5969000" cy="4303410"/>
            <wp:effectExtent b="0" l="0" r="0" t="0"/>
            <wp:docPr descr="" title="" id="96" name="Picture"/>
            <a:graphic>
              <a:graphicData uri="http://schemas.openxmlformats.org/drawingml/2006/picture">
                <pic:pic>
                  <pic:nvPicPr>
                    <pic:cNvPr descr="images/006_section_results-and-discussion/009_section_ct-profiles/011_section_model-verification/14_time_profile_plot_Moclobemide_150mg_po_female_28d.png" id="97" name="Picture"/>
                    <pic:cNvPicPr>
                      <a:picLocks noChangeArrowheads="1" noChangeAspect="1"/>
                    </pic:cNvPicPr>
                  </pic:nvPicPr>
                  <pic:blipFill>
                    <a:blip r:embed="rId95"/>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3-16: 150 mg moclobemide po female day14</w:t>
      </w:r>
    </w:p>
    <w:p>
      <w:pPr>
        <w:pStyle w:val="BodyText"/>
      </w:pPr>
      <w:r>
        <w:t xml:space="preserve"> </w:t>
      </w:r>
    </w:p>
    <w:br w:type="page"/>
    <w:p>
      <w:pPr>
        <w:pStyle w:val="BodyText"/>
      </w:pPr>
      <w:bookmarkStart w:id="figure-3-17" w:name="figure-3-17"/>
      <w:bookmarkEnd w:id="figure-3-17"/>
    </w:p>
    <w:p>
      <w:pPr>
        <w:pStyle w:val="BodyText"/>
      </w:pPr>
      <w:r>
        <w:drawing>
          <wp:inline>
            <wp:extent cx="5969000" cy="4303410"/>
            <wp:effectExtent b="0" l="0" r="0" t="0"/>
            <wp:docPr descr="" title="" id="99" name="Picture"/>
            <a:graphic>
              <a:graphicData uri="http://schemas.openxmlformats.org/drawingml/2006/picture">
                <pic:pic>
                  <pic:nvPicPr>
                    <pic:cNvPr descr="images/006_section_results-and-discussion/009_section_ct-profiles/011_section_model-verification/15_time_profile_plot_Moclobemide_150mg_po_female_28d.png" id="100" name="Picture"/>
                    <pic:cNvPicPr>
                      <a:picLocks noChangeArrowheads="1" noChangeAspect="1"/>
                    </pic:cNvPicPr>
                  </pic:nvPicPr>
                  <pic:blipFill>
                    <a:blip r:embed="rId98"/>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3-17: 150 mg moclobemide po female day28</w:t>
      </w:r>
    </w:p>
    <w:p>
      <w:pPr>
        <w:pStyle w:val="BodyText"/>
      </w:pPr>
      <w:r>
        <w:t xml:space="preserve"> </w:t>
      </w:r>
    </w:p>
    <w:br w:type="page"/>
    <w:p>
      <w:pPr>
        <w:pStyle w:val="BodyText"/>
      </w:pPr>
      <w:bookmarkStart w:id="figure-3-18" w:name="figure-3-18"/>
      <w:bookmarkEnd w:id="figure-3-18"/>
    </w:p>
    <w:p>
      <w:pPr>
        <w:pStyle w:val="BodyText"/>
      </w:pPr>
      <w:r>
        <w:drawing>
          <wp:inline>
            <wp:extent cx="5969000" cy="4303410"/>
            <wp:effectExtent b="0" l="0" r="0" t="0"/>
            <wp:docPr descr="" title="" id="102" name="Picture"/>
            <a:graphic>
              <a:graphicData uri="http://schemas.openxmlformats.org/drawingml/2006/picture">
                <pic:pic>
                  <pic:nvPicPr>
                    <pic:cNvPr descr="images/006_section_results-and-discussion/009_section_ct-profiles/011_section_model-verification/16_time_profile_plot_Moclobemide_300mg_po_pred.png" id="103" name="Picture"/>
                    <pic:cNvPicPr>
                      <a:picLocks noChangeArrowheads="1" noChangeAspect="1"/>
                    </pic:cNvPicPr>
                  </pic:nvPicPr>
                  <pic:blipFill>
                    <a:blip r:embed="rId101"/>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3-18: 300 mg moclobemide po</w:t>
      </w:r>
    </w:p>
    <w:p>
      <w:pPr>
        <w:pStyle w:val="BodyText"/>
      </w:pPr>
      <w:r>
        <w:t xml:space="preserve"> </w:t>
      </w:r>
    </w:p>
    <w:br w:type="page"/>
    <w:p>
      <w:pPr>
        <w:pStyle w:val="BodyText"/>
      </w:pPr>
      <w:bookmarkStart w:id="figure-3-19" w:name="figure-3-19"/>
      <w:bookmarkEnd w:id="figure-3-19"/>
    </w:p>
    <w:p>
      <w:pPr>
        <w:pStyle w:val="BodyText"/>
      </w:pPr>
      <w:r>
        <w:drawing>
          <wp:inline>
            <wp:extent cx="5969000" cy="4639584"/>
            <wp:effectExtent b="0" l="0" r="0" t="0"/>
            <wp:docPr descr="" title="" id="105" name="Picture"/>
            <a:graphic>
              <a:graphicData uri="http://schemas.openxmlformats.org/drawingml/2006/picture">
                <pic:pic>
                  <pic:nvPicPr>
                    <pic:cNvPr descr="images/006_section_results-and-discussion/009_section_ct-profiles/011_section_model-verification/17_time_profile_plot_Moclobemide_300mg_po_asian_popSim.png" id="106" name="Picture"/>
                    <pic:cNvPicPr>
                      <a:picLocks noChangeArrowheads="1" noChangeAspect="1"/>
                    </pic:cNvPicPr>
                  </pic:nvPicPr>
                  <pic:blipFill>
                    <a:blip r:embed="rId104"/>
                    <a:stretch>
                      <a:fillRect/>
                    </a:stretch>
                  </pic:blipFill>
                  <pic:spPr bwMode="auto">
                    <a:xfrm>
                      <a:off x="0" y="0"/>
                      <a:ext cx="5969000" cy="4639584"/>
                    </a:xfrm>
                    <a:prstGeom prst="rect">
                      <a:avLst/>
                    </a:prstGeom>
                    <a:noFill/>
                    <a:ln w="9525">
                      <a:noFill/>
                      <a:headEnd/>
                      <a:tailEnd/>
                    </a:ln>
                  </pic:spPr>
                </pic:pic>
              </a:graphicData>
            </a:graphic>
          </wp:inline>
        </w:drawing>
      </w:r>
    </w:p>
    <w:p>
      <w:pPr>
        <w:pStyle w:val="BodyText"/>
      </w:pPr>
      <w:r>
        <w:rPr>
          <w:bCs/>
          <w:b/>
        </w:rPr>
        <w:t xml:space="preserve">Figure 3-19: Time Profile Analysis</w:t>
      </w:r>
    </w:p>
    <w:p>
      <w:pPr>
        <w:pStyle w:val="BodyText"/>
      </w:pPr>
      <w:r>
        <w:t xml:space="preserve"> </w:t>
      </w:r>
    </w:p>
    <w:br w:type="page"/>
    <w:p>
      <w:pPr>
        <w:pStyle w:val="BodyText"/>
      </w:pPr>
      <w:bookmarkStart w:id="figure-3-20" w:name="figure-3-20"/>
      <w:bookmarkEnd w:id="figure-3-20"/>
    </w:p>
    <w:p>
      <w:pPr>
        <w:pStyle w:val="BodyText"/>
      </w:pPr>
      <w:r>
        <w:drawing>
          <wp:inline>
            <wp:extent cx="5969000" cy="4639584"/>
            <wp:effectExtent b="0" l="0" r="0" t="0"/>
            <wp:docPr descr="" title="" id="108" name="Picture"/>
            <a:graphic>
              <a:graphicData uri="http://schemas.openxmlformats.org/drawingml/2006/picture">
                <pic:pic>
                  <pic:nvPicPr>
                    <pic:cNvPr descr="images/006_section_results-and-discussion/009_section_ct-profiles/011_section_model-verification/18_time_profile_plot_Moclobemide_300mg_po_asian_PM_popSim.png" id="109" name="Picture"/>
                    <pic:cNvPicPr>
                      <a:picLocks noChangeArrowheads="1" noChangeAspect="1"/>
                    </pic:cNvPicPr>
                  </pic:nvPicPr>
                  <pic:blipFill>
                    <a:blip r:embed="rId107"/>
                    <a:stretch>
                      <a:fillRect/>
                    </a:stretch>
                  </pic:blipFill>
                  <pic:spPr bwMode="auto">
                    <a:xfrm>
                      <a:off x="0" y="0"/>
                      <a:ext cx="5969000" cy="4639584"/>
                    </a:xfrm>
                    <a:prstGeom prst="rect">
                      <a:avLst/>
                    </a:prstGeom>
                    <a:noFill/>
                    <a:ln w="9525">
                      <a:noFill/>
                      <a:headEnd/>
                      <a:tailEnd/>
                    </a:ln>
                  </pic:spPr>
                </pic:pic>
              </a:graphicData>
            </a:graphic>
          </wp:inline>
        </w:drawing>
      </w:r>
    </w:p>
    <w:p>
      <w:pPr>
        <w:pStyle w:val="BodyText"/>
      </w:pPr>
      <w:r>
        <w:rPr>
          <w:bCs/>
          <w:b/>
        </w:rPr>
        <w:t xml:space="preserve">Figure 3-20: Time Profile Analysis</w:t>
      </w:r>
    </w:p>
    <w:p>
      <w:pPr>
        <w:pStyle w:val="BodyText"/>
      </w:pPr>
      <w:r>
        <w:t xml:space="preserve"> </w:t>
      </w:r>
    </w:p>
    <w:bookmarkEnd w:id="110"/>
    <w:bookmarkEnd w:id="111"/>
    <w:bookmarkEnd w:id="112"/>
    <w:bookmarkStart w:id="113" w:name="conclusion"/>
    <w:p>
      <w:pPr>
        <w:pStyle w:val="Heading1"/>
      </w:pPr>
      <w:r>
        <w:t xml:space="preserve">Conclusion</w:t>
      </w:r>
      <w:bookmarkStart w:id="conclusion" w:name="conclusion"/>
      <w:bookmarkEnd w:id="conclusion"/>
    </w:p>
    <w:p>
      <w:pPr>
        <w:pStyle w:val="FirstParagraph"/>
      </w:pPr>
      <w:r>
        <w:t xml:space="preserve">The developed PBPK model of moclobemide describes the observed concentration-time courses very well.</w:t>
      </w:r>
    </w:p>
    <w:p>
      <w:pPr>
        <w:pStyle w:val="BodyText"/>
      </w:pPr>
      <w:r>
        <w:t xml:space="preserve">As most of the non-CYP2C19 metabolism is via FMO3 which is mainly expressed in the liver, non-CYP2C19 CL is modeled in the liver only.</w:t>
      </w:r>
    </w:p>
    <w:p>
      <w:pPr>
        <w:pStyle w:val="BodyText"/>
      </w:pPr>
      <w:r>
        <w:t xml:space="preserve">Given not enough data to evaluate inhibition of emerging moclobemide metabolites, auto-inhibition of moclobemide appears appropriate approximation.</w:t>
      </w:r>
    </w:p>
    <w:bookmarkEnd w:id="113"/>
    <w:bookmarkStart w:id="114" w:name="references"/>
    <w:p>
      <w:pPr>
        <w:pStyle w:val="Heading1"/>
      </w:pPr>
      <w:r>
        <w:t xml:space="preserve">References</w:t>
      </w:r>
      <w:bookmarkStart w:id="main-references" w:name="main-references"/>
      <w:bookmarkEnd w:id="main-references"/>
    </w:p>
    <w:p>
      <w:pPr>
        <w:pStyle w:val="FirstParagraph"/>
      </w:pPr>
      <w:r>
        <w:rPr>
          <w:bCs/>
          <w:b/>
        </w:rPr>
        <w:t xml:space="preserve">Dingemanse 1998</w:t>
      </w:r>
      <w:r>
        <w:t xml:space="preserve"> </w:t>
      </w:r>
      <w:r>
        <w:t xml:space="preserve">Dingemanse J, Wallnöfer A, Gieschke R, Guentert T, Amrein R. Pharmacokinetic and pharmacodynamic interactions between fluoxetine and moclobemide in the investigation of development of the</w:t>
      </w:r>
      <w:r>
        <w:t xml:space="preserve"> </w:t>
      </w:r>
      <w:r>
        <w:t xml:space="preserve">“</w:t>
      </w:r>
      <w:r>
        <w:t xml:space="preserve">serotonin syndrome</w:t>
      </w:r>
      <w:r>
        <w:t xml:space="preserve">”</w:t>
      </w:r>
      <w:r>
        <w:t xml:space="preserve">. Clin Pharmacol Ther. 1998;63(4):403-413.</w:t>
      </w:r>
    </w:p>
    <w:p>
      <w:pPr>
        <w:pStyle w:val="BodyText"/>
      </w:pPr>
      <w:r>
        <w:rPr>
          <w:bCs/>
          <w:b/>
        </w:rPr>
        <w:t xml:space="preserve">DrugBank DB01171</w:t>
      </w:r>
      <w:r>
        <w:t xml:space="preserve"> </w:t>
      </w:r>
      <w:r>
        <w:t xml:space="preserve">(https://www.drugbank.ca/drugs/DB01171)</w:t>
      </w:r>
    </w:p>
    <w:p>
      <w:pPr>
        <w:pStyle w:val="BodyText"/>
      </w:pPr>
      <w:r>
        <w:rPr>
          <w:bCs/>
          <w:b/>
        </w:rPr>
        <w:t xml:space="preserve">Gram 1995</w:t>
      </w:r>
      <w:r>
        <w:t xml:space="preserve"> </w:t>
      </w:r>
      <w:r>
        <w:t xml:space="preserve">Gram LF, Guentert TW, Grange S, Vistisen K, Brøsen K. Moclobemide, a substrate of CYP2C19 and an inhibitor of CYP2C19, CYP2D6, and CYP1A2: A panel study.</w:t>
      </w:r>
      <w:r>
        <w:t xml:space="preserve"> </w:t>
      </w:r>
      <w:r>
        <w:rPr>
          <w:iCs/>
          <w:i/>
        </w:rPr>
        <w:t xml:space="preserve">Clinical Pharmacology &amp; Therapeutics</w:t>
      </w:r>
      <w:r>
        <w:t xml:space="preserve">. 1995 Jun;57(6):670–7.</w:t>
      </w:r>
    </w:p>
    <w:p>
      <w:pPr>
        <w:pStyle w:val="BodyText"/>
      </w:pPr>
      <w:r>
        <w:rPr>
          <w:bCs/>
          <w:b/>
        </w:rPr>
        <w:t xml:space="preserve">Guentert 1990</w:t>
      </w:r>
      <w:r>
        <w:t xml:space="preserve"> </w:t>
      </w:r>
      <w:r>
        <w:t xml:space="preserve">Guentert TW, Tucker G, Korn A, Pfefen JP, Haefelfinger P, Schoerlin MP. Pharmacokinetics of moclobemide after single and multiple oral dosing with 150 milligrams 3 times daily for 15 days. Acta Psychiatr Scand. 1990;82(S360):91-93.</w:t>
      </w:r>
    </w:p>
    <w:p>
      <w:pPr>
        <w:pStyle w:val="BodyText"/>
      </w:pPr>
      <w:r>
        <w:rPr>
          <w:bCs/>
          <w:b/>
        </w:rPr>
        <w:t xml:space="preserve">Hoskins 2001</w:t>
      </w:r>
      <w:r>
        <w:t xml:space="preserve"> </w:t>
      </w:r>
      <w:r>
        <w:t xml:space="preserve">Hoskins J, Shenfield G, Murray M, Gross A. Characterization of moclobemide N -oxidation in human liver microsomes. Xenobiotica. 2001 Jan;31(7):387–97.</w:t>
      </w:r>
    </w:p>
    <w:p>
      <w:pPr>
        <w:pStyle w:val="BodyText"/>
      </w:pPr>
      <w:r>
        <w:rPr>
          <w:bCs/>
          <w:b/>
        </w:rPr>
        <w:t xml:space="preserve">IPCS INCHEM</w:t>
      </w:r>
      <w:r>
        <w:t xml:space="preserve"> </w:t>
      </w:r>
      <w:r>
        <w:t xml:space="preserve">Website: https://inchem.org/documents/pims/pharm/pim151.htm#SectionTitle:3.3%20%20Physical%20properties</w:t>
      </w:r>
    </w:p>
    <w:p>
      <w:pPr>
        <w:pStyle w:val="BodyText"/>
      </w:pPr>
      <w:r>
        <w:rPr>
          <w:bCs/>
          <w:b/>
        </w:rPr>
        <w:t xml:space="preserve">Ignjatovic 2009</w:t>
      </w:r>
      <w:r>
        <w:t xml:space="preserve"> </w:t>
      </w:r>
      <w:r>
        <w:t xml:space="preserve">Ignjatovic AR, Miljkovic B, Todorovic D, Timotijevic I, Pokrajac M. Moclobemide monotherapy vs. combined therapy with valproic acid or carbamazepine in depressive patients: A pharmacokinetic interaction study. Br J Clin Pharmacol. 2009;67(2):199-208.</w:t>
      </w:r>
    </w:p>
    <w:p>
      <w:pPr>
        <w:pStyle w:val="BodyText"/>
      </w:pPr>
      <w:r>
        <w:rPr>
          <w:bCs/>
          <w:b/>
        </w:rPr>
        <w:t xml:space="preserve">Kuepfer 2016</w:t>
      </w:r>
      <w:r>
        <w:t xml:space="preserve"> </w:t>
      </w:r>
      <w:r>
        <w:t xml:space="preserve">Kuepfer L, Niederalt C, Wendl T, Schlender JF, Willmann S, Lippert J, Block M, Eissing T, Teutonico D. Applied Concepts in PBPK Modeling: How to Build a PBPK/PD Model.CPT Pharmacometrics Syst Pharmacol. 2016 Oct;5(10):516-531.</w:t>
      </w:r>
    </w:p>
    <w:p>
      <w:pPr>
        <w:pStyle w:val="BodyText"/>
      </w:pPr>
      <w:r>
        <w:rPr>
          <w:bCs/>
          <w:b/>
        </w:rPr>
        <w:t xml:space="preserve">Kramer-Nielsen 1996</w:t>
      </w:r>
      <w:r>
        <w:t xml:space="preserve"> </w:t>
      </w:r>
      <w:r>
        <w:t xml:space="preserve">Kramer-Nielsen KK, Flinois JP, Beaune P, Brøsen K. The biotransformation of clomipramine in vitro, identification of the cytochrome P450s responsible for the separate metabolic pathways.</w:t>
      </w:r>
      <w:r>
        <w:t xml:space="preserve"> </w:t>
      </w:r>
      <w:r>
        <w:rPr>
          <w:iCs/>
          <w:i/>
        </w:rPr>
        <w:t xml:space="preserve">J Pharmacol Exp Ther</w:t>
      </w:r>
      <w:r>
        <w:t xml:space="preserve">. 1996 Jun;277(3):1659–64.</w:t>
      </w:r>
    </w:p>
    <w:p>
      <w:pPr>
        <w:pStyle w:val="BodyText"/>
      </w:pPr>
      <w:r>
        <w:rPr>
          <w:bCs/>
          <w:b/>
        </w:rPr>
        <w:t xml:space="preserve">Mayersohn 1995</w:t>
      </w:r>
      <w:r>
        <w:t xml:space="preserve"> </w:t>
      </w:r>
      <w:r>
        <w:t xml:space="preserve">Mayersohn M, Guentert TW. Clinical Pharmacokinetics of the Monoamine Oxidase-A Inhibitor Moclobemide</w:t>
      </w:r>
      <w:r>
        <w:rPr>
          <w:iCs/>
          <w:i/>
        </w:rPr>
        <w:t xml:space="preserve">, Clinical Pharmacokinetics</w:t>
      </w:r>
      <w:r>
        <w:t xml:space="preserve">. 1995 Nov;29(5):292–332.</w:t>
      </w:r>
    </w:p>
    <w:p>
      <w:pPr>
        <w:pStyle w:val="BodyText"/>
      </w:pPr>
      <w:r>
        <w:rPr>
          <w:bCs/>
          <w:b/>
        </w:rPr>
        <w:t xml:space="preserve">MHRA Label Moclobemide</w:t>
      </w:r>
      <w:r>
        <w:t xml:space="preserve"> </w:t>
      </w:r>
      <w:r>
        <w:t xml:space="preserve">MHRA label of Moclobemide film-coated tablets. Website: http://www.mhra.gov.uk/home/groups/par/documents/websiteresources/con097060.pdf</w:t>
      </w:r>
    </w:p>
    <w:p>
      <w:pPr>
        <w:pStyle w:val="BodyText"/>
      </w:pPr>
      <w:r>
        <w:rPr>
          <w:bCs/>
          <w:b/>
        </w:rPr>
        <w:t xml:space="preserve">Moclobemide, INCHEM</w:t>
      </w:r>
      <w:r>
        <w:t xml:space="preserve">, Website https://inchem.org/documents/pims/pharm/pim151.htm#PartTitle:3.%20%20PHYSICO-CHEMICAL%20PROPERTIES</w:t>
      </w:r>
    </w:p>
    <w:p>
      <w:pPr>
        <w:pStyle w:val="BodyText"/>
      </w:pPr>
      <w:r>
        <w:rPr>
          <w:bCs/>
          <w:b/>
        </w:rPr>
        <w:t xml:space="preserve">Nair 1993</w:t>
      </w:r>
      <w:r>
        <w:t xml:space="preserve"> </w:t>
      </w:r>
      <w:r>
        <w:t xml:space="preserve">Nair NPV, Ahmed SK, Ng Ying Kin NMK. Biochemistry and pharmacology of reversible inhibitors of MAO-A agents: Focus on moclobemide.</w:t>
      </w:r>
      <w:r>
        <w:t xml:space="preserve"> </w:t>
      </w:r>
      <w:r>
        <w:rPr>
          <w:iCs/>
          <w:i/>
        </w:rPr>
        <w:t xml:space="preserve">J Psychiatry Neurosci</w:t>
      </w:r>
      <w:r>
        <w:t xml:space="preserve">. 1993;18(5):214-225.</w:t>
      </w:r>
    </w:p>
    <w:p>
      <w:pPr>
        <w:pStyle w:val="BodyText"/>
      </w:pPr>
      <w:r>
        <w:rPr>
          <w:bCs/>
          <w:b/>
        </w:rPr>
        <w:t xml:space="preserve">PK-Sim Ontogeny Database Version 7.3</w:t>
      </w:r>
      <w:r>
        <w:t xml:space="preserve"> </w:t>
      </w:r>
      <w:r>
        <w:t xml:space="preserve">(https://github.com/Open-Systems-Pharmacology/OSPSuite.Documentation/blob/38cf71b384cfc25cfa0ce4d2f3addfd32757e13b/PK-Sim%20Ontogeny%20Database%20Version%207.3.pdf)</w:t>
      </w:r>
    </w:p>
    <w:p>
      <w:pPr>
        <w:pStyle w:val="BodyText"/>
      </w:pPr>
      <w:r>
        <w:rPr>
          <w:bCs/>
          <w:b/>
        </w:rPr>
        <w:t xml:space="preserve">Pons 1990</w:t>
      </w:r>
      <w:r>
        <w:t xml:space="preserve"> </w:t>
      </w:r>
      <w:r>
        <w:t xml:space="preserve">Pons G, Schoerlin MP, Tam Y. Moclobemide excretion in human breast milk.</w:t>
      </w:r>
      <w:r>
        <w:t xml:space="preserve"> </w:t>
      </w:r>
      <w:r>
        <w:rPr>
          <w:iCs/>
          <w:i/>
        </w:rPr>
        <w:t xml:space="preserve">Br J Clin Pharmacol</w:t>
      </w:r>
      <w:r>
        <w:t xml:space="preserve">. 1990;29(1):27–31.</w:t>
      </w:r>
    </w:p>
    <w:p>
      <w:pPr>
        <w:pStyle w:val="BodyText"/>
      </w:pPr>
      <w:r>
        <w:rPr>
          <w:bCs/>
          <w:b/>
        </w:rPr>
        <w:t xml:space="preserve">Raaflaub 1984</w:t>
      </w:r>
      <w:r>
        <w:t xml:space="preserve"> </w:t>
      </w:r>
      <w:r>
        <w:t xml:space="preserve">Raaflaub J, Haefelfinger P, Trautmann KH. Single-dose Pharmacokinetics of the MAO-Inhibitor Moclobemide in Man.</w:t>
      </w:r>
      <w:r>
        <w:t xml:space="preserve"> </w:t>
      </w:r>
      <w:r>
        <w:rPr>
          <w:iCs/>
          <w:i/>
        </w:rPr>
        <w:t xml:space="preserve">Drug Res</w:t>
      </w:r>
      <w:r>
        <w:t xml:space="preserve">. 1984; 34:80–2.</w:t>
      </w:r>
    </w:p>
    <w:p>
      <w:pPr>
        <w:pStyle w:val="BodyText"/>
      </w:pPr>
      <w:r>
        <w:rPr>
          <w:bCs/>
          <w:b/>
        </w:rPr>
        <w:t xml:space="preserve">Schoerlin 1987</w:t>
      </w:r>
      <w:r>
        <w:t xml:space="preserve"> </w:t>
      </w:r>
      <w:r>
        <w:t xml:space="preserve">Schoerlin M-P, Mayersohn M, Korn A, Eggers H. Disposition kinetics of moclobemide, a monoamine oxidase-A enzyme inhibitor: Single and multiple dosing in normal subjects.</w:t>
      </w:r>
      <w:r>
        <w:t xml:space="preserve"> </w:t>
      </w:r>
      <w:r>
        <w:rPr>
          <w:iCs/>
          <w:i/>
        </w:rPr>
        <w:t xml:space="preserve">Clinical Pharmacology and Therapeutics</w:t>
      </w:r>
      <w:r>
        <w:t xml:space="preserve">. 1987 Oct;42(4):395–404.</w:t>
      </w:r>
    </w:p>
    <w:p>
      <w:pPr>
        <w:pStyle w:val="BodyText"/>
      </w:pPr>
      <w:r>
        <w:rPr>
          <w:bCs/>
          <w:b/>
        </w:rPr>
        <w:t xml:space="preserve">Wiesel 1985</w:t>
      </w:r>
      <w:r>
        <w:t xml:space="preserve"> </w:t>
      </w:r>
      <w:r>
        <w:t xml:space="preserve">Wiesel FA, Raaflaub J, Kettler R. Pharmacokinetics of oral moclobemide in healthy human subjects and effects on MAO-activity in platelets and excretion of urine monoamine metabolites. Eur J Clin Pharmacol. 1985;28(1 Supplement):89-95.</w:t>
      </w:r>
    </w:p>
    <w:p>
      <w:pPr>
        <w:pStyle w:val="BodyText"/>
      </w:pPr>
      <w:r>
        <w:rPr>
          <w:bCs/>
          <w:b/>
        </w:rPr>
        <w:t xml:space="preserve">Willmann 2007</w:t>
      </w:r>
      <w:r>
        <w:t xml:space="preserve"> </w:t>
      </w:r>
      <w:r>
        <w:t xml:space="preserve">Willmann S, Höhn K, Edginton A, Sevestre M, Solodenko J, Weiss W, Lippert J, Schmitt W. Development of a physiology-based whole-body population model for assessing the influence of individual variability on the pharmacokinetics of drugs.</w:t>
      </w:r>
      <w:r>
        <w:t xml:space="preserve"> </w:t>
      </w:r>
      <w:r>
        <w:rPr>
          <w:iCs/>
          <w:i/>
        </w:rPr>
        <w:t xml:space="preserve">J Pharmacokinet Pharmacodyn</w:t>
      </w:r>
      <w:r>
        <w:t xml:space="preserve"> </w:t>
      </w:r>
      <w:r>
        <w:t xml:space="preserve">2007, 34(3): 401-431.</w:t>
      </w:r>
    </w:p>
    <w:p>
      <w:pPr>
        <w:pStyle w:val="BodyText"/>
      </w:pPr>
      <w:r>
        <w:rPr>
          <w:bCs/>
          <w:b/>
        </w:rPr>
        <w:t xml:space="preserve">Wu 2014</w:t>
      </w:r>
      <w:r>
        <w:t xml:space="preserve"> </w:t>
      </w:r>
      <w:r>
        <w:t xml:space="preserve">Wu F, Gaohua L, Zhao P, Jamei M, Huang S-M, Bashaw ED, et al. Predicting Nonlinear Pharmacokinetics of Omeprazole Enantiomers and Racemic Drug Using Physiologically Based Pharmacokinetic Modeling and Simulation: Application to Predict Drug/Genetic Interactions.</w:t>
      </w:r>
      <w:r>
        <w:t xml:space="preserve"> </w:t>
      </w:r>
      <w:r>
        <w:rPr>
          <w:iCs/>
          <w:i/>
        </w:rPr>
        <w:t xml:space="preserve">Pharmaceutical Research</w:t>
      </w:r>
      <w:r>
        <w:t xml:space="preserve">. 2014 Aug;31(8):1919–29.</w:t>
      </w:r>
    </w:p>
    <w:p>
      <w:pPr>
        <w:pStyle w:val="BodyText"/>
      </w:pPr>
      <w:r>
        <w:rPr>
          <w:bCs/>
          <w:b/>
        </w:rPr>
        <w:t xml:space="preserve">Yu 2001</w:t>
      </w:r>
      <w:r>
        <w:t xml:space="preserve"> </w:t>
      </w:r>
      <w:r>
        <w:t xml:space="preserve">Yu K, Yim DS, Cho J-Y, Park SS. Effect of omeprazole on the pharmacokinetics of moclobemide according to the genetic polymorphism of CYP2C19. Clinical Pharmacology &amp; Therapeutics. 2001 Apr;69(4):266–73.</w:t>
      </w:r>
    </w:p>
    <w:bookmarkEnd w:id="114"/>
    <w:bookmarkStart w:id="115" w:name="glossary"/>
    <w:p>
      <w:pPr>
        <w:pStyle w:val="Heading1"/>
      </w:pPr>
      <w:r>
        <w:t xml:space="preserve">Glossary</w:t>
      </w:r>
      <w:bookmarkStart w:id="glossary" w:name="glossary"/>
      <w:bookmarkEnd w:id="glossary"/>
    </w:p>
    <w:tbl>
      <w:tblPr>
        <w:tblStyle w:val="Table"/>
        <w:tblW w:type="pct" w:w="5000"/>
        <w:tblLook w:firstRow="1" w:lastRow="0" w:firstColumn="0" w:lastColumn="0" w:noHBand="0" w:noVBand="0" w:val="0020"/>
        <w:jc w:val="start"/>
      </w:tblPr>
      <w:tblGrid>
        <w:gridCol w:w="827"/>
        <w:gridCol w:w="7092"/>
      </w:tblGrid>
      <w:tr>
        <w:trPr>
          <w:tblHeader w:val="true"/>
        </w:trPr>
        <w:tc>
          <w:tcPr/>
          <w:p>
            <w:pPr>
              <w:pStyle w:val="Compact"/>
              <w:jc w:val="left"/>
            </w:pPr>
            <w:r>
              <w:t xml:space="preserve">ADME</w:t>
            </w:r>
          </w:p>
        </w:tc>
        <w:tc>
          <w:tcPr/>
          <w:p>
            <w:pPr>
              <w:pStyle w:val="Compact"/>
              <w:jc w:val="left"/>
            </w:pPr>
            <w:r>
              <w:t xml:space="preserve">Absorption, Distribution, Metabolism, Excretion</w:t>
            </w:r>
          </w:p>
        </w:tc>
      </w:tr>
      <w:tr>
        <w:tc>
          <w:tcPr/>
          <w:p>
            <w:pPr>
              <w:pStyle w:val="Compact"/>
              <w:jc w:val="left"/>
            </w:pPr>
            <w:r>
              <w:t xml:space="preserve">AUC</w:t>
            </w:r>
          </w:p>
        </w:tc>
        <w:tc>
          <w:tcPr/>
          <w:p>
            <w:pPr>
              <w:pStyle w:val="Compact"/>
              <w:jc w:val="left"/>
            </w:pPr>
            <w:r>
              <w:t xml:space="preserve">Area under the plasma concentration versus time curve</w:t>
            </w:r>
          </w:p>
        </w:tc>
      </w:tr>
      <w:tr>
        <w:tc>
          <w:tcPr/>
          <w:p>
            <w:pPr>
              <w:pStyle w:val="Compact"/>
              <w:jc w:val="left"/>
            </w:pPr>
            <w:r>
              <w:t xml:space="preserve">AUCinf</w:t>
            </w:r>
          </w:p>
        </w:tc>
        <w:tc>
          <w:tcPr/>
          <w:p>
            <w:pPr>
              <w:pStyle w:val="Compact"/>
              <w:jc w:val="left"/>
            </w:pPr>
            <w:r>
              <w:t xml:space="preserve">AUC until infinity</w:t>
            </w:r>
          </w:p>
        </w:tc>
      </w:tr>
      <w:tr>
        <w:tc>
          <w:tcPr/>
          <w:p>
            <w:pPr>
              <w:pStyle w:val="Compact"/>
              <w:jc w:val="left"/>
            </w:pPr>
            <w:r>
              <w:t xml:space="preserve">AUClast</w:t>
            </w:r>
          </w:p>
        </w:tc>
        <w:tc>
          <w:tcPr/>
          <w:p>
            <w:pPr>
              <w:pStyle w:val="Compact"/>
              <w:jc w:val="left"/>
            </w:pPr>
            <w:r>
              <w:t xml:space="preserve">AUC until last measurable sample</w:t>
            </w:r>
          </w:p>
        </w:tc>
      </w:tr>
      <w:tr>
        <w:tc>
          <w:tcPr/>
          <w:p>
            <w:pPr>
              <w:pStyle w:val="Compact"/>
              <w:jc w:val="left"/>
            </w:pPr>
            <w:r>
              <w:t xml:space="preserve">AUCR</w:t>
            </w:r>
          </w:p>
        </w:tc>
        <w:tc>
          <w:tcPr/>
          <w:p>
            <w:pPr>
              <w:pStyle w:val="Compact"/>
              <w:jc w:val="left"/>
            </w:pPr>
            <w:r>
              <w:t xml:space="preserve">Area under the plasma concentration versus time curve Ratio</w:t>
            </w:r>
          </w:p>
        </w:tc>
      </w:tr>
      <w:tr>
        <w:tc>
          <w:tcPr/>
          <w:p>
            <w:pPr>
              <w:pStyle w:val="Compact"/>
              <w:jc w:val="left"/>
            </w:pPr>
            <w:r>
              <w:t xml:space="preserve">b.i.d.</w:t>
            </w:r>
          </w:p>
        </w:tc>
        <w:tc>
          <w:tcPr/>
          <w:p>
            <w:pPr>
              <w:pStyle w:val="Compact"/>
              <w:jc w:val="left"/>
            </w:pPr>
            <w:r>
              <w:t xml:space="preserve">Twice daily (bis in diem)</w:t>
            </w:r>
          </w:p>
        </w:tc>
      </w:tr>
      <w:tr>
        <w:tc>
          <w:tcPr/>
          <w:p>
            <w:pPr>
              <w:pStyle w:val="Compact"/>
              <w:jc w:val="left"/>
            </w:pPr>
            <w:r>
              <w:t xml:space="preserve">CL</w:t>
            </w:r>
          </w:p>
        </w:tc>
        <w:tc>
          <w:tcPr/>
          <w:p>
            <w:pPr>
              <w:pStyle w:val="Compact"/>
              <w:jc w:val="left"/>
            </w:pPr>
            <w:r>
              <w:t xml:space="preserve">Clearance</w:t>
            </w:r>
          </w:p>
        </w:tc>
      </w:tr>
      <w:tr>
        <w:tc>
          <w:tcPr/>
          <w:p>
            <w:pPr>
              <w:pStyle w:val="Compact"/>
              <w:jc w:val="left"/>
            </w:pPr>
            <w:r>
              <w:t xml:space="preserve">Clint</w:t>
            </w:r>
          </w:p>
        </w:tc>
        <w:tc>
          <w:tcPr/>
          <w:p>
            <w:pPr>
              <w:pStyle w:val="Compact"/>
              <w:jc w:val="left"/>
            </w:pPr>
            <w:r>
              <w:t xml:space="preserve">Intrinsic liver clearance</w:t>
            </w:r>
          </w:p>
        </w:tc>
      </w:tr>
      <w:tr>
        <w:tc>
          <w:tcPr/>
          <w:p>
            <w:pPr>
              <w:pStyle w:val="Compact"/>
              <w:jc w:val="left"/>
            </w:pPr>
            <w:r>
              <w:t xml:space="preserve">Cmax</w:t>
            </w:r>
          </w:p>
        </w:tc>
        <w:tc>
          <w:tcPr/>
          <w:p>
            <w:pPr>
              <w:pStyle w:val="Compact"/>
              <w:jc w:val="left"/>
            </w:pPr>
            <w:r>
              <w:t xml:space="preserve">Maximum concentration</w:t>
            </w:r>
          </w:p>
        </w:tc>
      </w:tr>
      <w:tr>
        <w:tc>
          <w:tcPr/>
          <w:p>
            <w:pPr>
              <w:pStyle w:val="Compact"/>
              <w:jc w:val="left"/>
            </w:pPr>
            <w:r>
              <w:t xml:space="preserve">CmaxR</w:t>
            </w:r>
          </w:p>
        </w:tc>
        <w:tc>
          <w:tcPr/>
          <w:p>
            <w:pPr>
              <w:pStyle w:val="Compact"/>
              <w:jc w:val="left"/>
            </w:pPr>
            <w:r>
              <w:t xml:space="preserve">Maximum concentration Ratio</w:t>
            </w:r>
          </w:p>
        </w:tc>
      </w:tr>
      <w:tr>
        <w:tc>
          <w:tcPr/>
          <w:p>
            <w:pPr>
              <w:pStyle w:val="Compact"/>
              <w:jc w:val="left"/>
            </w:pPr>
            <w:r>
              <w:t xml:space="preserve">CYP</w:t>
            </w:r>
          </w:p>
        </w:tc>
        <w:tc>
          <w:tcPr/>
          <w:p>
            <w:pPr>
              <w:pStyle w:val="Compact"/>
              <w:jc w:val="left"/>
            </w:pPr>
            <w:r>
              <w:t xml:space="preserve">Cytochrome P450 oxidase</w:t>
            </w:r>
          </w:p>
        </w:tc>
      </w:tr>
      <w:tr>
        <w:tc>
          <w:tcPr/>
          <w:p>
            <w:pPr>
              <w:pStyle w:val="Compact"/>
              <w:jc w:val="left"/>
            </w:pPr>
            <w:r>
              <w:t xml:space="preserve">CYP1A2</w:t>
            </w:r>
          </w:p>
        </w:tc>
        <w:tc>
          <w:tcPr/>
          <w:p>
            <w:pPr>
              <w:pStyle w:val="Compact"/>
              <w:jc w:val="left"/>
            </w:pPr>
            <w:r>
              <w:t xml:space="preserve">Cytochrome P450 1A2 oxidase</w:t>
            </w:r>
          </w:p>
        </w:tc>
      </w:tr>
      <w:tr>
        <w:tc>
          <w:tcPr/>
          <w:p>
            <w:pPr>
              <w:pStyle w:val="Compact"/>
              <w:jc w:val="left"/>
            </w:pPr>
            <w:r>
              <w:t xml:space="preserve">CYP2C19</w:t>
            </w:r>
          </w:p>
        </w:tc>
        <w:tc>
          <w:tcPr/>
          <w:p>
            <w:pPr>
              <w:pStyle w:val="Compact"/>
              <w:jc w:val="left"/>
            </w:pPr>
            <w:r>
              <w:t xml:space="preserve">Cytochrome P450 2C19 oxidase</w:t>
            </w:r>
          </w:p>
        </w:tc>
      </w:tr>
      <w:tr>
        <w:tc>
          <w:tcPr/>
          <w:p>
            <w:pPr>
              <w:pStyle w:val="Compact"/>
              <w:jc w:val="left"/>
            </w:pPr>
            <w:r>
              <w:t xml:space="preserve">CYP3A4</w:t>
            </w:r>
          </w:p>
        </w:tc>
        <w:tc>
          <w:tcPr/>
          <w:p>
            <w:pPr>
              <w:pStyle w:val="Compact"/>
              <w:jc w:val="left"/>
            </w:pPr>
            <w:r>
              <w:t xml:space="preserve">Cytochrome P450 3A4 oxidase</w:t>
            </w:r>
          </w:p>
        </w:tc>
      </w:tr>
      <w:tr>
        <w:tc>
          <w:tcPr/>
          <w:p>
            <w:pPr>
              <w:pStyle w:val="Compact"/>
              <w:jc w:val="left"/>
            </w:pPr>
            <w:r>
              <w:t xml:space="preserve">DDI</w:t>
            </w:r>
          </w:p>
        </w:tc>
        <w:tc>
          <w:tcPr/>
          <w:p>
            <w:pPr>
              <w:pStyle w:val="Compact"/>
              <w:jc w:val="left"/>
            </w:pPr>
            <w:r>
              <w:t xml:space="preserve">Drug-drug interaction</w:t>
            </w:r>
          </w:p>
        </w:tc>
      </w:tr>
      <w:tr>
        <w:tc>
          <w:tcPr/>
          <w:p>
            <w:pPr>
              <w:pStyle w:val="Compact"/>
              <w:jc w:val="left"/>
            </w:pPr>
            <w:r>
              <w:t xml:space="preserve">e.c.</w:t>
            </w:r>
          </w:p>
        </w:tc>
        <w:tc>
          <w:tcPr/>
          <w:p>
            <w:pPr>
              <w:pStyle w:val="Compact"/>
              <w:jc w:val="left"/>
            </w:pPr>
            <w:r>
              <w:t xml:space="preserve">Enteric coated</w:t>
            </w:r>
          </w:p>
        </w:tc>
      </w:tr>
      <w:tr>
        <w:tc>
          <w:tcPr/>
          <w:p>
            <w:pPr>
              <w:pStyle w:val="Compact"/>
              <w:jc w:val="left"/>
            </w:pPr>
            <w:r>
              <w:t xml:space="preserve">EE</w:t>
            </w:r>
          </w:p>
        </w:tc>
        <w:tc>
          <w:tcPr/>
          <w:p>
            <w:pPr>
              <w:pStyle w:val="Compact"/>
              <w:jc w:val="left"/>
            </w:pPr>
            <w:r>
              <w:t xml:space="preserve">Ethinylestradiol</w:t>
            </w:r>
          </w:p>
        </w:tc>
      </w:tr>
      <w:tr>
        <w:tc>
          <w:tcPr/>
          <w:p>
            <w:pPr>
              <w:pStyle w:val="Compact"/>
              <w:jc w:val="left"/>
            </w:pPr>
            <w:r>
              <w:t xml:space="preserve">EM</w:t>
            </w:r>
          </w:p>
        </w:tc>
        <w:tc>
          <w:tcPr/>
          <w:p>
            <w:pPr>
              <w:pStyle w:val="Compact"/>
              <w:jc w:val="left"/>
            </w:pPr>
            <w:r>
              <w:t xml:space="preserve">Extensive metabolizers</w:t>
            </w:r>
          </w:p>
        </w:tc>
      </w:tr>
      <w:tr>
        <w:tc>
          <w:tcPr/>
          <w:p>
            <w:pPr>
              <w:pStyle w:val="Compact"/>
              <w:jc w:val="left"/>
            </w:pPr>
            <w:r>
              <w:t xml:space="preserve">fm</w:t>
            </w:r>
          </w:p>
        </w:tc>
        <w:tc>
          <w:tcPr/>
          <w:p>
            <w:pPr>
              <w:pStyle w:val="Compact"/>
              <w:jc w:val="left"/>
            </w:pPr>
            <w:r>
              <w:t xml:space="preserve">Fraction metabolized</w:t>
            </w:r>
          </w:p>
        </w:tc>
      </w:tr>
      <w:tr>
        <w:tc>
          <w:tcPr/>
          <w:p>
            <w:pPr>
              <w:pStyle w:val="Compact"/>
              <w:jc w:val="left"/>
            </w:pPr>
            <w:r>
              <w:t xml:space="preserve">FMO</w:t>
            </w:r>
          </w:p>
        </w:tc>
        <w:tc>
          <w:tcPr/>
          <w:p>
            <w:pPr>
              <w:pStyle w:val="Compact"/>
              <w:jc w:val="left"/>
            </w:pPr>
            <w:r>
              <w:t xml:space="preserve">Flavin-containing monooxygenase</w:t>
            </w:r>
          </w:p>
        </w:tc>
      </w:tr>
      <w:tr>
        <w:tc>
          <w:tcPr/>
          <w:p>
            <w:pPr>
              <w:pStyle w:val="Compact"/>
              <w:jc w:val="left"/>
            </w:pPr>
            <w:r>
              <w:t xml:space="preserve">fu</w:t>
            </w:r>
          </w:p>
        </w:tc>
        <w:tc>
          <w:tcPr/>
          <w:p>
            <w:pPr>
              <w:pStyle w:val="Compact"/>
              <w:jc w:val="left"/>
            </w:pPr>
            <w:r>
              <w:t xml:space="preserve">Fraction unbound</w:t>
            </w:r>
          </w:p>
        </w:tc>
      </w:tr>
      <w:tr>
        <w:tc>
          <w:tcPr/>
          <w:p>
            <w:pPr>
              <w:pStyle w:val="Compact"/>
              <w:jc w:val="left"/>
            </w:pPr>
            <w:r>
              <w:t xml:space="preserve">FDA</w:t>
            </w:r>
          </w:p>
        </w:tc>
        <w:tc>
          <w:tcPr/>
          <w:p>
            <w:pPr>
              <w:pStyle w:val="Compact"/>
              <w:jc w:val="left"/>
            </w:pPr>
            <w:r>
              <w:t xml:space="preserve">Food and Drug administration</w:t>
            </w:r>
          </w:p>
        </w:tc>
      </w:tr>
      <w:tr>
        <w:tc>
          <w:tcPr/>
          <w:p>
            <w:pPr>
              <w:pStyle w:val="Compact"/>
              <w:jc w:val="left"/>
            </w:pPr>
            <w:r>
              <w:t xml:space="preserve">GFR</w:t>
            </w:r>
          </w:p>
        </w:tc>
        <w:tc>
          <w:tcPr/>
          <w:p>
            <w:pPr>
              <w:pStyle w:val="Compact"/>
              <w:jc w:val="left"/>
            </w:pPr>
            <w:r>
              <w:t xml:space="preserve">Glomerular filtration rate</w:t>
            </w:r>
          </w:p>
        </w:tc>
      </w:tr>
      <w:tr>
        <w:tc>
          <w:tcPr/>
          <w:p>
            <w:pPr>
              <w:pStyle w:val="Compact"/>
              <w:jc w:val="left"/>
            </w:pPr>
            <w:r>
              <w:t xml:space="preserve">HLM</w:t>
            </w:r>
          </w:p>
        </w:tc>
        <w:tc>
          <w:tcPr/>
          <w:p>
            <w:pPr>
              <w:pStyle w:val="Compact"/>
              <w:jc w:val="left"/>
            </w:pPr>
            <w:r>
              <w:t xml:space="preserve">Human liver microsomes</w:t>
            </w:r>
          </w:p>
        </w:tc>
      </w:tr>
      <w:tr>
        <w:tc>
          <w:tcPr/>
          <w:p>
            <w:pPr>
              <w:pStyle w:val="Compact"/>
              <w:jc w:val="left"/>
            </w:pPr>
            <w:r>
              <w:t xml:space="preserve">hm</w:t>
            </w:r>
          </w:p>
        </w:tc>
        <w:tc>
          <w:tcPr/>
          <w:p>
            <w:pPr>
              <w:pStyle w:val="Compact"/>
              <w:jc w:val="left"/>
            </w:pPr>
            <w:r>
              <w:t xml:space="preserve">homozygous</w:t>
            </w:r>
          </w:p>
        </w:tc>
      </w:tr>
      <w:tr>
        <w:tc>
          <w:tcPr/>
          <w:p>
            <w:pPr>
              <w:pStyle w:val="Compact"/>
              <w:jc w:val="left"/>
            </w:pPr>
            <w:r>
              <w:t xml:space="preserve">ht</w:t>
            </w:r>
          </w:p>
        </w:tc>
        <w:tc>
          <w:tcPr/>
          <w:p>
            <w:pPr>
              <w:pStyle w:val="Compact"/>
              <w:jc w:val="left"/>
            </w:pPr>
            <w:r>
              <w:t xml:space="preserve">heterozygous</w:t>
            </w:r>
          </w:p>
        </w:tc>
      </w:tr>
      <w:tr>
        <w:tc>
          <w:tcPr/>
          <w:p>
            <w:pPr>
              <w:pStyle w:val="Compact"/>
              <w:jc w:val="left"/>
            </w:pPr>
            <w:r>
              <w:t xml:space="preserve">IM</w:t>
            </w:r>
          </w:p>
        </w:tc>
        <w:tc>
          <w:tcPr/>
          <w:p>
            <w:pPr>
              <w:pStyle w:val="Compact"/>
              <w:jc w:val="left"/>
            </w:pPr>
            <w:r>
              <w:t xml:space="preserve">Intermediate metabolizers</w:t>
            </w:r>
          </w:p>
        </w:tc>
      </w:tr>
      <w:tr>
        <w:tc>
          <w:tcPr/>
          <w:p>
            <w:pPr>
              <w:pStyle w:val="Compact"/>
              <w:jc w:val="left"/>
            </w:pPr>
            <w:r>
              <w:t xml:space="preserve">i.v.</w:t>
            </w:r>
          </w:p>
        </w:tc>
        <w:tc>
          <w:tcPr/>
          <w:p>
            <w:pPr>
              <w:pStyle w:val="Compact"/>
              <w:jc w:val="left"/>
            </w:pPr>
            <w:r>
              <w:t xml:space="preserve">Intravenous</w:t>
            </w:r>
          </w:p>
        </w:tc>
      </w:tr>
      <w:tr>
        <w:tc>
          <w:tcPr/>
          <w:p>
            <w:pPr>
              <w:pStyle w:val="Compact"/>
              <w:jc w:val="left"/>
            </w:pPr>
            <w:r>
              <w:t xml:space="preserve">IVIVE</w:t>
            </w:r>
          </w:p>
        </w:tc>
        <w:tc>
          <w:tcPr/>
          <w:p>
            <w:pPr>
              <w:pStyle w:val="Compact"/>
              <w:jc w:val="left"/>
            </w:pPr>
            <w:r>
              <w:t xml:space="preserve">In Vitro to In Vivo Extrapolation</w:t>
            </w:r>
          </w:p>
        </w:tc>
      </w:tr>
      <w:tr>
        <w:tc>
          <w:tcPr/>
          <w:p>
            <w:pPr>
              <w:pStyle w:val="Compact"/>
              <w:jc w:val="left"/>
            </w:pPr>
            <w:r>
              <w:t xml:space="preserve">Ka</w:t>
            </w:r>
          </w:p>
        </w:tc>
        <w:tc>
          <w:tcPr/>
          <w:p>
            <w:pPr>
              <w:pStyle w:val="Compact"/>
              <w:jc w:val="left"/>
            </w:pPr>
            <w:r>
              <w:t xml:space="preserve">Absorption rate constant</w:t>
            </w:r>
          </w:p>
        </w:tc>
      </w:tr>
      <w:tr>
        <w:tc>
          <w:tcPr/>
          <w:p>
            <w:pPr>
              <w:pStyle w:val="Compact"/>
              <w:jc w:val="left"/>
            </w:pPr>
            <w:r>
              <w:t xml:space="preserve">kcat</w:t>
            </w:r>
          </w:p>
        </w:tc>
        <w:tc>
          <w:tcPr/>
          <w:p>
            <w:pPr>
              <w:pStyle w:val="Compact"/>
              <w:jc w:val="left"/>
            </w:pPr>
            <w:r>
              <w:t xml:space="preserve">Catalyst rate constant</w:t>
            </w:r>
          </w:p>
        </w:tc>
      </w:tr>
      <w:tr>
        <w:tc>
          <w:tcPr/>
          <w:p>
            <w:pPr>
              <w:pStyle w:val="Compact"/>
              <w:jc w:val="left"/>
            </w:pPr>
            <w:r>
              <w:t xml:space="preserve">Ki</w:t>
            </w:r>
          </w:p>
        </w:tc>
        <w:tc>
          <w:tcPr/>
          <w:p>
            <w:pPr>
              <w:pStyle w:val="Compact"/>
              <w:jc w:val="left"/>
            </w:pPr>
            <w:r>
              <w:t xml:space="preserve">Inhibitor constant</w:t>
            </w:r>
          </w:p>
        </w:tc>
      </w:tr>
      <w:tr>
        <w:tc>
          <w:tcPr/>
          <w:p>
            <w:pPr>
              <w:pStyle w:val="Compact"/>
              <w:jc w:val="left"/>
            </w:pPr>
            <w:r>
              <w:t xml:space="preserve">Kinact</w:t>
            </w:r>
          </w:p>
        </w:tc>
        <w:tc>
          <w:tcPr/>
          <w:p>
            <w:pPr>
              <w:pStyle w:val="Compact"/>
              <w:jc w:val="left"/>
            </w:pPr>
            <w:r>
              <w:t xml:space="preserve">Rate of enzyme inactivation</w:t>
            </w:r>
          </w:p>
        </w:tc>
      </w:tr>
      <w:tr>
        <w:tc>
          <w:tcPr/>
          <w:p>
            <w:pPr>
              <w:pStyle w:val="Compact"/>
              <w:jc w:val="left"/>
            </w:pPr>
            <w:r>
              <w:t xml:space="preserve">Km</w:t>
            </w:r>
          </w:p>
        </w:tc>
        <w:tc>
          <w:tcPr/>
          <w:p>
            <w:pPr>
              <w:pStyle w:val="Compact"/>
              <w:jc w:val="left"/>
            </w:pPr>
            <w:r>
              <w:t xml:space="preserve">Michaelis Menten constant</w:t>
            </w:r>
          </w:p>
        </w:tc>
      </w:tr>
      <w:tr>
        <w:tc>
          <w:tcPr/>
          <w:p>
            <w:pPr>
              <w:pStyle w:val="Compact"/>
              <w:jc w:val="left"/>
            </w:pPr>
            <w:r>
              <w:t xml:space="preserve">m.d.</w:t>
            </w:r>
          </w:p>
        </w:tc>
        <w:tc>
          <w:tcPr/>
          <w:p>
            <w:pPr>
              <w:pStyle w:val="Compact"/>
              <w:jc w:val="left"/>
            </w:pPr>
            <w:r>
              <w:t xml:space="preserve">Multiple dose</w:t>
            </w:r>
          </w:p>
        </w:tc>
      </w:tr>
      <w:tr>
        <w:tc>
          <w:tcPr/>
          <w:p>
            <w:pPr>
              <w:pStyle w:val="Compact"/>
              <w:jc w:val="left"/>
            </w:pPr>
            <w:r>
              <w:t xml:space="preserve">OSP</w:t>
            </w:r>
          </w:p>
        </w:tc>
        <w:tc>
          <w:tcPr/>
          <w:p>
            <w:pPr>
              <w:pStyle w:val="Compact"/>
              <w:jc w:val="left"/>
            </w:pPr>
            <w:r>
              <w:t xml:space="preserve">Open Systems Pharmacology</w:t>
            </w:r>
          </w:p>
        </w:tc>
      </w:tr>
      <w:tr>
        <w:tc>
          <w:tcPr/>
          <w:p>
            <w:pPr>
              <w:pStyle w:val="Compact"/>
              <w:jc w:val="left"/>
            </w:pPr>
            <w:r>
              <w:t xml:space="preserve">PBPK</w:t>
            </w:r>
          </w:p>
        </w:tc>
        <w:tc>
          <w:tcPr/>
          <w:p>
            <w:pPr>
              <w:pStyle w:val="Compact"/>
              <w:jc w:val="left"/>
            </w:pPr>
            <w:r>
              <w:t xml:space="preserve">Physiologically-based pharmacokinetics</w:t>
            </w:r>
          </w:p>
        </w:tc>
      </w:tr>
      <w:tr>
        <w:tc>
          <w:tcPr/>
          <w:p>
            <w:pPr>
              <w:pStyle w:val="Compact"/>
              <w:jc w:val="left"/>
            </w:pPr>
            <w:r>
              <w:t xml:space="preserve">PK</w:t>
            </w:r>
          </w:p>
        </w:tc>
        <w:tc>
          <w:tcPr/>
          <w:p>
            <w:pPr>
              <w:pStyle w:val="Compact"/>
              <w:jc w:val="left"/>
            </w:pPr>
            <w:r>
              <w:t xml:space="preserve">Pharmacokinetics</w:t>
            </w:r>
          </w:p>
        </w:tc>
      </w:tr>
      <w:tr>
        <w:tc>
          <w:tcPr/>
          <w:p>
            <w:pPr>
              <w:pStyle w:val="Compact"/>
              <w:jc w:val="left"/>
            </w:pPr>
            <w:r>
              <w:t xml:space="preserve">PI</w:t>
            </w:r>
          </w:p>
        </w:tc>
        <w:tc>
          <w:tcPr/>
          <w:p>
            <w:pPr>
              <w:pStyle w:val="Compact"/>
              <w:jc w:val="left"/>
            </w:pPr>
            <w:r>
              <w:t xml:space="preserve">Parameter identification</w:t>
            </w:r>
          </w:p>
        </w:tc>
      </w:tr>
      <w:tr>
        <w:tc>
          <w:tcPr/>
          <w:p>
            <w:pPr>
              <w:pStyle w:val="Compact"/>
              <w:jc w:val="left"/>
            </w:pPr>
            <w:r>
              <w:t xml:space="preserve">PM</w:t>
            </w:r>
          </w:p>
        </w:tc>
        <w:tc>
          <w:tcPr/>
          <w:p>
            <w:pPr>
              <w:pStyle w:val="Compact"/>
              <w:jc w:val="left"/>
            </w:pPr>
            <w:r>
              <w:t xml:space="preserve">Poor metabolizers</w:t>
            </w:r>
          </w:p>
        </w:tc>
      </w:tr>
      <w:tr>
        <w:tc>
          <w:tcPr/>
          <w:p>
            <w:pPr>
              <w:pStyle w:val="Compact"/>
              <w:jc w:val="left"/>
            </w:pPr>
            <w:r>
              <w:t xml:space="preserve">RT-PCR</w:t>
            </w:r>
          </w:p>
        </w:tc>
        <w:tc>
          <w:tcPr/>
          <w:p>
            <w:pPr>
              <w:pStyle w:val="Compact"/>
              <w:jc w:val="left"/>
            </w:pPr>
            <w:r>
              <w:t xml:space="preserve">Reverse transcription polymerase chain reaction</w:t>
            </w:r>
          </w:p>
        </w:tc>
      </w:tr>
      <w:tr>
        <w:tc>
          <w:tcPr/>
          <w:p>
            <w:pPr>
              <w:pStyle w:val="Compact"/>
              <w:jc w:val="left"/>
            </w:pPr>
            <w:r>
              <w:t xml:space="preserve">p.o.</w:t>
            </w:r>
          </w:p>
        </w:tc>
        <w:tc>
          <w:tcPr/>
          <w:p>
            <w:pPr>
              <w:pStyle w:val="Compact"/>
              <w:jc w:val="left"/>
            </w:pPr>
            <w:r>
              <w:t xml:space="preserve">Per os</w:t>
            </w:r>
          </w:p>
        </w:tc>
      </w:tr>
      <w:tr>
        <w:tc>
          <w:tcPr/>
          <w:p>
            <w:pPr>
              <w:pStyle w:val="Compact"/>
              <w:jc w:val="left"/>
            </w:pPr>
            <w:r>
              <w:t xml:space="preserve">q.d.</w:t>
            </w:r>
          </w:p>
        </w:tc>
        <w:tc>
          <w:tcPr/>
          <w:p>
            <w:pPr>
              <w:pStyle w:val="Compact"/>
              <w:jc w:val="left"/>
            </w:pPr>
            <w:r>
              <w:t xml:space="preserve">Once daily (quaque diem)</w:t>
            </w:r>
          </w:p>
        </w:tc>
      </w:tr>
      <w:tr>
        <w:tc>
          <w:tcPr/>
          <w:p>
            <w:pPr>
              <w:pStyle w:val="Compact"/>
              <w:jc w:val="left"/>
            </w:pPr>
            <w:r>
              <w:t xml:space="preserve">SD</w:t>
            </w:r>
          </w:p>
        </w:tc>
        <w:tc>
          <w:tcPr/>
          <w:p>
            <w:pPr>
              <w:pStyle w:val="Compact"/>
              <w:jc w:val="left"/>
            </w:pPr>
            <w:r>
              <w:t xml:space="preserve">Single Dose</w:t>
            </w:r>
          </w:p>
        </w:tc>
      </w:tr>
      <w:tr>
        <w:tc>
          <w:tcPr/>
          <w:p>
            <w:pPr>
              <w:pStyle w:val="Compact"/>
              <w:jc w:val="left"/>
            </w:pPr>
            <w:r>
              <w:t xml:space="preserve">SE</w:t>
            </w:r>
          </w:p>
        </w:tc>
        <w:tc>
          <w:tcPr/>
          <w:p>
            <w:pPr>
              <w:pStyle w:val="Compact"/>
              <w:jc w:val="left"/>
            </w:pPr>
            <w:r>
              <w:t xml:space="preserve">Standard error</w:t>
            </w:r>
          </w:p>
        </w:tc>
      </w:tr>
      <w:tr>
        <w:tc>
          <w:tcPr/>
          <w:p>
            <w:pPr>
              <w:pStyle w:val="Compact"/>
              <w:jc w:val="left"/>
            </w:pPr>
            <w:r>
              <w:t xml:space="preserve">s.d.SPC</w:t>
            </w:r>
          </w:p>
        </w:tc>
        <w:tc>
          <w:tcPr/>
          <w:p>
            <w:pPr>
              <w:pStyle w:val="Compact"/>
              <w:jc w:val="left"/>
            </w:pPr>
            <w:r>
              <w:t xml:space="preserve">Single dose Summary of Product Characteristics</w:t>
            </w:r>
          </w:p>
        </w:tc>
      </w:tr>
      <w:tr>
        <w:tc>
          <w:tcPr/>
          <w:p>
            <w:pPr>
              <w:pStyle w:val="Compact"/>
              <w:jc w:val="left"/>
            </w:pPr>
            <w:r>
              <w:t xml:space="preserve">SD</w:t>
            </w:r>
          </w:p>
        </w:tc>
        <w:tc>
          <w:tcPr/>
          <w:p>
            <w:pPr>
              <w:pStyle w:val="Compact"/>
              <w:jc w:val="left"/>
            </w:pPr>
            <w:r>
              <w:t xml:space="preserve">Standard deviation</w:t>
            </w:r>
          </w:p>
        </w:tc>
      </w:tr>
      <w:tr>
        <w:tc>
          <w:tcPr/>
          <w:p>
            <w:pPr>
              <w:pStyle w:val="Compact"/>
              <w:jc w:val="left"/>
            </w:pPr>
            <w:r>
              <w:t xml:space="preserve">TDI</w:t>
            </w:r>
          </w:p>
        </w:tc>
        <w:tc>
          <w:tcPr/>
          <w:p>
            <w:pPr>
              <w:pStyle w:val="Compact"/>
              <w:jc w:val="left"/>
            </w:pPr>
            <w:r>
              <w:t xml:space="preserve">Time dependent inhibition</w:t>
            </w:r>
          </w:p>
        </w:tc>
      </w:tr>
      <w:tr>
        <w:tc>
          <w:tcPr/>
          <w:p>
            <w:pPr>
              <w:pStyle w:val="Compact"/>
              <w:jc w:val="left"/>
            </w:pPr>
            <w:r>
              <w:t xml:space="preserve">t.i.d</w:t>
            </w:r>
          </w:p>
        </w:tc>
        <w:tc>
          <w:tcPr/>
          <w:p>
            <w:pPr>
              <w:pStyle w:val="Compact"/>
              <w:jc w:val="left"/>
            </w:pPr>
            <w:r>
              <w:t xml:space="preserve">Three times a day (ter in die)</w:t>
            </w:r>
          </w:p>
        </w:tc>
      </w:tr>
      <w:tr>
        <w:tc>
          <w:tcPr/>
          <w:p>
            <w:pPr>
              <w:pStyle w:val="Compact"/>
              <w:jc w:val="left"/>
            </w:pPr>
            <w:r>
              <w:t xml:space="preserve">UGT</w:t>
            </w:r>
          </w:p>
        </w:tc>
        <w:tc>
          <w:tcPr/>
          <w:p>
            <w:pPr>
              <w:pStyle w:val="Compact"/>
              <w:jc w:val="left"/>
            </w:pPr>
            <w:r>
              <w:t xml:space="preserve">Uridine 5’-diphospho-glucuronosyltransferase</w:t>
            </w:r>
          </w:p>
        </w:tc>
      </w:tr>
      <w:tr>
        <w:tc>
          <w:tcPr/>
          <w:p>
            <w:pPr>
              <w:pStyle w:val="Compact"/>
              <w:jc w:val="left"/>
            </w:pPr>
            <w:r>
              <w:t xml:space="preserve">UM</w:t>
            </w:r>
          </w:p>
        </w:tc>
        <w:tc>
          <w:tcPr/>
          <w:p>
            <w:pPr>
              <w:pStyle w:val="Compact"/>
              <w:jc w:val="left"/>
            </w:pPr>
            <w:r>
              <w:t xml:space="preserve">Ultra-rapid metabolizers</w:t>
            </w:r>
          </w:p>
        </w:tc>
      </w:tr>
    </w:tbl>
    <w:bookmarkEnd w:id="115"/>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Moclobemide in adults</dc:title>
  <dc:creator/>
  <cp:keywords/>
  <dcterms:created xsi:type="dcterms:W3CDTF">2025-05-13T15:15:18Z</dcterms:created>
  <dcterms:modified xsi:type="dcterms:W3CDTF">2025-05-13T15:15:18Z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Planhttps://github.com/Open-Systems-Pharmacology/Moclobemide-Model/releases/tag/v1.0OSP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