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pPr>
        <w:pStyle w:val="berschrift2"/>
      </w:pPr>
      <w:bookmarkStart w:id="21" w:name="sensitivity-analysis-for-ral"/>
      <w:r>
        <w:t xml:space="preserve">1.1. Sensitivity Analysis for ral</w:t>
      </w:r>
      <w:bookmarkEnd w:id="21"/>
    </w:p>
    <w:p>
      <w:r>
        <w:br w:type="page"/>
      </w:r>
    </w:p>
    <w:p>
      <w:pPr>
        <w:pStyle w:val="FirstParagraph"/>
      </w:pPr>
      <w:r>
        <w:t xml:space="preserve">Figure 1: Most sensitive parameters for new_t_max of op2.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t_max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Most sensitive parameters for new_AUC_tEnd of op2.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AUC_tEnd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3: Most sensitive parameters for new_C_max of op3.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C_max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Most sensitive parameters for new_MRT of op3.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MRT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2020-09-06T06:40:15Z</dcterms:created>
  <dcterms:modified xsi:type="dcterms:W3CDTF">2020-09-06T06:40:15Z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