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47" w:rsidRDefault="00D31747" w:rsidP="00D31747">
      <w:pPr>
        <w:pStyle w:val="Heading1"/>
      </w:pPr>
      <w:r>
        <w:t>Physiology</w:t>
      </w:r>
    </w:p>
    <w:p w:rsidR="00D31747" w:rsidRDefault="00D31747" w:rsidP="00D31747">
      <w:pPr>
        <w:pStyle w:val="Heading2"/>
      </w:pPr>
      <w:r>
        <w:t>Demography of Larson 2013 8y-18y 400mg FCT meal vs. simulated virtual pediatric population</w:t>
      </w:r>
    </w:p>
    <w:p w:rsidR="00D31747" w:rsidRDefault="00D31747" w:rsidP="00D31747">
      <w:pPr>
        <w:pStyle w:val="BodyText"/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Age-dependence of age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66" type="#_x0000_t75" style="width:470.25pt;height:348.75pt;visibility:visible;mso-wrap-style:square">
            <v:imagedata r:id="rId6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Age-dependence of body weight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" o:spid="_x0000_i1065" type="#_x0000_t75" style="width:470.25pt;height:348.75pt;visibility:visible;mso-wrap-style:square">
            <v:imagedata r:id="rId7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Age-dependence of body height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" o:spid="_x0000_i1064" type="#_x0000_t75" style="width:470.25pt;height:348.75pt;visibility:visible;mso-wrap-style:square">
            <v:imagedata r:id="rId8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Age-dependence of BMI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4" o:spid="_x0000_i1063" type="#_x0000_t75" style="width:470.25pt;height:348.75pt;visibility:visible;mso-wrap-style:square">
            <v:imagedata r:id="rId9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Age-dependence of body surface area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5" o:spid="_x0000_i1062" type="#_x0000_t75" style="width:470.25pt;height:348.75pt;visibility:visible;mso-wrap-style:square">
            <v:imagedata r:id="rId10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Distribution of gender for simulated virtual pediatric population in comparison to observed data Observed_Raltegravir 10 mg   (lactose formulation).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6" o:spid="_x0000_i1061" type="#_x0000_t75" style="width:470.25pt;height:348.75pt;visibility:visible;mso-wrap-style:square">
            <v:imagedata r:id="rId11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Age-dependence of Ontogeny factor (albumin)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7" o:spid="_x0000_i1060" type="#_x0000_t75" style="width:470.25pt;height:348.75pt;visibility:visible;mso-wrap-style:square">
            <v:imagedata r:id="rId12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Age-dependence of Ontogeny factor (alpha1-acid glycoprotein)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8" o:spid="_x0000_i1059" type="#_x0000_t75" style="width:470.25pt;height:348.75pt;visibility:visible;mso-wrap-style:square">
            <v:imagedata r:id="rId13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: Age-dependence of Ontogeny factor CYP3A4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9" o:spid="_x0000_i1058" type="#_x0000_t75" style="width:470.25pt;height:348.75pt;visibility:visible;mso-wrap-style:square">
            <v:imagedata r:id="rId14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>: Age-dependence of Ontogeny factor GI CYP3A4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0" o:spid="_x0000_i1057" type="#_x0000_t75" style="width:470.25pt;height:348.75pt;visibility:visible;mso-wrap-style:square">
            <v:imagedata r:id="rId15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: Age-dependence of Ontogeny factor CYP3A5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1" o:spid="_x0000_i1056" type="#_x0000_t75" style="width:470.25pt;height:348.75pt;visibility:visible;mso-wrap-style:square">
            <v:imagedata r:id="rId16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: Age-dependence of Ontogeny factor GI CYP3A5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2" o:spid="_x0000_i1055" type="#_x0000_t75" style="width:470.25pt;height:348.75pt;visibility:visible;mso-wrap-style:square">
            <v:imagedata r:id="rId17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Age-dependence of Ontogeny factor CYP3A7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3" o:spid="_x0000_i1054" type="#_x0000_t75" style="width:470.25pt;height:348.75pt;visibility:visible;mso-wrap-style:square">
            <v:imagedata r:id="rId18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: Age-dependence of Ontogeny factor GI CYP3A7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4" o:spid="_x0000_i1053" type="#_x0000_t75" style="width:470.25pt;height:348.75pt;visibility:visible;mso-wrap-style:square">
            <v:imagedata r:id="rId19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: Age-dependence of Ontogeny factor CYP1A2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5" o:spid="_x0000_i1052" type="#_x0000_t75" style="width:470.25pt;height:348.75pt;visibility:visible;mso-wrap-style:square">
            <v:imagedata r:id="rId20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: Age-dependence of Ontogeny factor GI CYP1A2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6" o:spid="_x0000_i1051" type="#_x0000_t75" style="width:470.25pt;height:348.75pt;visibility:visible;mso-wrap-style:square">
            <v:imagedata r:id="rId21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 Age-dependence of Ontogeny factor CYP2C18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7" o:spid="_x0000_i1050" type="#_x0000_t75" style="width:470.25pt;height:348.75pt;visibility:visible;mso-wrap-style:square">
            <v:imagedata r:id="rId22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: Age-dependence of Ontogeny factor GI CYP2C18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8" o:spid="_x0000_i1049" type="#_x0000_t75" style="width:470.25pt;height:348.75pt;visibility:visible;mso-wrap-style:square">
            <v:imagedata r:id="rId23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: Age-dependence of Ontogeny factor CYP2C19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19" o:spid="_x0000_i1048" type="#_x0000_t75" style="width:470.25pt;height:348.75pt;visibility:visible;mso-wrap-style:square">
            <v:imagedata r:id="rId24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: Age-dependence of Ontogeny factor GI CYP2C19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0" o:spid="_x0000_i1047" type="#_x0000_t75" style="width:470.25pt;height:348.75pt;visibility:visible;mso-wrap-style:square">
            <v:imagedata r:id="rId25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: Age-dependence of Ontogeny factor CYP2D6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1" o:spid="_x0000_i1046" type="#_x0000_t75" style="width:470.25pt;height:348.75pt;visibility:visible;mso-wrap-style:square">
            <v:imagedata r:id="rId26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: Age-dependence of Ontogeny factor GI CYP2D6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2" o:spid="_x0000_i1045" type="#_x0000_t75" style="width:470.25pt;height:348.75pt;visibility:visible;mso-wrap-style:square">
            <v:imagedata r:id="rId27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: Age-dependence of Ontogeny factor CYP2E1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3" o:spid="_x0000_i1044" type="#_x0000_t75" style="width:470.25pt;height:348.75pt;visibility:visible;mso-wrap-style:square">
            <v:imagedata r:id="rId28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: Age-dependence of Ontogeny factor GI CYP2E1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4" o:spid="_x0000_i1043" type="#_x0000_t75" style="width:470.25pt;height:348.75pt;visibility:visible;mso-wrap-style:square">
            <v:imagedata r:id="rId29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: Age-dependence of Ontogeny factor UGT1A1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5" o:spid="_x0000_i1042" type="#_x0000_t75" style="width:470.25pt;height:348.75pt;visibility:visible;mso-wrap-style:square">
            <v:imagedata r:id="rId30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: Age-dependence of Ontogeny factor GI UGT1A1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6" o:spid="_x0000_i1041" type="#_x0000_t75" style="width:470.25pt;height:348.75pt;visibility:visible;mso-wrap-style:square">
            <v:imagedata r:id="rId31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: Age-dependence of Ontogeny factor UGT1A4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7" o:spid="_x0000_i1040" type="#_x0000_t75" style="width:470.25pt;height:348.75pt;visibility:visible;mso-wrap-style:square">
            <v:imagedata r:id="rId32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: Age-dependence of Ontogeny factor GI UGT1A4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8" o:spid="_x0000_i1039" type="#_x0000_t75" style="width:470.25pt;height:348.75pt;visibility:visible;mso-wrap-style:square">
            <v:imagedata r:id="rId33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: Age-dependence of Ontogeny factor UGT1A6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29" o:spid="_x0000_i1038" type="#_x0000_t75" style="width:470.25pt;height:348.75pt;visibility:visible;mso-wrap-style:square">
            <v:imagedata r:id="rId34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: Age-dependence of Ontogeny factor GI UGT1A6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0" o:spid="_x0000_i1037" type="#_x0000_t75" style="width:470.25pt;height:348.75pt;visibility:visible;mso-wrap-style:square">
            <v:imagedata r:id="rId35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: Age-dependence of Ontogeny factor UGT1A9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1" o:spid="_x0000_i1036" type="#_x0000_t75" style="width:470.25pt;height:348.75pt;visibility:visible;mso-wrap-style:square">
            <v:imagedata r:id="rId36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: Age-dependence of Ontogeny factor GI UGT1A9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2" o:spid="_x0000_i1035" type="#_x0000_t75" style="width:470.25pt;height:348.75pt;visibility:visible;mso-wrap-style:square">
            <v:imagedata r:id="rId37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: Age-dependence of Ontogeny factor UGT2B4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3" o:spid="_x0000_i1034" type="#_x0000_t75" style="width:470.25pt;height:348.75pt;visibility:visible;mso-wrap-style:square">
            <v:imagedata r:id="rId38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: Age-dependence of Ontogeny factor GI UGT2B4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4" o:spid="_x0000_i1033" type="#_x0000_t75" style="width:470.25pt;height:348.75pt;visibility:visible;mso-wrap-style:square">
            <v:imagedata r:id="rId39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: Age-dependence of Ontogeny factor UGT2B7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5" o:spid="_x0000_i1032" type="#_x0000_t75" style="width:470.25pt;height:348.75pt;visibility:visible;mso-wrap-style:square">
            <v:imagedata r:id="rId40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: Age-dependence of Ontogeny factor GI UGT2B7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6" o:spid="_x0000_i1031" type="#_x0000_t75" style="width:470.25pt;height:348.75pt;visibility:visible;mso-wrap-style:square">
            <v:imagedata r:id="rId41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: Age-dependence of Ontogeny factor CYP1A1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7" o:spid="_x0000_i1030" type="#_x0000_t75" style="width:470.25pt;height:348.75pt;visibility:visible;mso-wrap-style:square">
            <v:imagedata r:id="rId42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38</w:t>
        </w:r>
      </w:fldSimple>
      <w:r>
        <w:t>: Age-dependence of Ontogeny factor GI CYP1A1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8" o:spid="_x0000_i1029" type="#_x0000_t75" style="width:470.25pt;height:348.75pt;visibility:visible;mso-wrap-style:square">
            <v:imagedata r:id="rId43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39</w:t>
        </w:r>
      </w:fldSimple>
      <w:r>
        <w:t>: Age-dependence of Ontogeny factor ABCG2 (BCRP)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39" o:spid="_x0000_i1028" type="#_x0000_t75" style="width:470.25pt;height:348.75pt;visibility:visible;mso-wrap-style:square">
            <v:imagedata r:id="rId44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40</w:t>
        </w:r>
      </w:fldSimple>
      <w:r>
        <w:t>: Age-dependence of Ontogeny factor GI ABCG2 (BCRP)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40" o:spid="_x0000_i1027" type="#_x0000_t75" style="width:470.25pt;height:348.75pt;visibility:visible;mso-wrap-style:square">
            <v:imagedata r:id="rId45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41</w:t>
        </w:r>
      </w:fldSimple>
      <w:r>
        <w:t>: Age-dependence of Ontogeny factor ABCB1 (P-gp)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41" o:spid="_x0000_i1026" type="#_x0000_t75" style="width:470.25pt;height:348.75pt;visibility:visible;mso-wrap-style:square">
            <v:imagedata r:id="rId46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D31747" w:rsidRDefault="00D31747" w:rsidP="00D3174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42</w:t>
        </w:r>
      </w:fldSimple>
      <w:r>
        <w:t>: Age-dependence of Ontogeny factor GI ABCB1 (P-gp) for simulated virtual pediatric population in comparison to simulated Healthy Adult Population.</w:t>
      </w:r>
    </w:p>
    <w:p w:rsidR="00D31747" w:rsidRDefault="00D31747" w:rsidP="00D31747">
      <w:r w:rsidRPr="00A453E5">
        <w:rPr>
          <w:noProof/>
          <w:lang w:eastAsia="en-US"/>
        </w:rPr>
        <w:pict>
          <v:shape id="Picture 42" o:spid="_x0000_i1025" type="#_x0000_t75" style="width:470.25pt;height:348.75pt;visibility:visible;mso-wrap-style:square">
            <v:imagedata r:id="rId47" o:title=""/>
          </v:shape>
        </w:pict>
      </w:r>
    </w:p>
    <w:p w:rsidR="00D31747" w:rsidRDefault="00D31747" w:rsidP="00D31747">
      <w:pPr>
        <w:sectPr w:rsidR="00D31747">
          <w:pgSz w:w="12240" w:h="15840"/>
          <w:pgMar w:top="1417" w:right="1417" w:bottom="1134" w:left="1417" w:header="720" w:footer="720" w:gutter="0"/>
          <w:cols w:space="720"/>
        </w:sectPr>
      </w:pPr>
    </w:p>
    <w:p w:rsidR="007A6CE9" w:rsidRDefault="007A6CE9" w:rsidP="00D31747">
      <w:bookmarkStart w:id="0" w:name="_GoBack"/>
      <w:bookmarkEnd w:id="0"/>
    </w:p>
    <w:sectPr w:rsidR="007A6CE9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A62F4D0"/>
    <w:lvl w:ilvl="0">
      <w:start w:val="1"/>
      <w:numFmt w:val="decimal"/>
      <w:pStyle w:val="List-Bullet"/>
      <w:lvlText w:val="%1.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96" w:hanging="1296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2448"/>
        </w:tabs>
        <w:ind w:left="2448" w:hanging="2448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lvlText w:val="%1.%2.%3.%4%5.%6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6">
      <w:start w:val="1"/>
      <w:numFmt w:val="decimal"/>
      <w:lvlText w:val="%1.%2.%3.%4%5.%6.%7."/>
      <w:lvlJc w:val="left"/>
      <w:pPr>
        <w:tabs>
          <w:tab w:val="num" w:pos="0"/>
        </w:tabs>
        <w:ind w:left="720" w:hanging="720"/>
      </w:pPr>
      <w:rPr>
        <w:b/>
        <w:i w:val="0"/>
        <w:sz w:val="24"/>
      </w:rPr>
    </w:lvl>
    <w:lvl w:ilvl="7">
      <w:start w:val="1"/>
      <w:numFmt w:val="decimal"/>
      <w:lvlText w:val="%1.%2.%3.%4%5.%6.%7.%8."/>
      <w:lvlJc w:val="left"/>
      <w:pPr>
        <w:tabs>
          <w:tab w:val="num" w:pos="0"/>
        </w:tabs>
        <w:ind w:left="720" w:hanging="720"/>
      </w:pPr>
    </w:lvl>
    <w:lvl w:ilvl="8">
      <w:start w:val="1"/>
      <w:numFmt w:val="decimal"/>
      <w:lvlText w:val="%1.%2.%3.%4%5.%6.%7.%8.%9."/>
      <w:lvlJc w:val="left"/>
      <w:pPr>
        <w:tabs>
          <w:tab w:val="num" w:pos="0"/>
        </w:tabs>
        <w:ind w:left="8784" w:hanging="720"/>
      </w:pPr>
    </w:lvl>
  </w:abstractNum>
  <w:abstractNum w:abstractNumId="1">
    <w:nsid w:val="0F1962B1"/>
    <w:multiLevelType w:val="hybridMultilevel"/>
    <w:tmpl w:val="6E367C72"/>
    <w:lvl w:ilvl="0" w:tplc="AEF69234">
      <w:start w:val="1"/>
      <w:numFmt w:val="bullet"/>
      <w:lvlText w:val="−"/>
      <w:lvlJc w:val="left"/>
      <w:pPr>
        <w:tabs>
          <w:tab w:val="num" w:pos="680"/>
        </w:tabs>
        <w:ind w:left="680" w:hanging="396"/>
      </w:pPr>
      <w:rPr>
        <w:rFonts w:ascii="Times New Roman" w:hAnsi="Times New Roman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D953E0"/>
    <w:multiLevelType w:val="hybridMultilevel"/>
    <w:tmpl w:val="53E88522"/>
    <w:lvl w:ilvl="0" w:tplc="141A85CA">
      <w:start w:val="1"/>
      <w:numFmt w:val="bullet"/>
      <w:lvlText w:val="•"/>
      <w:lvlJc w:val="left"/>
      <w:pPr>
        <w:tabs>
          <w:tab w:val="num" w:pos="6191"/>
        </w:tabs>
        <w:ind w:left="6191" w:hanging="283"/>
      </w:pPr>
      <w:rPr>
        <w:rFonts w:ascii="Times New Roman" w:hAnsi="Times New Roman" w:cs="Times New Roman" w:hint="default"/>
        <w:color w:val="auto"/>
      </w:rPr>
    </w:lvl>
    <w:lvl w:ilvl="1" w:tplc="CADCF15A">
      <w:start w:val="1"/>
      <w:numFmt w:val="bullet"/>
      <w:pStyle w:val="StandardLinks1"/>
      <w:lvlText w:val=""/>
      <w:lvlJc w:val="left"/>
      <w:pPr>
        <w:tabs>
          <w:tab w:val="num" w:pos="2308"/>
        </w:tabs>
        <w:ind w:left="2308" w:hanging="360"/>
      </w:pPr>
      <w:rPr>
        <w:rFonts w:ascii="Symbol" w:hAnsi="Symbol" w:hint="default"/>
        <w:color w:val="auto"/>
      </w:rPr>
    </w:lvl>
    <w:lvl w:ilvl="2" w:tplc="2C168FE8" w:tentative="1">
      <w:start w:val="1"/>
      <w:numFmt w:val="bullet"/>
      <w:lvlText w:val=""/>
      <w:lvlJc w:val="left"/>
      <w:pPr>
        <w:tabs>
          <w:tab w:val="num" w:pos="3028"/>
        </w:tabs>
        <w:ind w:left="3028" w:hanging="360"/>
      </w:pPr>
      <w:rPr>
        <w:rFonts w:ascii="Wingdings" w:hAnsi="Wingdings" w:hint="default"/>
      </w:rPr>
    </w:lvl>
    <w:lvl w:ilvl="3" w:tplc="31AAC464" w:tentative="1">
      <w:start w:val="1"/>
      <w:numFmt w:val="bullet"/>
      <w:lvlText w:val=""/>
      <w:lvlJc w:val="left"/>
      <w:pPr>
        <w:tabs>
          <w:tab w:val="num" w:pos="3748"/>
        </w:tabs>
        <w:ind w:left="3748" w:hanging="360"/>
      </w:pPr>
      <w:rPr>
        <w:rFonts w:ascii="Symbol" w:hAnsi="Symbol" w:hint="default"/>
      </w:rPr>
    </w:lvl>
    <w:lvl w:ilvl="4" w:tplc="B754B738" w:tentative="1">
      <w:start w:val="1"/>
      <w:numFmt w:val="bullet"/>
      <w:lvlText w:val="o"/>
      <w:lvlJc w:val="left"/>
      <w:pPr>
        <w:tabs>
          <w:tab w:val="num" w:pos="4468"/>
        </w:tabs>
        <w:ind w:left="4468" w:hanging="360"/>
      </w:pPr>
      <w:rPr>
        <w:rFonts w:ascii="Courier New" w:hAnsi="Courier New" w:hint="default"/>
      </w:rPr>
    </w:lvl>
    <w:lvl w:ilvl="5" w:tplc="8270811E" w:tentative="1">
      <w:start w:val="1"/>
      <w:numFmt w:val="bullet"/>
      <w:lvlText w:val=""/>
      <w:lvlJc w:val="left"/>
      <w:pPr>
        <w:tabs>
          <w:tab w:val="num" w:pos="5188"/>
        </w:tabs>
        <w:ind w:left="5188" w:hanging="360"/>
      </w:pPr>
      <w:rPr>
        <w:rFonts w:ascii="Wingdings" w:hAnsi="Wingdings" w:hint="default"/>
      </w:rPr>
    </w:lvl>
    <w:lvl w:ilvl="6" w:tplc="FB7C61BC" w:tentative="1">
      <w:start w:val="1"/>
      <w:numFmt w:val="bullet"/>
      <w:lvlText w:val=""/>
      <w:lvlJc w:val="left"/>
      <w:pPr>
        <w:tabs>
          <w:tab w:val="num" w:pos="5908"/>
        </w:tabs>
        <w:ind w:left="5908" w:hanging="360"/>
      </w:pPr>
      <w:rPr>
        <w:rFonts w:ascii="Symbol" w:hAnsi="Symbol" w:hint="default"/>
      </w:rPr>
    </w:lvl>
    <w:lvl w:ilvl="7" w:tplc="BD9C9326" w:tentative="1">
      <w:start w:val="1"/>
      <w:numFmt w:val="bullet"/>
      <w:lvlText w:val="o"/>
      <w:lvlJc w:val="left"/>
      <w:pPr>
        <w:tabs>
          <w:tab w:val="num" w:pos="6628"/>
        </w:tabs>
        <w:ind w:left="6628" w:hanging="360"/>
      </w:pPr>
      <w:rPr>
        <w:rFonts w:ascii="Courier New" w:hAnsi="Courier New" w:hint="default"/>
      </w:rPr>
    </w:lvl>
    <w:lvl w:ilvl="8" w:tplc="B3A8C24E" w:tentative="1">
      <w:start w:val="1"/>
      <w:numFmt w:val="bullet"/>
      <w:lvlText w:val=""/>
      <w:lvlJc w:val="left"/>
      <w:pPr>
        <w:tabs>
          <w:tab w:val="num" w:pos="7348"/>
        </w:tabs>
        <w:ind w:left="7348" w:hanging="360"/>
      </w:pPr>
      <w:rPr>
        <w:rFonts w:ascii="Wingdings" w:hAnsi="Wingdings" w:hint="default"/>
      </w:rPr>
    </w:lvl>
  </w:abstractNum>
  <w:abstractNum w:abstractNumId="3">
    <w:nsid w:val="26CB0692"/>
    <w:multiLevelType w:val="singleLevel"/>
    <w:tmpl w:val="E90C0DE0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4">
    <w:nsid w:val="75482738"/>
    <w:multiLevelType w:val="hybridMultilevel"/>
    <w:tmpl w:val="1DC0B274"/>
    <w:lvl w:ilvl="0" w:tplc="FFFFFFFF">
      <w:start w:val="1"/>
      <w:numFmt w:val="bullet"/>
      <w:lvlText w:val="•"/>
      <w:lvlJc w:val="left"/>
      <w:pPr>
        <w:tabs>
          <w:tab w:val="num" w:pos="8081"/>
        </w:tabs>
        <w:ind w:left="8081" w:hanging="283"/>
      </w:pPr>
      <w:rPr>
        <w:rFonts w:ascii="Times New Roman" w:hAnsi="Times New Roman" w:cs="Times New Roman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798"/>
        </w:tabs>
        <w:ind w:left="77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518"/>
        </w:tabs>
        <w:ind w:left="851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238"/>
        </w:tabs>
        <w:ind w:left="9238" w:hanging="360"/>
      </w:pPr>
      <w:rPr>
        <w:rFonts w:ascii="Wingdings" w:hAnsi="Wingdings" w:hint="default"/>
      </w:rPr>
    </w:lvl>
  </w:abstractNum>
  <w:abstractNum w:abstractNumId="5">
    <w:nsid w:val="757C54E2"/>
    <w:multiLevelType w:val="multilevel"/>
    <w:tmpl w:val="459863C0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907" w:hanging="907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6">
    <w:nsid w:val="79EB7923"/>
    <w:multiLevelType w:val="multilevel"/>
    <w:tmpl w:val="08E454D8"/>
    <w:lvl w:ilvl="0">
      <w:start w:val="1"/>
      <w:numFmt w:val="decimal"/>
      <w:pStyle w:val="Heading1"/>
      <w:lvlText w:val="%1"/>
      <w:lvlJc w:val="left"/>
      <w:pPr>
        <w:tabs>
          <w:tab w:val="num" w:pos="907"/>
        </w:tabs>
        <w:ind w:left="907" w:hanging="907"/>
      </w:pPr>
      <w:rPr>
        <w:rFonts w:hint="default"/>
        <w:b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  <w:rPr>
        <w:rFonts w:hint="default"/>
        <w:b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D0C06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2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7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747"/>
    <w:rsid w:val="000032E9"/>
    <w:rsid w:val="00010142"/>
    <w:rsid w:val="000120FF"/>
    <w:rsid w:val="00012D3C"/>
    <w:rsid w:val="00013193"/>
    <w:rsid w:val="00014F8D"/>
    <w:rsid w:val="00015DBE"/>
    <w:rsid w:val="000243F7"/>
    <w:rsid w:val="0003684D"/>
    <w:rsid w:val="000461DF"/>
    <w:rsid w:val="0004720E"/>
    <w:rsid w:val="0005007E"/>
    <w:rsid w:val="00051073"/>
    <w:rsid w:val="0005299E"/>
    <w:rsid w:val="000600EF"/>
    <w:rsid w:val="000664D3"/>
    <w:rsid w:val="00072802"/>
    <w:rsid w:val="0008022B"/>
    <w:rsid w:val="00081453"/>
    <w:rsid w:val="00083775"/>
    <w:rsid w:val="000855C5"/>
    <w:rsid w:val="00086D22"/>
    <w:rsid w:val="000909E6"/>
    <w:rsid w:val="000912FC"/>
    <w:rsid w:val="000A2D62"/>
    <w:rsid w:val="000A66EF"/>
    <w:rsid w:val="000B1BEB"/>
    <w:rsid w:val="000B227C"/>
    <w:rsid w:val="000B3C66"/>
    <w:rsid w:val="000B3DE4"/>
    <w:rsid w:val="000C076D"/>
    <w:rsid w:val="000C36B1"/>
    <w:rsid w:val="000D0BC5"/>
    <w:rsid w:val="000D0E39"/>
    <w:rsid w:val="000D7F7C"/>
    <w:rsid w:val="000E1ED7"/>
    <w:rsid w:val="000E2FFD"/>
    <w:rsid w:val="000F132F"/>
    <w:rsid w:val="000F7670"/>
    <w:rsid w:val="00100A41"/>
    <w:rsid w:val="00100DED"/>
    <w:rsid w:val="001016AE"/>
    <w:rsid w:val="00110406"/>
    <w:rsid w:val="001126AD"/>
    <w:rsid w:val="0013022E"/>
    <w:rsid w:val="001321A9"/>
    <w:rsid w:val="00134694"/>
    <w:rsid w:val="00137DA6"/>
    <w:rsid w:val="00141097"/>
    <w:rsid w:val="001417EF"/>
    <w:rsid w:val="0014622F"/>
    <w:rsid w:val="001462BD"/>
    <w:rsid w:val="00146BA2"/>
    <w:rsid w:val="0015296A"/>
    <w:rsid w:val="00152E5E"/>
    <w:rsid w:val="00155351"/>
    <w:rsid w:val="00164100"/>
    <w:rsid w:val="001719CC"/>
    <w:rsid w:val="00176644"/>
    <w:rsid w:val="00185839"/>
    <w:rsid w:val="00185866"/>
    <w:rsid w:val="00185E48"/>
    <w:rsid w:val="00186DBD"/>
    <w:rsid w:val="001878D4"/>
    <w:rsid w:val="00196E80"/>
    <w:rsid w:val="001A0662"/>
    <w:rsid w:val="001A30D5"/>
    <w:rsid w:val="001A38B9"/>
    <w:rsid w:val="001A730D"/>
    <w:rsid w:val="001B00C7"/>
    <w:rsid w:val="001B2FA1"/>
    <w:rsid w:val="001B3491"/>
    <w:rsid w:val="001B7730"/>
    <w:rsid w:val="001C3A5A"/>
    <w:rsid w:val="001C52E0"/>
    <w:rsid w:val="001D2ED8"/>
    <w:rsid w:val="001D42A9"/>
    <w:rsid w:val="001D4C5B"/>
    <w:rsid w:val="001D5A95"/>
    <w:rsid w:val="001E23D7"/>
    <w:rsid w:val="001E3CD2"/>
    <w:rsid w:val="001F4BAA"/>
    <w:rsid w:val="00200E13"/>
    <w:rsid w:val="00201D39"/>
    <w:rsid w:val="00205766"/>
    <w:rsid w:val="0020775B"/>
    <w:rsid w:val="00207AC7"/>
    <w:rsid w:val="00212198"/>
    <w:rsid w:val="002130BE"/>
    <w:rsid w:val="0021573B"/>
    <w:rsid w:val="002246CF"/>
    <w:rsid w:val="002249E3"/>
    <w:rsid w:val="00227EE4"/>
    <w:rsid w:val="002302D1"/>
    <w:rsid w:val="00230D48"/>
    <w:rsid w:val="00233A09"/>
    <w:rsid w:val="00233D98"/>
    <w:rsid w:val="00234184"/>
    <w:rsid w:val="00234EBD"/>
    <w:rsid w:val="00235E34"/>
    <w:rsid w:val="0023701A"/>
    <w:rsid w:val="00241E27"/>
    <w:rsid w:val="002427FA"/>
    <w:rsid w:val="00242DA3"/>
    <w:rsid w:val="002445FC"/>
    <w:rsid w:val="00245EE6"/>
    <w:rsid w:val="002523BC"/>
    <w:rsid w:val="002661C2"/>
    <w:rsid w:val="002671EB"/>
    <w:rsid w:val="002706C6"/>
    <w:rsid w:val="0027109C"/>
    <w:rsid w:val="00277F24"/>
    <w:rsid w:val="002800BE"/>
    <w:rsid w:val="00283413"/>
    <w:rsid w:val="00286204"/>
    <w:rsid w:val="00286CA2"/>
    <w:rsid w:val="002911B6"/>
    <w:rsid w:val="00291996"/>
    <w:rsid w:val="00292B2F"/>
    <w:rsid w:val="002A40BA"/>
    <w:rsid w:val="002A60C4"/>
    <w:rsid w:val="002B0111"/>
    <w:rsid w:val="002B0F3D"/>
    <w:rsid w:val="002B178F"/>
    <w:rsid w:val="002B24B1"/>
    <w:rsid w:val="002C56DF"/>
    <w:rsid w:val="002C636B"/>
    <w:rsid w:val="002D0210"/>
    <w:rsid w:val="002E0D92"/>
    <w:rsid w:val="002E14C3"/>
    <w:rsid w:val="002E37CF"/>
    <w:rsid w:val="002F6F07"/>
    <w:rsid w:val="0030047B"/>
    <w:rsid w:val="00304475"/>
    <w:rsid w:val="00311CA1"/>
    <w:rsid w:val="0031355C"/>
    <w:rsid w:val="0031505C"/>
    <w:rsid w:val="00317725"/>
    <w:rsid w:val="00321D14"/>
    <w:rsid w:val="00341913"/>
    <w:rsid w:val="00343BF6"/>
    <w:rsid w:val="00344845"/>
    <w:rsid w:val="00351CCC"/>
    <w:rsid w:val="00355025"/>
    <w:rsid w:val="00356080"/>
    <w:rsid w:val="00357182"/>
    <w:rsid w:val="00360458"/>
    <w:rsid w:val="00361EF0"/>
    <w:rsid w:val="00375AD7"/>
    <w:rsid w:val="00376113"/>
    <w:rsid w:val="0038116B"/>
    <w:rsid w:val="003842B1"/>
    <w:rsid w:val="00395216"/>
    <w:rsid w:val="0039612F"/>
    <w:rsid w:val="00396FAA"/>
    <w:rsid w:val="003A4DA3"/>
    <w:rsid w:val="003A5114"/>
    <w:rsid w:val="003A5BA0"/>
    <w:rsid w:val="003B276A"/>
    <w:rsid w:val="003B419D"/>
    <w:rsid w:val="003C0BF3"/>
    <w:rsid w:val="003C1DE7"/>
    <w:rsid w:val="003C3954"/>
    <w:rsid w:val="003C5B3A"/>
    <w:rsid w:val="003C5F5D"/>
    <w:rsid w:val="003D3F25"/>
    <w:rsid w:val="003D60BC"/>
    <w:rsid w:val="003D6257"/>
    <w:rsid w:val="003E2A65"/>
    <w:rsid w:val="003E6DB9"/>
    <w:rsid w:val="003F333D"/>
    <w:rsid w:val="003F3C50"/>
    <w:rsid w:val="003F473C"/>
    <w:rsid w:val="00402A09"/>
    <w:rsid w:val="00404332"/>
    <w:rsid w:val="004167B7"/>
    <w:rsid w:val="00417340"/>
    <w:rsid w:val="00424A5E"/>
    <w:rsid w:val="00425092"/>
    <w:rsid w:val="0043348A"/>
    <w:rsid w:val="00436D52"/>
    <w:rsid w:val="00440B18"/>
    <w:rsid w:val="004411F8"/>
    <w:rsid w:val="00444D4F"/>
    <w:rsid w:val="00444FC6"/>
    <w:rsid w:val="0044558A"/>
    <w:rsid w:val="00445BC2"/>
    <w:rsid w:val="00447817"/>
    <w:rsid w:val="00457038"/>
    <w:rsid w:val="004573B2"/>
    <w:rsid w:val="00462A6D"/>
    <w:rsid w:val="00462E7D"/>
    <w:rsid w:val="0046325B"/>
    <w:rsid w:val="00467A28"/>
    <w:rsid w:val="00467D30"/>
    <w:rsid w:val="0047343B"/>
    <w:rsid w:val="00476386"/>
    <w:rsid w:val="004815C7"/>
    <w:rsid w:val="004876E3"/>
    <w:rsid w:val="00497097"/>
    <w:rsid w:val="00497654"/>
    <w:rsid w:val="004A3966"/>
    <w:rsid w:val="004B09E5"/>
    <w:rsid w:val="004B0D57"/>
    <w:rsid w:val="004B23F0"/>
    <w:rsid w:val="004B250B"/>
    <w:rsid w:val="004D43E3"/>
    <w:rsid w:val="004D4CFA"/>
    <w:rsid w:val="004E5559"/>
    <w:rsid w:val="004F761F"/>
    <w:rsid w:val="0050206C"/>
    <w:rsid w:val="00502262"/>
    <w:rsid w:val="005043C0"/>
    <w:rsid w:val="00504FED"/>
    <w:rsid w:val="00506189"/>
    <w:rsid w:val="00507E2A"/>
    <w:rsid w:val="0051710F"/>
    <w:rsid w:val="00517A32"/>
    <w:rsid w:val="00521274"/>
    <w:rsid w:val="0052636F"/>
    <w:rsid w:val="00531242"/>
    <w:rsid w:val="005407C2"/>
    <w:rsid w:val="00547003"/>
    <w:rsid w:val="00547E98"/>
    <w:rsid w:val="005540B2"/>
    <w:rsid w:val="0055429E"/>
    <w:rsid w:val="0055506F"/>
    <w:rsid w:val="00556F7E"/>
    <w:rsid w:val="005662EA"/>
    <w:rsid w:val="00574AC5"/>
    <w:rsid w:val="005A41E7"/>
    <w:rsid w:val="005A4A5B"/>
    <w:rsid w:val="005A6A5B"/>
    <w:rsid w:val="005B3AF7"/>
    <w:rsid w:val="005B3B75"/>
    <w:rsid w:val="005B4DDB"/>
    <w:rsid w:val="005C0F71"/>
    <w:rsid w:val="005C208A"/>
    <w:rsid w:val="005C6CA8"/>
    <w:rsid w:val="005C78EB"/>
    <w:rsid w:val="005D0E7B"/>
    <w:rsid w:val="005D1A7E"/>
    <w:rsid w:val="005D31C2"/>
    <w:rsid w:val="005E51F8"/>
    <w:rsid w:val="005E6906"/>
    <w:rsid w:val="005E7EA0"/>
    <w:rsid w:val="005F2B14"/>
    <w:rsid w:val="005F2CFD"/>
    <w:rsid w:val="005F5DA1"/>
    <w:rsid w:val="00600B8A"/>
    <w:rsid w:val="00602D9D"/>
    <w:rsid w:val="006068A7"/>
    <w:rsid w:val="0061735F"/>
    <w:rsid w:val="00617DD4"/>
    <w:rsid w:val="00623385"/>
    <w:rsid w:val="00624E57"/>
    <w:rsid w:val="00630DC2"/>
    <w:rsid w:val="00640343"/>
    <w:rsid w:val="00641329"/>
    <w:rsid w:val="006442BD"/>
    <w:rsid w:val="00645AEB"/>
    <w:rsid w:val="00654825"/>
    <w:rsid w:val="00657523"/>
    <w:rsid w:val="00660468"/>
    <w:rsid w:val="00660686"/>
    <w:rsid w:val="0066107B"/>
    <w:rsid w:val="00661439"/>
    <w:rsid w:val="00663894"/>
    <w:rsid w:val="00663FA6"/>
    <w:rsid w:val="006649A2"/>
    <w:rsid w:val="006652E1"/>
    <w:rsid w:val="00675FF7"/>
    <w:rsid w:val="00676873"/>
    <w:rsid w:val="006854BD"/>
    <w:rsid w:val="00685AB7"/>
    <w:rsid w:val="006A1BAF"/>
    <w:rsid w:val="006A2306"/>
    <w:rsid w:val="006A300C"/>
    <w:rsid w:val="006A51F4"/>
    <w:rsid w:val="006B235E"/>
    <w:rsid w:val="006B63D3"/>
    <w:rsid w:val="006C1AF2"/>
    <w:rsid w:val="006C42B3"/>
    <w:rsid w:val="006C5209"/>
    <w:rsid w:val="006D0478"/>
    <w:rsid w:val="006F02E0"/>
    <w:rsid w:val="006F1EC1"/>
    <w:rsid w:val="006F26B0"/>
    <w:rsid w:val="006F58A5"/>
    <w:rsid w:val="007009F3"/>
    <w:rsid w:val="0070405F"/>
    <w:rsid w:val="00712571"/>
    <w:rsid w:val="00721ED8"/>
    <w:rsid w:val="0072531B"/>
    <w:rsid w:val="00727555"/>
    <w:rsid w:val="00733CB3"/>
    <w:rsid w:val="00736DE0"/>
    <w:rsid w:val="007451AD"/>
    <w:rsid w:val="00751607"/>
    <w:rsid w:val="007525B0"/>
    <w:rsid w:val="00753285"/>
    <w:rsid w:val="0075491B"/>
    <w:rsid w:val="00756D27"/>
    <w:rsid w:val="0075730E"/>
    <w:rsid w:val="00757842"/>
    <w:rsid w:val="00757BD7"/>
    <w:rsid w:val="007615C8"/>
    <w:rsid w:val="0076351E"/>
    <w:rsid w:val="00763CF4"/>
    <w:rsid w:val="00776A86"/>
    <w:rsid w:val="00781835"/>
    <w:rsid w:val="007818D5"/>
    <w:rsid w:val="00782777"/>
    <w:rsid w:val="00792BFB"/>
    <w:rsid w:val="00795263"/>
    <w:rsid w:val="007A2AB3"/>
    <w:rsid w:val="007A6CE9"/>
    <w:rsid w:val="007B435E"/>
    <w:rsid w:val="007B4BD0"/>
    <w:rsid w:val="007C2333"/>
    <w:rsid w:val="007C7ACF"/>
    <w:rsid w:val="007D3ACA"/>
    <w:rsid w:val="007D6A07"/>
    <w:rsid w:val="007E623B"/>
    <w:rsid w:val="007E6FDC"/>
    <w:rsid w:val="007F1569"/>
    <w:rsid w:val="00806F92"/>
    <w:rsid w:val="00811C91"/>
    <w:rsid w:val="00816951"/>
    <w:rsid w:val="008308DE"/>
    <w:rsid w:val="008368C5"/>
    <w:rsid w:val="00837685"/>
    <w:rsid w:val="008464FD"/>
    <w:rsid w:val="00857A6B"/>
    <w:rsid w:val="00861933"/>
    <w:rsid w:val="008746C7"/>
    <w:rsid w:val="00876EC9"/>
    <w:rsid w:val="00877D9B"/>
    <w:rsid w:val="008817C0"/>
    <w:rsid w:val="00881E77"/>
    <w:rsid w:val="00885B98"/>
    <w:rsid w:val="008A0DEC"/>
    <w:rsid w:val="008A2A48"/>
    <w:rsid w:val="008A5FF4"/>
    <w:rsid w:val="008B2BF3"/>
    <w:rsid w:val="008B41FE"/>
    <w:rsid w:val="008B76FA"/>
    <w:rsid w:val="008C11D9"/>
    <w:rsid w:val="008C2FB7"/>
    <w:rsid w:val="008C4CC1"/>
    <w:rsid w:val="008D24D2"/>
    <w:rsid w:val="008D2E7E"/>
    <w:rsid w:val="008D5FB6"/>
    <w:rsid w:val="008E4893"/>
    <w:rsid w:val="008E4AD2"/>
    <w:rsid w:val="008F0A0C"/>
    <w:rsid w:val="008F1F18"/>
    <w:rsid w:val="008F35F3"/>
    <w:rsid w:val="008F7002"/>
    <w:rsid w:val="00906754"/>
    <w:rsid w:val="00907E1A"/>
    <w:rsid w:val="00910F87"/>
    <w:rsid w:val="00911034"/>
    <w:rsid w:val="00911A0D"/>
    <w:rsid w:val="0091241D"/>
    <w:rsid w:val="009131C2"/>
    <w:rsid w:val="009168E8"/>
    <w:rsid w:val="00921BEA"/>
    <w:rsid w:val="00925FE9"/>
    <w:rsid w:val="009276E7"/>
    <w:rsid w:val="009301AB"/>
    <w:rsid w:val="009321B9"/>
    <w:rsid w:val="0093228D"/>
    <w:rsid w:val="009331DE"/>
    <w:rsid w:val="009358D4"/>
    <w:rsid w:val="00935C0C"/>
    <w:rsid w:val="00941F52"/>
    <w:rsid w:val="0094415A"/>
    <w:rsid w:val="009454F0"/>
    <w:rsid w:val="00955E64"/>
    <w:rsid w:val="00957AED"/>
    <w:rsid w:val="009639D0"/>
    <w:rsid w:val="00964434"/>
    <w:rsid w:val="00971797"/>
    <w:rsid w:val="00971FB8"/>
    <w:rsid w:val="009803BB"/>
    <w:rsid w:val="00982333"/>
    <w:rsid w:val="00984EAC"/>
    <w:rsid w:val="00990DB1"/>
    <w:rsid w:val="0099172A"/>
    <w:rsid w:val="00991795"/>
    <w:rsid w:val="009930D2"/>
    <w:rsid w:val="00993CDE"/>
    <w:rsid w:val="009A2A19"/>
    <w:rsid w:val="009A2A88"/>
    <w:rsid w:val="009A2CED"/>
    <w:rsid w:val="009A5C97"/>
    <w:rsid w:val="009C0B44"/>
    <w:rsid w:val="009C2069"/>
    <w:rsid w:val="009C46DA"/>
    <w:rsid w:val="009C50E4"/>
    <w:rsid w:val="009C62AB"/>
    <w:rsid w:val="009D6EF9"/>
    <w:rsid w:val="009D7726"/>
    <w:rsid w:val="009D77AC"/>
    <w:rsid w:val="009E5A2D"/>
    <w:rsid w:val="009F0A19"/>
    <w:rsid w:val="009F6A51"/>
    <w:rsid w:val="009F7015"/>
    <w:rsid w:val="00A03178"/>
    <w:rsid w:val="00A1575F"/>
    <w:rsid w:val="00A17B08"/>
    <w:rsid w:val="00A23A4F"/>
    <w:rsid w:val="00A24063"/>
    <w:rsid w:val="00A26362"/>
    <w:rsid w:val="00A32B47"/>
    <w:rsid w:val="00A33B08"/>
    <w:rsid w:val="00A426E1"/>
    <w:rsid w:val="00A44568"/>
    <w:rsid w:val="00A44D4C"/>
    <w:rsid w:val="00A535CA"/>
    <w:rsid w:val="00A5529E"/>
    <w:rsid w:val="00A6234B"/>
    <w:rsid w:val="00A629A4"/>
    <w:rsid w:val="00A72F8C"/>
    <w:rsid w:val="00A8444B"/>
    <w:rsid w:val="00A8678C"/>
    <w:rsid w:val="00A93EB7"/>
    <w:rsid w:val="00AB1EDA"/>
    <w:rsid w:val="00AB6DCB"/>
    <w:rsid w:val="00AC199A"/>
    <w:rsid w:val="00AC41F9"/>
    <w:rsid w:val="00AC6DF7"/>
    <w:rsid w:val="00AD3D29"/>
    <w:rsid w:val="00AD41FA"/>
    <w:rsid w:val="00AE2FF4"/>
    <w:rsid w:val="00AF441B"/>
    <w:rsid w:val="00B01E06"/>
    <w:rsid w:val="00B10621"/>
    <w:rsid w:val="00B125FD"/>
    <w:rsid w:val="00B167CB"/>
    <w:rsid w:val="00B202AA"/>
    <w:rsid w:val="00B2080D"/>
    <w:rsid w:val="00B22C5A"/>
    <w:rsid w:val="00B271D4"/>
    <w:rsid w:val="00B30810"/>
    <w:rsid w:val="00B31457"/>
    <w:rsid w:val="00B341AF"/>
    <w:rsid w:val="00B408A5"/>
    <w:rsid w:val="00B47C00"/>
    <w:rsid w:val="00B5209A"/>
    <w:rsid w:val="00B54E9D"/>
    <w:rsid w:val="00B5775F"/>
    <w:rsid w:val="00B601C5"/>
    <w:rsid w:val="00B71213"/>
    <w:rsid w:val="00B71E5B"/>
    <w:rsid w:val="00B74A90"/>
    <w:rsid w:val="00B75A84"/>
    <w:rsid w:val="00B75C83"/>
    <w:rsid w:val="00B77933"/>
    <w:rsid w:val="00B865D4"/>
    <w:rsid w:val="00B86B25"/>
    <w:rsid w:val="00B876D5"/>
    <w:rsid w:val="00B906F1"/>
    <w:rsid w:val="00B913AE"/>
    <w:rsid w:val="00B9680C"/>
    <w:rsid w:val="00B97697"/>
    <w:rsid w:val="00BA3470"/>
    <w:rsid w:val="00BB38C0"/>
    <w:rsid w:val="00BB68F2"/>
    <w:rsid w:val="00BC01E1"/>
    <w:rsid w:val="00BC3B66"/>
    <w:rsid w:val="00BD73D8"/>
    <w:rsid w:val="00BE5641"/>
    <w:rsid w:val="00BF1B54"/>
    <w:rsid w:val="00BF4064"/>
    <w:rsid w:val="00C0074F"/>
    <w:rsid w:val="00C049D1"/>
    <w:rsid w:val="00C069E7"/>
    <w:rsid w:val="00C06D70"/>
    <w:rsid w:val="00C1270A"/>
    <w:rsid w:val="00C14005"/>
    <w:rsid w:val="00C16B61"/>
    <w:rsid w:val="00C213DF"/>
    <w:rsid w:val="00C22C87"/>
    <w:rsid w:val="00C2786A"/>
    <w:rsid w:val="00C3527B"/>
    <w:rsid w:val="00C40351"/>
    <w:rsid w:val="00C43B75"/>
    <w:rsid w:val="00C455B2"/>
    <w:rsid w:val="00C45618"/>
    <w:rsid w:val="00C46DBC"/>
    <w:rsid w:val="00C471BD"/>
    <w:rsid w:val="00C53AC8"/>
    <w:rsid w:val="00C54A4F"/>
    <w:rsid w:val="00C668DB"/>
    <w:rsid w:val="00C67C31"/>
    <w:rsid w:val="00C70FBF"/>
    <w:rsid w:val="00C77F76"/>
    <w:rsid w:val="00C80A71"/>
    <w:rsid w:val="00C82940"/>
    <w:rsid w:val="00C83551"/>
    <w:rsid w:val="00C83981"/>
    <w:rsid w:val="00C8657C"/>
    <w:rsid w:val="00C86CD4"/>
    <w:rsid w:val="00C92F98"/>
    <w:rsid w:val="00C9441F"/>
    <w:rsid w:val="00C94470"/>
    <w:rsid w:val="00C954F7"/>
    <w:rsid w:val="00CA0510"/>
    <w:rsid w:val="00CA1012"/>
    <w:rsid w:val="00CA2B15"/>
    <w:rsid w:val="00CA44F4"/>
    <w:rsid w:val="00CB0519"/>
    <w:rsid w:val="00CB5BD0"/>
    <w:rsid w:val="00CC265E"/>
    <w:rsid w:val="00CD2891"/>
    <w:rsid w:val="00CD4068"/>
    <w:rsid w:val="00CD5CD1"/>
    <w:rsid w:val="00CD6712"/>
    <w:rsid w:val="00CD6813"/>
    <w:rsid w:val="00CD69DB"/>
    <w:rsid w:val="00CD77AC"/>
    <w:rsid w:val="00CE61D2"/>
    <w:rsid w:val="00CE786D"/>
    <w:rsid w:val="00CF2C05"/>
    <w:rsid w:val="00CF49A1"/>
    <w:rsid w:val="00CF4B39"/>
    <w:rsid w:val="00CF5C8C"/>
    <w:rsid w:val="00D0153E"/>
    <w:rsid w:val="00D06657"/>
    <w:rsid w:val="00D12C64"/>
    <w:rsid w:val="00D14D2B"/>
    <w:rsid w:val="00D23842"/>
    <w:rsid w:val="00D31747"/>
    <w:rsid w:val="00D31B07"/>
    <w:rsid w:val="00D31DD9"/>
    <w:rsid w:val="00D334DD"/>
    <w:rsid w:val="00D35A83"/>
    <w:rsid w:val="00D363F6"/>
    <w:rsid w:val="00D403E4"/>
    <w:rsid w:val="00D415F8"/>
    <w:rsid w:val="00D42B05"/>
    <w:rsid w:val="00D42C21"/>
    <w:rsid w:val="00D45E0C"/>
    <w:rsid w:val="00D46D1A"/>
    <w:rsid w:val="00D520BC"/>
    <w:rsid w:val="00D55491"/>
    <w:rsid w:val="00D57444"/>
    <w:rsid w:val="00D57E5D"/>
    <w:rsid w:val="00D6087C"/>
    <w:rsid w:val="00D6330A"/>
    <w:rsid w:val="00D66CB6"/>
    <w:rsid w:val="00D73E68"/>
    <w:rsid w:val="00D81382"/>
    <w:rsid w:val="00D86922"/>
    <w:rsid w:val="00D8708D"/>
    <w:rsid w:val="00D90F5A"/>
    <w:rsid w:val="00D96817"/>
    <w:rsid w:val="00D973C3"/>
    <w:rsid w:val="00DA553F"/>
    <w:rsid w:val="00DB12FF"/>
    <w:rsid w:val="00DC4260"/>
    <w:rsid w:val="00DD1C18"/>
    <w:rsid w:val="00DD1FB2"/>
    <w:rsid w:val="00DE150A"/>
    <w:rsid w:val="00DF39D8"/>
    <w:rsid w:val="00DF4C03"/>
    <w:rsid w:val="00DF6C97"/>
    <w:rsid w:val="00E070D5"/>
    <w:rsid w:val="00E11239"/>
    <w:rsid w:val="00E12101"/>
    <w:rsid w:val="00E16298"/>
    <w:rsid w:val="00E162BA"/>
    <w:rsid w:val="00E3725C"/>
    <w:rsid w:val="00E41E99"/>
    <w:rsid w:val="00E44D56"/>
    <w:rsid w:val="00E527E3"/>
    <w:rsid w:val="00E534CA"/>
    <w:rsid w:val="00E560CA"/>
    <w:rsid w:val="00E601A6"/>
    <w:rsid w:val="00E62C92"/>
    <w:rsid w:val="00E6616C"/>
    <w:rsid w:val="00E66A85"/>
    <w:rsid w:val="00E70F7E"/>
    <w:rsid w:val="00E72AE3"/>
    <w:rsid w:val="00E73F52"/>
    <w:rsid w:val="00E8032F"/>
    <w:rsid w:val="00E82FD0"/>
    <w:rsid w:val="00E853B0"/>
    <w:rsid w:val="00E86C98"/>
    <w:rsid w:val="00E90E4B"/>
    <w:rsid w:val="00E91988"/>
    <w:rsid w:val="00E95935"/>
    <w:rsid w:val="00E97D64"/>
    <w:rsid w:val="00EA15BC"/>
    <w:rsid w:val="00EA18D9"/>
    <w:rsid w:val="00EA62B8"/>
    <w:rsid w:val="00EA6FF6"/>
    <w:rsid w:val="00EB0FA8"/>
    <w:rsid w:val="00EB4A5D"/>
    <w:rsid w:val="00EB4FFE"/>
    <w:rsid w:val="00EC24E1"/>
    <w:rsid w:val="00EC42F3"/>
    <w:rsid w:val="00EC4517"/>
    <w:rsid w:val="00EC7497"/>
    <w:rsid w:val="00ED7850"/>
    <w:rsid w:val="00EE6825"/>
    <w:rsid w:val="00EF308D"/>
    <w:rsid w:val="00EF5064"/>
    <w:rsid w:val="00F07129"/>
    <w:rsid w:val="00F11BC9"/>
    <w:rsid w:val="00F11EFE"/>
    <w:rsid w:val="00F223C6"/>
    <w:rsid w:val="00F24B4F"/>
    <w:rsid w:val="00F30C17"/>
    <w:rsid w:val="00F35E3B"/>
    <w:rsid w:val="00F4129D"/>
    <w:rsid w:val="00F4283E"/>
    <w:rsid w:val="00F44AAE"/>
    <w:rsid w:val="00F4791C"/>
    <w:rsid w:val="00F53E33"/>
    <w:rsid w:val="00F56E9D"/>
    <w:rsid w:val="00F64DE0"/>
    <w:rsid w:val="00F777CD"/>
    <w:rsid w:val="00F808E3"/>
    <w:rsid w:val="00F8518E"/>
    <w:rsid w:val="00F851D9"/>
    <w:rsid w:val="00F86AC0"/>
    <w:rsid w:val="00F90020"/>
    <w:rsid w:val="00F904A1"/>
    <w:rsid w:val="00F91112"/>
    <w:rsid w:val="00F91D99"/>
    <w:rsid w:val="00F928AA"/>
    <w:rsid w:val="00F953FE"/>
    <w:rsid w:val="00FA07E5"/>
    <w:rsid w:val="00FA4417"/>
    <w:rsid w:val="00FA4AC2"/>
    <w:rsid w:val="00FA519C"/>
    <w:rsid w:val="00FA5431"/>
    <w:rsid w:val="00FA5D42"/>
    <w:rsid w:val="00FB0DCE"/>
    <w:rsid w:val="00FB467A"/>
    <w:rsid w:val="00FB643F"/>
    <w:rsid w:val="00FC12A8"/>
    <w:rsid w:val="00FC4ED1"/>
    <w:rsid w:val="00FC5D5D"/>
    <w:rsid w:val="00FD127C"/>
    <w:rsid w:val="00FD3B36"/>
    <w:rsid w:val="00FD435F"/>
    <w:rsid w:val="00FE0012"/>
    <w:rsid w:val="00FE2C99"/>
    <w:rsid w:val="00FE5CDC"/>
    <w:rsid w:val="00FE63B1"/>
    <w:rsid w:val="00FE6D36"/>
    <w:rsid w:val="00FF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Bayer Normal"/>
    <w:qFormat/>
    <w:rsid w:val="008F35F3"/>
    <w:rPr>
      <w:sz w:val="24"/>
      <w:lang w:eastAsia="de-DE"/>
    </w:rPr>
  </w:style>
  <w:style w:type="paragraph" w:styleId="Heading1">
    <w:name w:val="heading 1"/>
    <w:aliases w:val="Bayer Heading 1"/>
    <w:basedOn w:val="Normal"/>
    <w:next w:val="Normal"/>
    <w:qFormat/>
    <w:rsid w:val="008F35F3"/>
    <w:pPr>
      <w:keepNext/>
      <w:numPr>
        <w:numId w:val="44"/>
      </w:numP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aliases w:val="Bayer Heading 2"/>
    <w:basedOn w:val="Normal"/>
    <w:next w:val="Normal"/>
    <w:link w:val="Heading2Char"/>
    <w:qFormat/>
    <w:rsid w:val="008F35F3"/>
    <w:pPr>
      <w:keepNext/>
      <w:numPr>
        <w:ilvl w:val="1"/>
        <w:numId w:val="44"/>
      </w:numPr>
      <w:spacing w:before="240" w:after="120"/>
      <w:outlineLvl w:val="1"/>
    </w:pPr>
    <w:rPr>
      <w:b/>
      <w:sz w:val="26"/>
    </w:rPr>
  </w:style>
  <w:style w:type="paragraph" w:styleId="Heading3">
    <w:name w:val="heading 3"/>
    <w:aliases w:val="Bayer Heading 3"/>
    <w:basedOn w:val="Normal"/>
    <w:next w:val="Normal"/>
    <w:link w:val="Heading3Char"/>
    <w:qFormat/>
    <w:rsid w:val="008F35F3"/>
    <w:pPr>
      <w:keepNext/>
      <w:numPr>
        <w:ilvl w:val="2"/>
        <w:numId w:val="44"/>
      </w:numPr>
      <w:spacing w:before="240" w:after="120"/>
      <w:outlineLvl w:val="2"/>
    </w:pPr>
    <w:rPr>
      <w:b/>
      <w:sz w:val="26"/>
    </w:rPr>
  </w:style>
  <w:style w:type="paragraph" w:styleId="Heading4">
    <w:name w:val="heading 4"/>
    <w:aliases w:val="Bayer Heading 4"/>
    <w:basedOn w:val="Normal"/>
    <w:next w:val="Normal"/>
    <w:qFormat/>
    <w:rsid w:val="008F35F3"/>
    <w:pPr>
      <w:keepNext/>
      <w:numPr>
        <w:ilvl w:val="3"/>
        <w:numId w:val="44"/>
      </w:numPr>
      <w:spacing w:before="240" w:after="120"/>
      <w:outlineLvl w:val="3"/>
    </w:pPr>
    <w:rPr>
      <w:b/>
      <w:sz w:val="26"/>
    </w:rPr>
  </w:style>
  <w:style w:type="paragraph" w:styleId="Heading5">
    <w:name w:val="heading 5"/>
    <w:aliases w:val="Bayer Heading 5"/>
    <w:basedOn w:val="Normal"/>
    <w:next w:val="Normal"/>
    <w:qFormat/>
    <w:rsid w:val="008F35F3"/>
    <w:pPr>
      <w:numPr>
        <w:ilvl w:val="4"/>
        <w:numId w:val="44"/>
      </w:numPr>
      <w:spacing w:before="240" w:after="120"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rsid w:val="008F35F3"/>
    <w:pPr>
      <w:numPr>
        <w:ilvl w:val="5"/>
        <w:numId w:val="44"/>
      </w:numPr>
      <w:spacing w:before="240" w:after="60"/>
      <w:outlineLvl w:val="5"/>
    </w:pPr>
  </w:style>
  <w:style w:type="paragraph" w:styleId="Heading7">
    <w:name w:val="heading 7"/>
    <w:basedOn w:val="Normal"/>
    <w:next w:val="Normal"/>
    <w:qFormat/>
    <w:rsid w:val="008F35F3"/>
    <w:pPr>
      <w:numPr>
        <w:ilvl w:val="6"/>
        <w:numId w:val="44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F35F3"/>
    <w:pPr>
      <w:numPr>
        <w:ilvl w:val="7"/>
        <w:numId w:val="44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F35F3"/>
    <w:pPr>
      <w:numPr>
        <w:ilvl w:val="8"/>
        <w:numId w:val="4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Bayer Caption"/>
    <w:basedOn w:val="Normal"/>
    <w:next w:val="Normal"/>
    <w:qFormat/>
    <w:rsid w:val="008F35F3"/>
    <w:pPr>
      <w:spacing w:before="120" w:after="120"/>
      <w:ind w:left="907"/>
    </w:pPr>
    <w:rPr>
      <w:rFonts w:ascii="Arial" w:hAnsi="Arial"/>
      <w:b/>
      <w:sz w:val="20"/>
    </w:rPr>
  </w:style>
  <w:style w:type="paragraph" w:customStyle="1" w:styleId="BayerBibliography">
    <w:name w:val="Bayer Bibliography"/>
    <w:basedOn w:val="Normal"/>
    <w:rsid w:val="00EC24E1"/>
    <w:pPr>
      <w:spacing w:after="120"/>
      <w:ind w:left="1627" w:hanging="720"/>
    </w:pPr>
    <w:rPr>
      <w:lang w:eastAsia="en-US"/>
    </w:rPr>
  </w:style>
  <w:style w:type="paragraph" w:customStyle="1" w:styleId="BayerBodytext">
    <w:name w:val="Bayer Body text"/>
    <w:basedOn w:val="Normal"/>
    <w:link w:val="BayerBodytextChar"/>
    <w:rsid w:val="00EC24E1"/>
    <w:pPr>
      <w:spacing w:after="240" w:line="360" w:lineRule="auto"/>
      <w:ind w:left="907"/>
    </w:pPr>
  </w:style>
  <w:style w:type="character" w:customStyle="1" w:styleId="BayerBodytextChar">
    <w:name w:val="Bayer Body text Char"/>
    <w:link w:val="BayerBodytext"/>
    <w:rsid w:val="00EC24E1"/>
    <w:rPr>
      <w:sz w:val="24"/>
      <w:lang w:val="en-US" w:eastAsia="de-DE" w:bidi="ar-SA"/>
    </w:rPr>
  </w:style>
  <w:style w:type="paragraph" w:customStyle="1" w:styleId="BayerBodyTextFull">
    <w:name w:val="Bayer Body Text Full"/>
    <w:basedOn w:val="Normal"/>
    <w:link w:val="BayerBodyTextFullChar"/>
    <w:rsid w:val="00EC24E1"/>
    <w:pPr>
      <w:spacing w:before="120" w:after="120"/>
    </w:pPr>
  </w:style>
  <w:style w:type="character" w:customStyle="1" w:styleId="BayerBodyTextFullChar">
    <w:name w:val="Bayer Body Text Full Char"/>
    <w:link w:val="BayerBodyTextFull"/>
    <w:rsid w:val="00EC24E1"/>
    <w:rPr>
      <w:sz w:val="24"/>
      <w:szCs w:val="24"/>
      <w:lang w:val="en-US" w:eastAsia="en-US" w:bidi="ar-SA"/>
    </w:rPr>
  </w:style>
  <w:style w:type="character" w:customStyle="1" w:styleId="Heading3Char">
    <w:name w:val="Heading 3 Char"/>
    <w:aliases w:val="Bayer Heading 3 Char"/>
    <w:link w:val="Heading3"/>
    <w:rsid w:val="008F35F3"/>
    <w:rPr>
      <w:b/>
      <w:sz w:val="26"/>
      <w:lang w:val="en-US"/>
    </w:rPr>
  </w:style>
  <w:style w:type="paragraph" w:customStyle="1" w:styleId="BayerTableColumnHeadings">
    <w:name w:val="Bayer Table Column Headings"/>
    <w:basedOn w:val="BayerTableStyleData"/>
    <w:rsid w:val="00EC24E1"/>
    <w:pPr>
      <w:jc w:val="center"/>
    </w:pPr>
  </w:style>
  <w:style w:type="paragraph" w:customStyle="1" w:styleId="BayerTableFootnote">
    <w:name w:val="Bayer Table Footnote"/>
    <w:basedOn w:val="BayerTableStyleData"/>
    <w:link w:val="BayerTableFootnoteZchn"/>
    <w:rsid w:val="00EC24E1"/>
    <w:pPr>
      <w:ind w:left="360" w:hanging="360"/>
      <w:jc w:val="left"/>
    </w:pPr>
  </w:style>
  <w:style w:type="character" w:customStyle="1" w:styleId="BayerTableFootnoteZchn">
    <w:name w:val="Bayer Table Footnote Zchn"/>
    <w:link w:val="BayerTableFootnote"/>
    <w:rsid w:val="00EC24E1"/>
    <w:rPr>
      <w:rFonts w:ascii="Arial" w:hAnsi="Arial"/>
      <w:lang w:val="en-US" w:eastAsia="de-DE" w:bidi="ar-SA"/>
    </w:rPr>
  </w:style>
  <w:style w:type="paragraph" w:customStyle="1" w:styleId="BayerTableRowHeadings">
    <w:name w:val="Bayer Table Row Headings"/>
    <w:basedOn w:val="BayerTableStyleData"/>
    <w:rsid w:val="00EC24E1"/>
    <w:pPr>
      <w:jc w:val="left"/>
    </w:pPr>
    <w:rPr>
      <w:lang w:val="en-GB"/>
    </w:rPr>
  </w:style>
  <w:style w:type="paragraph" w:customStyle="1" w:styleId="BayerTableStyle">
    <w:name w:val="Bayer TableStyle"/>
    <w:basedOn w:val="Normal"/>
    <w:rsid w:val="00EC24E1"/>
    <w:pPr>
      <w:keepNext/>
      <w:widowControl w:val="0"/>
    </w:pPr>
    <w:rPr>
      <w:rFonts w:ascii="Arial" w:hAnsi="Arial"/>
      <w:sz w:val="20"/>
    </w:rPr>
  </w:style>
  <w:style w:type="paragraph" w:customStyle="1" w:styleId="BulletBayerBodyText">
    <w:name w:val="Bullet Bayer Body Text"/>
    <w:basedOn w:val="BayerBodytext"/>
    <w:rsid w:val="00EC24E1"/>
    <w:pPr>
      <w:spacing w:after="120"/>
      <w:ind w:left="0"/>
    </w:pPr>
  </w:style>
  <w:style w:type="paragraph" w:customStyle="1" w:styleId="CS-Text">
    <w:name w:val="CS-Text"/>
    <w:link w:val="CS-TextChar"/>
    <w:rsid w:val="00EC24E1"/>
    <w:pPr>
      <w:widowControl w:val="0"/>
      <w:adjustRightInd w:val="0"/>
      <w:spacing w:after="240" w:line="360" w:lineRule="atLeast"/>
      <w:jc w:val="both"/>
      <w:textAlignment w:val="baseline"/>
    </w:pPr>
    <w:rPr>
      <w:sz w:val="24"/>
      <w:lang w:val="en-GB" w:eastAsia="de-DE"/>
    </w:rPr>
  </w:style>
  <w:style w:type="character" w:customStyle="1" w:styleId="CS-TextChar">
    <w:name w:val="CS-Text Char"/>
    <w:link w:val="CS-Text"/>
    <w:rsid w:val="00EC24E1"/>
    <w:rPr>
      <w:sz w:val="24"/>
      <w:lang w:val="en-GB" w:eastAsia="de-DE" w:bidi="ar-SA"/>
    </w:rPr>
  </w:style>
  <w:style w:type="paragraph" w:customStyle="1" w:styleId="StandardLinks1">
    <w:name w:val="Standard + Links:  1"/>
    <w:aliases w:val="6 cm,Zeilenabstand:  1,5 Zeilen"/>
    <w:basedOn w:val="Normal"/>
    <w:rsid w:val="00EC24E1"/>
    <w:pPr>
      <w:numPr>
        <w:ilvl w:val="1"/>
        <w:numId w:val="16"/>
      </w:numPr>
    </w:pPr>
  </w:style>
  <w:style w:type="character" w:customStyle="1" w:styleId="Heading2Char">
    <w:name w:val="Heading 2 Char"/>
    <w:aliases w:val="Bayer Heading 2 Char"/>
    <w:link w:val="Heading2"/>
    <w:rsid w:val="008F35F3"/>
    <w:rPr>
      <w:b/>
      <w:sz w:val="26"/>
      <w:lang w:val="en-US"/>
    </w:rPr>
  </w:style>
  <w:style w:type="paragraph" w:styleId="DocumentMap">
    <w:name w:val="Document Map"/>
    <w:basedOn w:val="Normal"/>
    <w:semiHidden/>
    <w:rsid w:val="00EC24E1"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sid w:val="00EC24E1"/>
    <w:rPr>
      <w:sz w:val="20"/>
    </w:rPr>
  </w:style>
  <w:style w:type="paragraph" w:styleId="FootnoteText">
    <w:name w:val="footnote text"/>
    <w:basedOn w:val="Normal"/>
    <w:semiHidden/>
    <w:rsid w:val="00EC24E1"/>
    <w:rPr>
      <w:sz w:val="20"/>
    </w:rPr>
  </w:style>
  <w:style w:type="character" w:styleId="Hyperlink">
    <w:name w:val="Hyperlink"/>
    <w:rsid w:val="00EC24E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EC24E1"/>
    <w:pPr>
      <w:ind w:left="240" w:hanging="240"/>
    </w:pPr>
  </w:style>
  <w:style w:type="paragraph" w:styleId="Index9">
    <w:name w:val="index 9"/>
    <w:basedOn w:val="Normal"/>
    <w:next w:val="Normal"/>
    <w:autoRedefine/>
    <w:semiHidden/>
    <w:rsid w:val="00EC24E1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EC24E1"/>
    <w:rPr>
      <w:rFonts w:ascii="Arial" w:hAnsi="Arial"/>
      <w:b/>
    </w:rPr>
  </w:style>
  <w:style w:type="paragraph" w:styleId="CommentText">
    <w:name w:val="annotation text"/>
    <w:basedOn w:val="Normal"/>
    <w:semiHidden/>
    <w:rsid w:val="00EC24E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24E1"/>
    <w:rPr>
      <w:b/>
      <w:bCs/>
    </w:rPr>
  </w:style>
  <w:style w:type="character" w:styleId="CommentReference">
    <w:name w:val="annotation reference"/>
    <w:semiHidden/>
    <w:rsid w:val="00EC24E1"/>
    <w:rPr>
      <w:sz w:val="16"/>
      <w:szCs w:val="16"/>
    </w:rPr>
  </w:style>
  <w:style w:type="paragraph" w:customStyle="1" w:styleId="List-Bullet">
    <w:name w:val="List-Bullet"/>
    <w:basedOn w:val="Normal"/>
    <w:rsid w:val="00EC24E1"/>
    <w:pPr>
      <w:keepLines/>
      <w:numPr>
        <w:numId w:val="13"/>
      </w:numPr>
      <w:tabs>
        <w:tab w:val="left" w:pos="794"/>
      </w:tabs>
      <w:spacing w:after="60"/>
    </w:pPr>
  </w:style>
  <w:style w:type="paragraph" w:customStyle="1" w:styleId="List-Dash">
    <w:name w:val="List-Dash"/>
    <w:basedOn w:val="Normal"/>
    <w:rsid w:val="00EC24E1"/>
    <w:pPr>
      <w:keepLines/>
      <w:tabs>
        <w:tab w:val="left" w:pos="1191"/>
      </w:tabs>
      <w:spacing w:after="60"/>
    </w:pPr>
  </w:style>
  <w:style w:type="paragraph" w:customStyle="1" w:styleId="List-Number">
    <w:name w:val="List-Number"/>
    <w:basedOn w:val="Normal"/>
    <w:rsid w:val="00EC24E1"/>
    <w:pPr>
      <w:keepLines/>
      <w:spacing w:after="60"/>
    </w:pPr>
  </w:style>
  <w:style w:type="paragraph" w:styleId="BalloonText">
    <w:name w:val="Balloon Text"/>
    <w:basedOn w:val="Normal"/>
    <w:semiHidden/>
    <w:rsid w:val="00EC24E1"/>
    <w:rPr>
      <w:rFonts w:ascii="Tahoma" w:hAnsi="Tahoma" w:cs="Tahoma"/>
      <w:sz w:val="16"/>
      <w:szCs w:val="16"/>
    </w:rPr>
  </w:style>
  <w:style w:type="paragraph" w:customStyle="1" w:styleId="SynopsisLeftColumn">
    <w:name w:val="Synopsis Left Column"/>
    <w:basedOn w:val="Normal"/>
    <w:rsid w:val="00EC24E1"/>
    <w:pPr>
      <w:spacing w:before="120" w:after="120"/>
      <w:jc w:val="right"/>
    </w:pPr>
    <w:rPr>
      <w:b/>
      <w:lang w:val="de-DE"/>
    </w:rPr>
  </w:style>
  <w:style w:type="paragraph" w:customStyle="1" w:styleId="SynopsisRightColumn">
    <w:name w:val="Synopsis Right Column"/>
    <w:basedOn w:val="Normal"/>
    <w:rsid w:val="00EC24E1"/>
    <w:pPr>
      <w:spacing w:before="120" w:after="120"/>
    </w:pPr>
  </w:style>
  <w:style w:type="table" w:styleId="TableGrid">
    <w:name w:val="Table Grid"/>
    <w:basedOn w:val="TableNormal"/>
    <w:rsid w:val="00EC24E1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-1row">
    <w:name w:val="Table-1row"/>
    <w:basedOn w:val="Normal"/>
    <w:rsid w:val="00EC24E1"/>
    <w:pPr>
      <w:keepLines/>
      <w:spacing w:before="40" w:after="40"/>
      <w:jc w:val="center"/>
    </w:pPr>
    <w:rPr>
      <w:b/>
    </w:rPr>
  </w:style>
  <w:style w:type="paragraph" w:customStyle="1" w:styleId="Table-Text">
    <w:name w:val="Table-Text"/>
    <w:basedOn w:val="Normal"/>
    <w:rsid w:val="00EC24E1"/>
    <w:pPr>
      <w:keepLines/>
      <w:spacing w:before="40" w:after="40"/>
    </w:pPr>
  </w:style>
  <w:style w:type="paragraph" w:customStyle="1" w:styleId="Text">
    <w:name w:val="Text"/>
    <w:basedOn w:val="Normal"/>
    <w:link w:val="TextChar"/>
    <w:rsid w:val="00EC24E1"/>
    <w:pPr>
      <w:spacing w:after="120"/>
    </w:pPr>
  </w:style>
  <w:style w:type="character" w:customStyle="1" w:styleId="TextChar">
    <w:name w:val="Text Char"/>
    <w:link w:val="Text"/>
    <w:rsid w:val="00EC24E1"/>
    <w:rPr>
      <w:sz w:val="24"/>
      <w:szCs w:val="24"/>
      <w:lang w:val="en-US" w:eastAsia="de-DE" w:bidi="ar-SA"/>
    </w:rPr>
  </w:style>
  <w:style w:type="paragraph" w:styleId="BodyText2">
    <w:name w:val="Body Text 2"/>
    <w:basedOn w:val="Normal"/>
    <w:rsid w:val="00EC24E1"/>
    <w:pPr>
      <w:spacing w:line="360" w:lineRule="auto"/>
    </w:pPr>
    <w:rPr>
      <w:rFonts w:cs="Angsana New"/>
      <w:lang w:eastAsia="zh-CN" w:bidi="th-TH"/>
    </w:rPr>
  </w:style>
  <w:style w:type="paragraph" w:styleId="TOC1">
    <w:name w:val="toc 1"/>
    <w:basedOn w:val="Normal"/>
    <w:next w:val="Normal"/>
    <w:autoRedefine/>
    <w:semiHidden/>
    <w:rsid w:val="00EC24E1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EC24E1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EC24E1"/>
    <w:pPr>
      <w:ind w:left="480"/>
    </w:pPr>
    <w:rPr>
      <w:i/>
      <w:iCs/>
      <w:sz w:val="20"/>
    </w:rPr>
  </w:style>
  <w:style w:type="paragraph" w:customStyle="1" w:styleId="BayerBibliographyStyle">
    <w:name w:val="Bayer Bibliography Style"/>
    <w:basedOn w:val="Normal"/>
    <w:link w:val="BayerBibliographyStyleZchn"/>
    <w:rsid w:val="00EC24E1"/>
    <w:pPr>
      <w:spacing w:after="120"/>
      <w:ind w:left="1627" w:hanging="720"/>
    </w:pPr>
  </w:style>
  <w:style w:type="character" w:customStyle="1" w:styleId="BayerBibliographyStyleZchn">
    <w:name w:val="Bayer Bibliography Style Zchn"/>
    <w:link w:val="BayerBibliographyStyle"/>
    <w:rsid w:val="00EC24E1"/>
    <w:rPr>
      <w:sz w:val="24"/>
      <w:lang w:val="en-US" w:eastAsia="de-DE" w:bidi="ar-SA"/>
    </w:rPr>
  </w:style>
  <w:style w:type="paragraph" w:customStyle="1" w:styleId="BayerBodyText0">
    <w:name w:val="Bayer Body Text"/>
    <w:basedOn w:val="Normal"/>
    <w:link w:val="BayerBodyTextZchn"/>
    <w:rsid w:val="00EC24E1"/>
    <w:pPr>
      <w:spacing w:after="240" w:line="360" w:lineRule="auto"/>
      <w:ind w:left="907"/>
    </w:pPr>
  </w:style>
  <w:style w:type="character" w:customStyle="1" w:styleId="BayerBodyTextZchn">
    <w:name w:val="Bayer Body Text Zchn"/>
    <w:link w:val="BayerBodyText0"/>
    <w:rsid w:val="00EC24E1"/>
    <w:rPr>
      <w:sz w:val="24"/>
      <w:lang w:val="en-US" w:eastAsia="de-DE" w:bidi="ar-SA"/>
    </w:rPr>
  </w:style>
  <w:style w:type="paragraph" w:customStyle="1" w:styleId="BayerSubscript">
    <w:name w:val="Bayer Subscript"/>
    <w:basedOn w:val="Normal"/>
    <w:rsid w:val="00EC24E1"/>
    <w:rPr>
      <w:vertAlign w:val="subscript"/>
    </w:rPr>
  </w:style>
  <w:style w:type="paragraph" w:customStyle="1" w:styleId="BayerSuperscript">
    <w:name w:val="Bayer Superscript"/>
    <w:basedOn w:val="Normal"/>
    <w:rsid w:val="00EC24E1"/>
    <w:rPr>
      <w:vertAlign w:val="superscript"/>
    </w:rPr>
  </w:style>
  <w:style w:type="paragraph" w:customStyle="1" w:styleId="BayerTableStyleData">
    <w:name w:val="Bayer TableStyle Data"/>
    <w:rsid w:val="00EC24E1"/>
    <w:pPr>
      <w:keepNext/>
      <w:widowControl w:val="0"/>
      <w:jc w:val="right"/>
    </w:pPr>
    <w:rPr>
      <w:rFonts w:ascii="Arial" w:hAnsi="Arial"/>
      <w:lang w:eastAsia="de-DE"/>
    </w:rPr>
  </w:style>
  <w:style w:type="paragraph" w:customStyle="1" w:styleId="BayerlTableRowHeadings">
    <w:name w:val="Bayerl Table Row Headings"/>
    <w:basedOn w:val="BayerTableStyleData"/>
    <w:rsid w:val="00EC24E1"/>
    <w:pPr>
      <w:jc w:val="left"/>
    </w:pPr>
  </w:style>
  <w:style w:type="paragraph" w:styleId="Footer">
    <w:name w:val="footer"/>
    <w:aliases w:val="Bayer Footer"/>
    <w:basedOn w:val="Normal"/>
    <w:rsid w:val="00EC24E1"/>
    <w:pPr>
      <w:tabs>
        <w:tab w:val="center" w:pos="4320"/>
        <w:tab w:val="right" w:pos="8640"/>
      </w:tabs>
    </w:pPr>
    <w:rPr>
      <w:lang w:val="en-GB"/>
    </w:rPr>
  </w:style>
  <w:style w:type="paragraph" w:customStyle="1" w:styleId="Superscript">
    <w:name w:val="Superscript"/>
    <w:aliases w:val="Bayer"/>
    <w:basedOn w:val="Normal"/>
    <w:rsid w:val="00EC24E1"/>
    <w:rPr>
      <w:vertAlign w:val="superscript"/>
    </w:rPr>
  </w:style>
  <w:style w:type="paragraph" w:customStyle="1" w:styleId="figuresstyle">
    <w:name w:val="figures_style"/>
    <w:basedOn w:val="Caption"/>
    <w:link w:val="figuresstyleZchn"/>
    <w:rsid w:val="00D973C3"/>
    <w:rPr>
      <w:rFonts w:eastAsia="SimSun"/>
      <w:bCs/>
      <w:lang w:eastAsia="en-US"/>
    </w:rPr>
  </w:style>
  <w:style w:type="character" w:customStyle="1" w:styleId="figuresstyleZchn">
    <w:name w:val="figures_style Zchn"/>
    <w:link w:val="figuresstyle"/>
    <w:rsid w:val="00D973C3"/>
    <w:rPr>
      <w:rFonts w:ascii="Arial" w:eastAsia="SimSun" w:hAnsi="Arial"/>
      <w:b/>
      <w:bCs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8F35F3"/>
    <w:pPr>
      <w:ind w:left="708"/>
    </w:pPr>
  </w:style>
  <w:style w:type="paragraph" w:styleId="BodyText">
    <w:name w:val="Body Text"/>
    <w:basedOn w:val="Normal"/>
    <w:link w:val="BodyTextChar"/>
    <w:rsid w:val="00D31747"/>
    <w:pPr>
      <w:spacing w:after="120"/>
    </w:pPr>
  </w:style>
  <w:style w:type="character" w:customStyle="1" w:styleId="BodyTextChar">
    <w:name w:val="Body Text Char"/>
    <w:link w:val="BodyText"/>
    <w:rsid w:val="00D31747"/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emf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9" Type="http://schemas.openxmlformats.org/officeDocument/2006/relationships/image" Target="media/image24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49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4" Type="http://schemas.openxmlformats.org/officeDocument/2006/relationships/image" Target="media/image39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fontTable" Target="fontTable.xml"/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Open%20Systems%20Pharmacology\Report%20Generation\AppendixOnly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7E5D-3BC9-4488-8F6E-299E72E0E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AppendixOnly</Template>
  <TotalTime>0</TotalTime>
  <Pages>1</Pages>
  <Words>1124</Words>
  <Characters>6412</Characters>
  <Application>Microsoft Office Word</Application>
  <DocSecurity>0</DocSecurity>
  <Lines>53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 Template</vt:lpstr>
      <vt:lpstr>Report Template</vt:lpstr>
    </vt:vector>
  </TitlesOfParts>
  <Company>Bayer Technology Services</Company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creator>Ibrahim Ince</dc:creator>
  <cp:lastModifiedBy>Ibrahim Ince</cp:lastModifiedBy>
  <cp:revision>1</cp:revision>
  <dcterms:created xsi:type="dcterms:W3CDTF">2020-02-06T16:14:00Z</dcterms:created>
  <dcterms:modified xsi:type="dcterms:W3CDTF">2020-02-06T16:14:00Z</dcterms:modified>
</cp:coreProperties>
</file>