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47.png" ContentType="image/png"/>
  <Override PartName="/word/media/rId72.png" ContentType="image/png"/>
  <Override PartName="/word/media/rId75.png" ContentType="image/png"/>
  <Override PartName="/word/media/rId7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88.png" ContentType="image/png"/>
  <Override PartName="/word/media/rId91.png" ContentType="image/png"/>
  <Override PartName="/word/media/rId82.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Sildenafil</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https://github.com/Open-Systems-Pharmacology/Sildenafil-Model/releases/tag/v1.0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Sildenafil is a cGMP-specific phosphodiesterase 5 inhibitor, indicated for erectile dysfunction and pulmonary arterial hypertension. It is mostly metabolized by CYP3A4 making it a sensitive probe and victim drug for the investigation of CYP3A4 activity</w:t>
      </w:r>
      <w:r>
        <w:t xml:space="preserve"> </w:t>
      </w:r>
      <w:r>
        <w:rPr>
          <w:iCs/>
          <w:i/>
        </w:rPr>
        <w:t xml:space="preserve">in vivo</w:t>
      </w:r>
      <w:r>
        <w:t xml:space="preserve">. Other CYPs are involved in sildenafil metabolism: CYP2C9 and CYP2C19. It is a BCS class II compound. Sildenafil shows substantial first pass metabolism resulting in a bioavailability of 40%.</w:t>
      </w:r>
    </w:p>
    <w:p>
      <w:pPr>
        <w:pStyle w:val="BodyText"/>
      </w:pPr>
      <w:r>
        <w:t xml:space="preserve">The model has been developed and evaluated by comparing observed data to simulations of a large number of clinical studies covering a dose range of 20 mg to 100 mg after intravenous and oral administrations. Furthermore, it has been evaluated within a CYP3A4 DDI modeling network as a victim drug.</w:t>
      </w:r>
    </w:p>
    <w:p>
      <w:pPr>
        <w:pStyle w:val="BodyText"/>
      </w:pPr>
      <w:r>
        <w:t xml:space="preserve">Model features include:</w:t>
      </w:r>
    </w:p>
    <w:p>
      <w:pPr>
        <w:numPr>
          <w:ilvl w:val="0"/>
          <w:numId w:val="1001"/>
        </w:numPr>
        <w:pStyle w:val="Compact"/>
      </w:pPr>
      <w:r>
        <w:t xml:space="preserve">metabolism by CYP3A4</w:t>
      </w:r>
    </w:p>
    <w:p>
      <w:pPr>
        <w:numPr>
          <w:ilvl w:val="0"/>
          <w:numId w:val="1001"/>
        </w:numPr>
        <w:pStyle w:val="Compact"/>
      </w:pPr>
      <w:r>
        <w:t xml:space="preserve">metabolism by CYP2C9</w:t>
      </w:r>
    </w:p>
    <w:p>
      <w:pPr>
        <w:numPr>
          <w:ilvl w:val="0"/>
          <w:numId w:val="1001"/>
        </w:numPr>
        <w:pStyle w:val="Compact"/>
      </w:pPr>
      <w:r>
        <w:t xml:space="preserve">metabolism by CYP2C19</w:t>
      </w:r>
    </w:p>
    <w:p>
      <w:pPr>
        <w:numPr>
          <w:ilvl w:val="0"/>
          <w:numId w:val="1001"/>
        </w:numPr>
        <w:pStyle w:val="Compact"/>
      </w:pPr>
      <w:r>
        <w:t xml:space="preserve">a decrease in the permeability between the intracellular and interstitial space (model parameters</w:t>
      </w:r>
      <w:r>
        <w:t xml:space="preserve"> </w:t>
      </w:r>
      <w:r>
        <w:rPr>
          <w:rStyle w:val="VerbatimChar"/>
        </w:rPr>
        <w:t xml:space="preserve">P (intracellular-&gt;interstitial)</w:t>
      </w:r>
      <w:r>
        <w:t xml:space="preserve"> </w:t>
      </w:r>
      <w:r>
        <w:t xml:space="preserve">and</w:t>
      </w:r>
      <w:r>
        <w:t xml:space="preserve"> </w:t>
      </w:r>
      <w:r>
        <w:rPr>
          <w:rStyle w:val="VerbatimChar"/>
        </w:rPr>
        <w:t xml:space="preserve">P (interstitial-&gt;intracellular)</w:t>
      </w:r>
      <w:r>
        <w:t xml:space="preserve">) in intestinal mucosa to optimize quantitatively the extent of gut wall metabolism</w:t>
      </w:r>
    </w:p>
    <w:bookmarkEnd w:id="20"/>
    <w:bookmarkStart w:id="30"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Xa559bd5247f9128e74e6edcc17de37648e8cde6">
        <w:r>
          <w:rPr>
            <w:rStyle w:val="Hyperlink"/>
          </w:rPr>
          <w:t xml:space="preserve">Kuepfer 2016</w:t>
        </w:r>
      </w:hyperlink>
      <w:r>
        <w:t xml:space="preserve">). Relevant information on anthropometric (height, weight) and physiological parameters (e.g. blood flows, organ volumes, binding protein concentrations, hematocrit, cardiac output) in adults was gathered from the literature and has been previously published (</w:t>
      </w:r>
      <w:hyperlink w:anchor="Xa559bd5247f9128e74e6edcc17de37648e8cde6">
        <w:r>
          <w:rPr>
            <w:rStyle w:val="Hyperlink"/>
          </w:rPr>
          <w:t xml:space="preserve">Willmann 2007</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Xa559bd5247f9128e74e6edcc17de37648e8cde6">
        <w:r>
          <w:rPr>
            <w:rStyle w:val="Hyperlink"/>
          </w:rPr>
          <w:t xml:space="preserve">PK-Sim Ontogeny Database Version 7.3</w:t>
        </w:r>
      </w:hyperlink>
      <w:r>
        <w:t xml:space="preserve">) or otherwise referenced for the specific process.</w:t>
      </w:r>
    </w:p>
    <w:p>
      <w:pPr>
        <w:pStyle w:val="BodyText"/>
      </w:pPr>
      <w:r>
        <w:t xml:space="preserve">First, a mean model was built using clinical data from single dose studies with intravenous and oral administration of sildenafil by Muirhead et al. 2002 (</w:t>
      </w:r>
      <w:hyperlink w:anchor="Xa559bd5247f9128e74e6edcc17de37648e8cde6">
        <w:r>
          <w:rPr>
            <w:rStyle w:val="Hyperlink"/>
          </w:rPr>
          <w:t xml:space="preserve">Muirhead 2002a</w:t>
        </w:r>
      </w:hyperlink>
      <w:r>
        <w:t xml:space="preserve">), Nichols et al. 2002 (</w:t>
      </w:r>
      <w:hyperlink w:anchor="Xa559bd5247f9128e74e6edcc17de37648e8cde6">
        <w:r>
          <w:rPr>
            <w:rStyle w:val="Hyperlink"/>
          </w:rPr>
          <w:t xml:space="preserve">Nichols 2002</w:t>
        </w:r>
      </w:hyperlink>
      <w:r>
        <w:t xml:space="preserve">), the FDA 2009 (</w:t>
      </w:r>
      <w:hyperlink w:anchor="Xa559bd5247f9128e74e6edcc17de37648e8cde6">
        <w:r>
          <w:rPr>
            <w:rStyle w:val="Hyperlink"/>
          </w:rPr>
          <w:t xml:space="preserve">FDA 2009</w:t>
        </w:r>
      </w:hyperlink>
      <w:r>
        <w:t xml:space="preserve">), and Walker et al. 1999 (</w:t>
      </w:r>
      <w:hyperlink w:anchor="Xa559bd5247f9128e74e6edcc17de37648e8cde6">
        <w:r>
          <w:rPr>
            <w:rStyle w:val="Hyperlink"/>
          </w:rPr>
          <w:t xml:space="preserve">Walker 1999</w:t>
        </w:r>
      </w:hyperlink>
      <w:r>
        <w:t xml:space="preserve">). The mean PBPK model was developed using a typical male European individual. The relative tissue-specific expressions of enzymes predominantly being involved in the metabolism of sildenafil (CYP3A4) were considered (</w:t>
      </w:r>
      <w:hyperlink w:anchor="Xa559bd5247f9128e74e6edcc17de37648e8cde6">
        <w:r>
          <w:rPr>
            <w:rStyle w:val="Hyperlink"/>
          </w:rPr>
          <w:t xml:space="preserve">Meyer 2012</w:t>
        </w:r>
      </w:hyperlink>
      <w:r>
        <w:t xml:space="preserve">).</w:t>
      </w:r>
    </w:p>
    <w:p>
      <w:pPr>
        <w:pStyle w:val="BodyText"/>
      </w:pPr>
      <w:r>
        <w:t xml:space="preserve">A specific selected set of parameters (see below) was optimized using the Parameter Identification module provided in PK-Sim®. Structural model selection was mainly guided by visual inspection of the resulting description of data and biological plausibility.</w:t>
      </w:r>
    </w:p>
    <w:p>
      <w:pPr>
        <w:pStyle w:val="BodyText"/>
      </w:pPr>
      <w:r>
        <w:t xml:space="preserve">Once the appropriate structural model was identified, a Weibull function was fitted using R 4.2.1 based on in vitro data (</w:t>
      </w:r>
      <w:hyperlink w:anchor="Xa559bd5247f9128e74e6edcc17de37648e8cde6">
        <w:r>
          <w:rPr>
            <w:rStyle w:val="Hyperlink"/>
          </w:rPr>
          <w:t xml:space="preserve">Sawatdee 2019</w:t>
        </w:r>
      </w:hyperlink>
      <w:r>
        <w:t xml:space="preserve">), and the resulting dissolution kinetic parameters were implemented in the model.</w:t>
      </w:r>
    </w:p>
    <w:p>
      <w:pPr>
        <w:pStyle w:val="BodyText"/>
      </w:pPr>
      <w:r>
        <w:t xml:space="preserve">The model was then evaluated by simulating further clinical studies reporting pharmacokinetic concentration-time profiles of sildenafil.</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
    <w:p>
      <w:pPr>
        <w:pStyle w:val="Heading2"/>
      </w:pPr>
      <w:r>
        <w:t xml:space="preserve">Data</w:t>
      </w:r>
      <w:bookmarkStart w:id="data" w:name="data"/>
      <w:bookmarkEnd w:id="data"/>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sildenafil. The obtained information from literature is summarized in the table below, and is used for model building.</w:t>
      </w:r>
    </w:p>
    <w:tbl>
      <w:tblPr>
        <w:tblStyle w:val="Table"/>
        <w:tblW w:type="pct" w:w="5000"/>
        <w:tblLook w:firstRow="1" w:lastRow="0" w:firstColumn="0" w:lastColumn="0" w:noHBand="0" w:noVBand="0" w:val="0020"/>
        <w:jc w:val="start"/>
      </w:tblPr>
      <w:tblGrid>
        <w:gridCol w:w="1703"/>
        <w:gridCol w:w="1197"/>
        <w:gridCol w:w="736"/>
        <w:gridCol w:w="1519"/>
        <w:gridCol w:w="2762"/>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474.576</w:t>
            </w:r>
          </w:p>
        </w:tc>
        <w:tc>
          <w:tcPr/>
          <w:p>
            <w:pPr>
              <w:pStyle w:val="Compact"/>
              <w:jc w:val="left"/>
            </w:pPr>
            <w:hyperlink w:anchor="Xa559bd5247f9128e74e6edcc17de37648e8cde6">
              <w:r>
                <w:rPr>
                  <w:rStyle w:val="Hyperlink"/>
                </w:rPr>
                <w:t xml:space="preserve">DrugBank DB00203</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a1</w:t>
            </w:r>
          </w:p>
        </w:tc>
        <w:tc>
          <w:tcPr/>
          <w:p>
            <w:pPr>
              <w:pStyle w:val="Compact"/>
            </w:pPr>
          </w:p>
        </w:tc>
        <w:tc>
          <w:tcPr/>
          <w:p>
            <w:pPr>
              <w:pStyle w:val="Compact"/>
              <w:jc w:val="left"/>
            </w:pPr>
            <w:r>
              <w:t xml:space="preserve">5.97</w:t>
            </w:r>
          </w:p>
        </w:tc>
        <w:tc>
          <w:tcPr/>
          <w:p>
            <w:pPr>
              <w:pStyle w:val="Compact"/>
              <w:jc w:val="left"/>
            </w:pPr>
            <w:hyperlink w:anchor="Xa559bd5247f9128e74e6edcc17de37648e8cde6">
              <w:r>
                <w:rPr>
                  <w:rStyle w:val="Hyperlink"/>
                </w:rPr>
                <w:t xml:space="preserve">Salerno 2021</w:t>
              </w:r>
            </w:hyperlink>
          </w:p>
        </w:tc>
        <w:tc>
          <w:tcPr/>
          <w:p>
            <w:pPr>
              <w:pStyle w:val="Compact"/>
              <w:jc w:val="left"/>
            </w:pPr>
            <w:r>
              <w:t xml:space="preserve">Acid dissociation constant of conjugate acid; compound type: basic</w:t>
            </w:r>
          </w:p>
        </w:tc>
      </w:tr>
      <w:tr>
        <w:tc>
          <w:tcPr/>
          <w:p>
            <w:pPr>
              <w:pStyle w:val="Compact"/>
              <w:jc w:val="left"/>
            </w:pPr>
            <w:r>
              <w:t xml:space="preserve">pK</w:t>
            </w:r>
            <w:r>
              <w:rPr>
                <w:vertAlign w:val="subscript"/>
              </w:rPr>
              <w:t xml:space="preserve">a1</w:t>
            </w:r>
          </w:p>
        </w:tc>
        <w:tc>
          <w:tcPr/>
          <w:p>
            <w:pPr>
              <w:pStyle w:val="Compact"/>
            </w:pPr>
          </w:p>
        </w:tc>
        <w:tc>
          <w:tcPr/>
          <w:p>
            <w:pPr>
              <w:pStyle w:val="Compact"/>
              <w:jc w:val="left"/>
            </w:pPr>
            <w:r>
              <w:t xml:space="preserve">6.78</w:t>
            </w:r>
          </w:p>
        </w:tc>
        <w:tc>
          <w:tcPr/>
          <w:p>
            <w:pPr>
              <w:pStyle w:val="Compact"/>
              <w:jc w:val="left"/>
            </w:pPr>
            <w:hyperlink w:anchor="Xa559bd5247f9128e74e6edcc17de37648e8cde6">
              <w:r>
                <w:rPr>
                  <w:rStyle w:val="Hyperlink"/>
                </w:rPr>
                <w:t xml:space="preserve">Gobry 2000</w:t>
              </w:r>
            </w:hyperlink>
          </w:p>
        </w:tc>
        <w:tc>
          <w:tcPr/>
          <w:p>
            <w:pPr>
              <w:pStyle w:val="Compact"/>
              <w:jc w:val="left"/>
            </w:pPr>
            <w:r>
              <w:t xml:space="preserve">Acid dissociation constant of conjugate acid; compound type: ampholyte</w:t>
            </w:r>
          </w:p>
        </w:tc>
      </w:tr>
      <w:tr>
        <w:tc>
          <w:tcPr/>
          <w:p>
            <w:pPr>
              <w:pStyle w:val="Compact"/>
              <w:jc w:val="left"/>
            </w:pPr>
            <w:r>
              <w:t xml:space="preserve">pK</w:t>
            </w:r>
            <w:r>
              <w:rPr>
                <w:vertAlign w:val="subscript"/>
              </w:rPr>
              <w:t xml:space="preserve">a2</w:t>
            </w:r>
          </w:p>
        </w:tc>
        <w:tc>
          <w:tcPr/>
          <w:p>
            <w:pPr>
              <w:pStyle w:val="Compact"/>
            </w:pPr>
          </w:p>
        </w:tc>
        <w:tc>
          <w:tcPr/>
          <w:p>
            <w:pPr>
              <w:pStyle w:val="Compact"/>
              <w:jc w:val="left"/>
            </w:pPr>
            <w:r>
              <w:t xml:space="preserve">9.12</w:t>
            </w:r>
          </w:p>
        </w:tc>
        <w:tc>
          <w:tcPr/>
          <w:p>
            <w:pPr>
              <w:pStyle w:val="Compact"/>
              <w:jc w:val="left"/>
            </w:pPr>
            <w:hyperlink w:anchor="Xa559bd5247f9128e74e6edcc17de37648e8cde6">
              <w:r>
                <w:rPr>
                  <w:rStyle w:val="Hyperlink"/>
                </w:rPr>
                <w:t xml:space="preserve">Gobry 2000</w:t>
              </w:r>
            </w:hyperlink>
          </w:p>
        </w:tc>
        <w:tc>
          <w:tcPr/>
          <w:p>
            <w:pPr>
              <w:pStyle w:val="Compact"/>
              <w:jc w:val="left"/>
            </w:pPr>
            <w:r>
              <w:t xml:space="preserve">Acid dissociation constant of conjugate acid; compound type: ampholyte</w:t>
            </w:r>
          </w:p>
        </w:tc>
      </w:tr>
      <w:tr>
        <w:tc>
          <w:tcPr/>
          <w:p>
            <w:pPr>
              <w:pStyle w:val="Compact"/>
              <w:jc w:val="left"/>
            </w:pPr>
            <w:r>
              <w:t xml:space="preserve">Solubility (pH)</w:t>
            </w:r>
          </w:p>
        </w:tc>
        <w:tc>
          <w:tcPr/>
          <w:p>
            <w:pPr>
              <w:pStyle w:val="Compact"/>
              <w:jc w:val="left"/>
            </w:pPr>
            <w:r>
              <w:t xml:space="preserve">mg/mL</w:t>
            </w:r>
          </w:p>
        </w:tc>
        <w:tc>
          <w:tcPr/>
          <w:p>
            <w:pPr>
              <w:pStyle w:val="Compact"/>
              <w:jc w:val="left"/>
            </w:pPr>
            <w:r>
              <w:t xml:space="preserve">0.025</w:t>
            </w:r>
            <w:r>
              <w:t xml:space="preserve">(7.1)</w:t>
            </w:r>
          </w:p>
        </w:tc>
        <w:tc>
          <w:tcPr/>
          <w:p>
            <w:pPr>
              <w:pStyle w:val="Compact"/>
              <w:jc w:val="left"/>
            </w:pPr>
            <w:hyperlink w:anchor="Xa559bd5247f9128e74e6edcc17de37648e8cde6">
              <w:r>
                <w:rPr>
                  <w:rStyle w:val="Hyperlink"/>
                </w:rPr>
                <w:t xml:space="preserve">Takano 2016</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3.5</w:t>
            </w:r>
          </w:p>
        </w:tc>
        <w:tc>
          <w:tcPr/>
          <w:p>
            <w:pPr>
              <w:pStyle w:val="Compact"/>
              <w:jc w:val="left"/>
            </w:pPr>
            <w:hyperlink w:anchor="Xa559bd5247f9128e74e6edcc17de37648e8cde6">
              <w:r>
                <w:rPr>
                  <w:rStyle w:val="Hyperlink"/>
                </w:rPr>
                <w:t xml:space="preserve">Salerno 2021</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3.5</w:t>
            </w:r>
          </w:p>
        </w:tc>
        <w:tc>
          <w:tcPr/>
          <w:p>
            <w:pPr>
              <w:pStyle w:val="Compact"/>
              <w:jc w:val="left"/>
            </w:pPr>
            <w:hyperlink w:anchor="Xa559bd5247f9128e74e6edcc17de37648e8cde6">
              <w:r>
                <w:rPr>
                  <w:rStyle w:val="Hyperlink"/>
                </w:rPr>
                <w:t xml:space="preserve">DrugBank DB00203</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4.1</w:t>
            </w:r>
          </w:p>
        </w:tc>
        <w:tc>
          <w:tcPr/>
          <w:p>
            <w:pPr>
              <w:pStyle w:val="Compact"/>
              <w:jc w:val="left"/>
            </w:pPr>
            <w:hyperlink w:anchor="Xa559bd5247f9128e74e6edcc17de37648e8cde6">
              <w:r>
                <w:rPr>
                  <w:rStyle w:val="Hyperlink"/>
                </w:rPr>
                <w:t xml:space="preserve">Jung 2011</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3.965</w:t>
            </w:r>
            <w:r>
              <w:t xml:space="preserve">(3)</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7.077</w:t>
            </w:r>
            <w:r>
              <w:t xml:space="preserve">(4)</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2.068</w:t>
            </w:r>
            <w:r>
              <w:t xml:space="preserve">(5)</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0.114</w:t>
            </w:r>
            <w:r>
              <w:t xml:space="preserve">(6)</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0.025</w:t>
            </w:r>
            <w:r>
              <w:t xml:space="preserve">(7)</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0.027</w:t>
            </w:r>
            <w:r>
              <w:t xml:space="preserve">(8)</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0.04</w:t>
            </w:r>
            <w:r>
              <w:t xml:space="preserve">(9)</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0.103</w:t>
            </w:r>
            <w:r>
              <w:t xml:space="preserve">(10)</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pPr>
          </w:p>
        </w:tc>
        <w:tc>
          <w:tcPr/>
          <w:p>
            <w:pPr>
              <w:pStyle w:val="Compact"/>
            </w:pPr>
          </w:p>
        </w:tc>
        <w:tc>
          <w:tcPr/>
          <w:p>
            <w:pPr>
              <w:pStyle w:val="Compact"/>
              <w:jc w:val="left"/>
            </w:pPr>
            <w:r>
              <w:t xml:space="preserve">0.322</w:t>
            </w:r>
            <w:r>
              <w:t xml:space="preserve">(11)</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Aqueous Solubility</w:t>
            </w:r>
          </w:p>
        </w:tc>
      </w:tr>
      <w:tr>
        <w:tc>
          <w:tcPr/>
          <w:p>
            <w:pPr>
              <w:pStyle w:val="Compact"/>
              <w:jc w:val="left"/>
            </w:pPr>
            <w:r>
              <w:t xml:space="preserve">logP</w:t>
            </w:r>
          </w:p>
        </w:tc>
        <w:tc>
          <w:tcPr/>
          <w:p>
            <w:pPr>
              <w:pStyle w:val="Compact"/>
            </w:pPr>
          </w:p>
        </w:tc>
        <w:tc>
          <w:tcPr/>
          <w:p>
            <w:pPr>
              <w:pStyle w:val="Compact"/>
              <w:jc w:val="left"/>
            </w:pPr>
            <w:r>
              <w:t xml:space="preserve">3.18</w:t>
            </w:r>
          </w:p>
        </w:tc>
        <w:tc>
          <w:tcPr/>
          <w:p>
            <w:pPr>
              <w:pStyle w:val="Compact"/>
              <w:jc w:val="left"/>
            </w:pPr>
            <w:hyperlink w:anchor="Xa559bd5247f9128e74e6edcc17de37648e8cde6">
              <w:r>
                <w:rPr>
                  <w:rStyle w:val="Hyperlink"/>
                </w:rPr>
                <w:t xml:space="preserve">Gobry 2000</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2.70</w:t>
            </w:r>
          </w:p>
        </w:tc>
        <w:tc>
          <w:tcPr/>
          <w:p>
            <w:pPr>
              <w:pStyle w:val="Compact"/>
              <w:jc w:val="left"/>
            </w:pPr>
            <w:hyperlink w:anchor="Xa559bd5247f9128e74e6edcc17de37648e8cde6">
              <w:r>
                <w:rPr>
                  <w:rStyle w:val="Hyperlink"/>
                </w:rPr>
                <w:t xml:space="preserve">Takano 2016</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2.70</w:t>
            </w:r>
          </w:p>
        </w:tc>
        <w:tc>
          <w:tcPr/>
          <w:p>
            <w:pPr>
              <w:pStyle w:val="Compact"/>
              <w:jc w:val="left"/>
            </w:pPr>
            <w:hyperlink w:anchor="Xa559bd5247f9128e74e6edcc17de37648e8cde6">
              <w:r>
                <w:rPr>
                  <w:rStyle w:val="Hyperlink"/>
                </w:rPr>
                <w:t xml:space="preserve">Walker 1999</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2.24</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1.59</w:t>
            </w:r>
          </w:p>
        </w:tc>
        <w:tc>
          <w:tcPr/>
          <w:p>
            <w:pPr>
              <w:pStyle w:val="Compact"/>
              <w:jc w:val="left"/>
            </w:pPr>
            <w:hyperlink w:anchor="Xa559bd5247f9128e74e6edcc17de37648e8cde6">
              <w:r>
                <w:rPr>
                  <w:rStyle w:val="Hyperlink"/>
                </w:rPr>
                <w:t xml:space="preserve">Wang 2008</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1.8</w:t>
            </w:r>
          </w:p>
        </w:tc>
        <w:tc>
          <w:tcPr/>
          <w:p>
            <w:pPr>
              <w:pStyle w:val="Compact"/>
              <w:jc w:val="left"/>
            </w:pPr>
            <w:hyperlink w:anchor="Xa559bd5247f9128e74e6edcc17de37648e8cde6">
              <w:r>
                <w:rPr>
                  <w:rStyle w:val="Hyperlink"/>
                </w:rPr>
                <w:t xml:space="preserve">DrugBank DB00203</w:t>
              </w:r>
            </w:hyperlink>
          </w:p>
        </w:tc>
        <w:tc>
          <w:tcPr/>
          <w:p>
            <w:pPr>
              <w:pStyle w:val="Compact"/>
              <w:jc w:val="left"/>
            </w:pPr>
            <w:r>
              <w:t xml:space="preserve">Partition coefficient between octanol and water</w:t>
            </w:r>
          </w:p>
        </w:tc>
      </w:tr>
      <w:tr>
        <w:tc>
          <w:tcPr/>
          <w:p>
            <w:pPr>
              <w:pStyle w:val="Compact"/>
            </w:pPr>
          </w:p>
        </w:tc>
        <w:tc>
          <w:tcPr/>
          <w:p>
            <w:pPr>
              <w:pStyle w:val="Compact"/>
            </w:pPr>
          </w:p>
        </w:tc>
        <w:tc>
          <w:tcPr/>
          <w:p>
            <w:pPr>
              <w:pStyle w:val="Compact"/>
              <w:jc w:val="left"/>
            </w:pPr>
            <w:r>
              <w:t xml:space="preserve">1.87</w:t>
            </w:r>
          </w:p>
        </w:tc>
        <w:tc>
          <w:tcPr/>
          <w:p>
            <w:pPr>
              <w:pStyle w:val="Compact"/>
              <w:jc w:val="left"/>
            </w:pPr>
            <w:hyperlink w:anchor="Xa559bd5247f9128e74e6edcc17de37648e8cde6">
              <w:r>
                <w:rPr>
                  <w:rStyle w:val="Hyperlink"/>
                </w:rPr>
                <w:t xml:space="preserve">DrugBank DB00203</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4</w:t>
            </w:r>
          </w:p>
        </w:tc>
        <w:tc>
          <w:tcPr/>
          <w:p>
            <w:pPr>
              <w:pStyle w:val="Compact"/>
              <w:jc w:val="left"/>
            </w:pPr>
            <w:hyperlink w:anchor="Xa559bd5247f9128e74e6edcc17de37648e8cde6">
              <w:r>
                <w:rPr>
                  <w:rStyle w:val="Hyperlink"/>
                </w:rPr>
                <w:t xml:space="preserve">Walker 1999</w:t>
              </w:r>
            </w:hyperlink>
          </w:p>
        </w:tc>
        <w:tc>
          <w:tcPr/>
          <w:p>
            <w:pPr>
              <w:pStyle w:val="Compact"/>
              <w:jc w:val="left"/>
            </w:pPr>
            <w:r>
              <w:t xml:space="preserve">Fraction unbound in plasma (α1-acid glycoprotein)</w:t>
            </w:r>
          </w:p>
        </w:tc>
      </w:tr>
      <w:tr>
        <w:tc>
          <w:tcPr/>
          <w:p>
            <w:pPr>
              <w:pStyle w:val="Compact"/>
            </w:pPr>
          </w:p>
        </w:tc>
        <w:tc>
          <w:tcPr/>
          <w:p>
            <w:pPr>
              <w:pStyle w:val="Compact"/>
              <w:jc w:val="left"/>
            </w:pPr>
            <w:r>
              <w:t xml:space="preserve">%</w:t>
            </w:r>
          </w:p>
        </w:tc>
        <w:tc>
          <w:tcPr/>
          <w:p>
            <w:pPr>
              <w:pStyle w:val="Compact"/>
              <w:jc w:val="left"/>
            </w:pPr>
            <w:r>
              <w:t xml:space="preserve">4.3</w:t>
            </w:r>
          </w:p>
        </w:tc>
        <w:tc>
          <w:tcPr/>
          <w:p>
            <w:pPr>
              <w:pStyle w:val="Compact"/>
              <w:jc w:val="left"/>
            </w:pPr>
            <w:hyperlink w:anchor="Xa559bd5247f9128e74e6edcc17de37648e8cde6">
              <w:r>
                <w:rPr>
                  <w:rStyle w:val="Hyperlink"/>
                </w:rPr>
                <w:t xml:space="preserve">Muirhead 2002b</w:t>
              </w:r>
            </w:hyperlink>
          </w:p>
        </w:tc>
        <w:tc>
          <w:tcPr/>
          <w:p>
            <w:pPr>
              <w:pStyle w:val="Compact"/>
              <w:jc w:val="left"/>
            </w:pPr>
            <w:r>
              <w:t xml:space="preserve">Fraction unbound in plasma (α1-acid glycoprotein)</w:t>
            </w:r>
          </w:p>
        </w:tc>
      </w:tr>
      <w:tr>
        <w:tc>
          <w:tcPr/>
          <w:p>
            <w:pPr>
              <w:pStyle w:val="Compact"/>
            </w:pPr>
          </w:p>
        </w:tc>
        <w:tc>
          <w:tcPr/>
          <w:p>
            <w:pPr>
              <w:pStyle w:val="Compact"/>
              <w:jc w:val="left"/>
            </w:pPr>
            <w:r>
              <w:t xml:space="preserve">%</w:t>
            </w:r>
          </w:p>
        </w:tc>
        <w:tc>
          <w:tcPr/>
          <w:p>
            <w:pPr>
              <w:pStyle w:val="Compact"/>
              <w:jc w:val="left"/>
            </w:pPr>
            <w:r>
              <w:t xml:space="preserve">2.7</w:t>
            </w:r>
          </w:p>
        </w:tc>
        <w:tc>
          <w:tcPr/>
          <w:p>
            <w:pPr>
              <w:pStyle w:val="Compact"/>
              <w:jc w:val="left"/>
            </w:pPr>
            <w:hyperlink w:anchor="Xa559bd5247f9128e74e6edcc17de37648e8cde6">
              <w:r>
                <w:rPr>
                  <w:rStyle w:val="Hyperlink"/>
                </w:rPr>
                <w:t xml:space="preserve">Muirhead 2002b</w:t>
              </w:r>
            </w:hyperlink>
          </w:p>
        </w:tc>
        <w:tc>
          <w:tcPr/>
          <w:p>
            <w:pPr>
              <w:pStyle w:val="Compact"/>
              <w:jc w:val="left"/>
            </w:pPr>
            <w:r>
              <w:t xml:space="preserve">Fraction unbound in plasma (α1-acid glycoprotein)</w:t>
            </w:r>
          </w:p>
        </w:tc>
      </w:tr>
      <w:tr>
        <w:tc>
          <w:tcPr/>
          <w:p>
            <w:pPr>
              <w:pStyle w:val="Compact"/>
            </w:pPr>
          </w:p>
        </w:tc>
        <w:tc>
          <w:tcPr/>
          <w:p>
            <w:pPr>
              <w:pStyle w:val="Compact"/>
              <w:jc w:val="left"/>
            </w:pPr>
            <w:r>
              <w:t xml:space="preserve">%</w:t>
            </w:r>
          </w:p>
        </w:tc>
        <w:tc>
          <w:tcPr/>
          <w:p>
            <w:pPr>
              <w:pStyle w:val="Compact"/>
              <w:jc w:val="left"/>
            </w:pPr>
            <w:r>
              <w:t xml:space="preserve">3.46</w:t>
            </w:r>
          </w:p>
        </w:tc>
        <w:tc>
          <w:tcPr/>
          <w:p>
            <w:pPr>
              <w:pStyle w:val="Compact"/>
              <w:jc w:val="left"/>
            </w:pPr>
            <w:hyperlink w:anchor="Xa559bd5247f9128e74e6edcc17de37648e8cde6">
              <w:r>
                <w:rPr>
                  <w:rStyle w:val="Hyperlink"/>
                </w:rPr>
                <w:t xml:space="preserve">Muirhead 2002b</w:t>
              </w:r>
            </w:hyperlink>
          </w:p>
        </w:tc>
        <w:tc>
          <w:tcPr/>
          <w:p>
            <w:pPr>
              <w:pStyle w:val="Compact"/>
              <w:jc w:val="left"/>
            </w:pPr>
            <w:r>
              <w:t xml:space="preserve">Fraction unbound in plasma (α1-acid glycoprotein)</w:t>
            </w:r>
          </w:p>
        </w:tc>
      </w:tr>
      <w:tr>
        <w:tc>
          <w:tcPr/>
          <w:p>
            <w:pPr>
              <w:pStyle w:val="Compact"/>
              <w:jc w:val="left"/>
            </w:pPr>
            <w:r>
              <w:t xml:space="preserve">V</w:t>
            </w:r>
            <w:r>
              <w:rPr>
                <w:vertAlign w:val="subscript"/>
              </w:rPr>
              <w:t xml:space="preserve">max</w:t>
            </w:r>
            <w:r>
              <w:t xml:space="preserve">, K</w:t>
            </w:r>
            <w:r>
              <w:rPr>
                <w:vertAlign w:val="subscript"/>
              </w:rPr>
              <w:t xml:space="preserve">m</w:t>
            </w:r>
            <w:r>
              <w:t xml:space="preserve"> </w:t>
            </w:r>
            <w:r>
              <w:t xml:space="preserve">CYP3A4</w:t>
            </w:r>
          </w:p>
        </w:tc>
        <w:tc>
          <w:tcPr/>
          <w:p>
            <w:pPr>
              <w:pStyle w:val="Compact"/>
              <w:jc w:val="left"/>
            </w:pPr>
            <w:r>
              <w:t xml:space="preserve">pmol/min/pmol P450,</w:t>
            </w:r>
            <w:r>
              <w:t xml:space="preserve">µmol/L</w:t>
            </w:r>
          </w:p>
        </w:tc>
        <w:tc>
          <w:tcPr/>
          <w:p>
            <w:pPr>
              <w:pStyle w:val="Compact"/>
              <w:jc w:val="left"/>
            </w:pPr>
            <w:r>
              <w:t xml:space="preserve">78.6</w:t>
            </w:r>
            <w:r>
              <w:t xml:space="preserve">4.34</w:t>
            </w:r>
          </w:p>
        </w:tc>
        <w:tc>
          <w:tcPr/>
          <w:p>
            <w:pPr>
              <w:pStyle w:val="Compact"/>
              <w:jc w:val="left"/>
            </w:pPr>
            <w:hyperlink w:anchor="Xa559bd5247f9128e74e6edcc17de37648e8cde6">
              <w:r>
                <w:rPr>
                  <w:rStyle w:val="Hyperlink"/>
                </w:rPr>
                <w:t xml:space="preserve">Takano 2016</w:t>
              </w:r>
            </w:hyperlink>
          </w:p>
        </w:tc>
        <w:tc>
          <w:tcPr/>
          <w:p>
            <w:pPr>
              <w:pStyle w:val="Compact"/>
              <w:jc w:val="left"/>
            </w:pPr>
            <w:r>
              <w:t xml:space="preserve">Recombinant CYP3A4 Michaelis-Menten kinetics</w:t>
            </w:r>
          </w:p>
        </w:tc>
      </w:tr>
      <w:tr>
        <w:tc>
          <w:tcPr/>
          <w:p>
            <w:pPr>
              <w:pStyle w:val="Compact"/>
              <w:jc w:val="left"/>
            </w:pPr>
            <w:r>
              <w:t xml:space="preserve">V</w:t>
            </w:r>
            <w:r>
              <w:rPr>
                <w:vertAlign w:val="subscript"/>
              </w:rPr>
              <w:t xml:space="preserve">max</w:t>
            </w:r>
            <w:r>
              <w:t xml:space="preserve">, K</w:t>
            </w:r>
            <w:r>
              <w:rPr>
                <w:vertAlign w:val="subscript"/>
              </w:rPr>
              <w:t xml:space="preserve">m</w:t>
            </w:r>
            <w:r>
              <w:t xml:space="preserve"> </w:t>
            </w:r>
            <w:r>
              <w:t xml:space="preserve">CYP3A4</w:t>
            </w:r>
          </w:p>
        </w:tc>
        <w:tc>
          <w:tcPr/>
          <w:p>
            <w:pPr>
              <w:pStyle w:val="Compact"/>
              <w:jc w:val="left"/>
            </w:pPr>
            <w:r>
              <w:t xml:space="preserve">relative units,</w:t>
            </w:r>
            <w:r>
              <w:t xml:space="preserve">µmol/L</w:t>
            </w:r>
          </w:p>
        </w:tc>
        <w:tc>
          <w:tcPr/>
          <w:p>
            <w:pPr>
              <w:pStyle w:val="Compact"/>
              <w:jc w:val="left"/>
            </w:pPr>
            <w:r>
              <w:t xml:space="preserve">1.9</w:t>
            </w:r>
            <w:r>
              <w:t xml:space="preserve">23.10</w:t>
            </w:r>
          </w:p>
        </w:tc>
        <w:tc>
          <w:tcPr/>
          <w:p>
            <w:pPr>
              <w:pStyle w:val="Compact"/>
              <w:jc w:val="left"/>
            </w:pPr>
            <w:hyperlink w:anchor="Xa559bd5247f9128e74e6edcc17de37648e8cde6">
              <w:r>
                <w:rPr>
                  <w:rStyle w:val="Hyperlink"/>
                </w:rPr>
                <w:t xml:space="preserve">Warrington 2000</w:t>
              </w:r>
            </w:hyperlink>
          </w:p>
        </w:tc>
        <w:tc>
          <w:tcPr/>
          <w:p>
            <w:pPr>
              <w:pStyle w:val="Compact"/>
              <w:jc w:val="left"/>
            </w:pPr>
            <w:r>
              <w:t xml:space="preserve">Recombinant CYP3A4 Michaelis-Menten kinetics</w:t>
            </w:r>
          </w:p>
        </w:tc>
      </w:tr>
      <w:tr>
        <w:tc>
          <w:tcPr/>
          <w:p>
            <w:pPr>
              <w:pStyle w:val="Compact"/>
              <w:jc w:val="left"/>
            </w:pPr>
            <w:r>
              <w:t xml:space="preserve">V</w:t>
            </w:r>
            <w:r>
              <w:rPr>
                <w:vertAlign w:val="subscript"/>
              </w:rPr>
              <w:t xml:space="preserve">max</w:t>
            </w:r>
            <w:r>
              <w:t xml:space="preserve">, K</w:t>
            </w:r>
            <w:r>
              <w:rPr>
                <w:vertAlign w:val="subscript"/>
              </w:rPr>
              <w:t xml:space="preserve">m</w:t>
            </w:r>
            <w:r>
              <w:t xml:space="preserve"> </w:t>
            </w:r>
            <w:r>
              <w:t xml:space="preserve">CYP2C9</w:t>
            </w:r>
          </w:p>
        </w:tc>
        <w:tc>
          <w:tcPr/>
          <w:p>
            <w:pPr>
              <w:pStyle w:val="Compact"/>
              <w:jc w:val="left"/>
            </w:pPr>
            <w:r>
              <w:t xml:space="preserve">relative units,</w:t>
            </w:r>
            <w:r>
              <w:t xml:space="preserve">µmol/L</w:t>
            </w:r>
          </w:p>
        </w:tc>
        <w:tc>
          <w:tcPr/>
          <w:p>
            <w:pPr>
              <w:pStyle w:val="Compact"/>
              <w:jc w:val="left"/>
            </w:pPr>
            <w:r>
              <w:t xml:space="preserve">0.2</w:t>
            </w:r>
            <w:r>
              <w:t xml:space="preserve">9.60</w:t>
            </w:r>
          </w:p>
        </w:tc>
        <w:tc>
          <w:tcPr/>
          <w:p>
            <w:pPr>
              <w:pStyle w:val="Compact"/>
              <w:jc w:val="left"/>
            </w:pPr>
            <w:hyperlink w:anchor="Xa559bd5247f9128e74e6edcc17de37648e8cde6">
              <w:r>
                <w:rPr>
                  <w:rStyle w:val="Hyperlink"/>
                </w:rPr>
                <w:t xml:space="preserve">Warrington 2000</w:t>
              </w:r>
            </w:hyperlink>
          </w:p>
        </w:tc>
        <w:tc>
          <w:tcPr/>
          <w:p>
            <w:pPr>
              <w:pStyle w:val="Compact"/>
              <w:jc w:val="left"/>
            </w:pPr>
            <w:r>
              <w:t xml:space="preserve">Recombinant CYP3A4 Michaelis-Menten kinetics</w:t>
            </w:r>
          </w:p>
        </w:tc>
      </w:tr>
      <w:tr>
        <w:tc>
          <w:tcPr/>
          <w:p>
            <w:pPr>
              <w:pStyle w:val="Compact"/>
              <w:jc w:val="left"/>
            </w:pPr>
            <w:r>
              <w:t xml:space="preserve">V</w:t>
            </w:r>
            <w:r>
              <w:rPr>
                <w:vertAlign w:val="subscript"/>
              </w:rPr>
              <w:t xml:space="preserve">max</w:t>
            </w:r>
            <w:r>
              <w:t xml:space="preserve">, K</w:t>
            </w:r>
            <w:r>
              <w:rPr>
                <w:vertAlign w:val="subscript"/>
              </w:rPr>
              <w:t xml:space="preserve">m</w:t>
            </w:r>
            <w:r>
              <w:t xml:space="preserve"> </w:t>
            </w:r>
            <w:r>
              <w:t xml:space="preserve">CYP2C19</w:t>
            </w:r>
          </w:p>
        </w:tc>
        <w:tc>
          <w:tcPr/>
          <w:p>
            <w:pPr>
              <w:pStyle w:val="Compact"/>
              <w:jc w:val="left"/>
            </w:pPr>
            <w:r>
              <w:t xml:space="preserve">relative units,</w:t>
            </w:r>
            <w:r>
              <w:t xml:space="preserve">µmol/L</w:t>
            </w:r>
          </w:p>
        </w:tc>
        <w:tc>
          <w:tcPr/>
          <w:p>
            <w:pPr>
              <w:pStyle w:val="Compact"/>
              <w:jc w:val="left"/>
            </w:pPr>
            <w:r>
              <w:t xml:space="preserve">0.02</w:t>
            </w:r>
            <w:r>
              <w:t xml:space="preserve">23.10</w:t>
            </w:r>
          </w:p>
        </w:tc>
        <w:tc>
          <w:tcPr/>
          <w:p>
            <w:pPr>
              <w:pStyle w:val="Compact"/>
              <w:jc w:val="left"/>
            </w:pPr>
            <w:hyperlink w:anchor="Xa559bd5247f9128e74e6edcc17de37648e8cde6">
              <w:r>
                <w:rPr>
                  <w:rStyle w:val="Hyperlink"/>
                </w:rPr>
                <w:t xml:space="preserve">Warrington 2000</w:t>
              </w:r>
            </w:hyperlink>
          </w:p>
        </w:tc>
        <w:tc>
          <w:tcPr/>
          <w:p>
            <w:pPr>
              <w:pStyle w:val="Compact"/>
              <w:jc w:val="left"/>
            </w:pPr>
            <w:r>
              <w:t xml:space="preserve">Recombinant CYP3A4 Michaelis-Menten kinetics</w:t>
            </w:r>
          </w:p>
        </w:tc>
      </w:tr>
    </w:tbl>
    <w:bookmarkEnd w:id="22"/>
    <w:bookmarkStart w:id="23" w:name="clinical-data"/>
    <w:p>
      <w:pPr>
        <w:pStyle w:val="Heading3"/>
      </w:pPr>
      <w:r>
        <w:t xml:space="preserve">2.2.2 Clinical data</w:t>
      </w:r>
    </w:p>
    <w:p>
      <w:pPr>
        <w:pStyle w:val="FirstParagraph"/>
      </w:pPr>
      <w:r>
        <w:t xml:space="preserve">A literature search was performed to collect available clinical data on sildenafil in adults.</w:t>
      </w:r>
    </w:p>
    <w:p>
      <w:pPr>
        <w:pStyle w:val="BodyText"/>
      </w:pPr>
      <w:r>
        <w:t xml:space="preserve">The following publications were found in adults for model building:</w:t>
      </w:r>
    </w:p>
    <w:tbl>
      <w:tblPr>
        <w:tblStyle w:val="Table"/>
        <w:tblW w:type="pct" w:w="5000"/>
        <w:tblLook w:firstRow="1" w:lastRow="0" w:firstColumn="0" w:lastColumn="0" w:noHBand="0" w:noVBand="0" w:val="0020"/>
        <w:jc w:val="start"/>
      </w:tblPr>
      <w:tblGrid>
        <w:gridCol w:w="1618"/>
        <w:gridCol w:w="6301"/>
      </w:tblGrid>
      <w:tr>
        <w:trPr>
          <w:tblHeader w:val="true"/>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Xa559bd5247f9128e74e6edcc17de37648e8cde6">
              <w:r>
                <w:rPr>
                  <w:rStyle w:val="Hyperlink"/>
                </w:rPr>
                <w:t xml:space="preserve">Muirhead 2002a</w:t>
              </w:r>
            </w:hyperlink>
          </w:p>
        </w:tc>
        <w:tc>
          <w:tcPr/>
          <w:p>
            <w:pPr>
              <w:pStyle w:val="Compact"/>
              <w:jc w:val="left"/>
            </w:pPr>
            <w:r>
              <w:t xml:space="preserve">Plasma PK profiles in healthy subjects with single dose administrations of a sildenafil 25 mg intravenous infusion</w:t>
            </w:r>
          </w:p>
        </w:tc>
      </w:tr>
      <w:tr>
        <w:tc>
          <w:tcPr/>
          <w:p>
            <w:pPr>
              <w:pStyle w:val="Compact"/>
              <w:jc w:val="left"/>
            </w:pPr>
            <w:hyperlink w:anchor="Xa559bd5247f9128e74e6edcc17de37648e8cde6">
              <w:r>
                <w:rPr>
                  <w:rStyle w:val="Hyperlink"/>
                </w:rPr>
                <w:t xml:space="preserve">Nichols 2002</w:t>
              </w:r>
            </w:hyperlink>
          </w:p>
        </w:tc>
        <w:tc>
          <w:tcPr/>
          <w:p>
            <w:pPr>
              <w:pStyle w:val="Compact"/>
              <w:jc w:val="left"/>
            </w:pPr>
            <w:r>
              <w:t xml:space="preserve">Plasma PK profiles in healthy subjects with single dose administrations of a sildenafil:</w:t>
            </w:r>
            <w:r>
              <w:t xml:space="preserve">- 50 mg intravenous infusion</w:t>
            </w:r>
            <w:r>
              <w:t xml:space="preserve"> </w:t>
            </w:r>
            <w:r>
              <w:t xml:space="preserve">- 100mg oral tablet</w:t>
            </w:r>
          </w:p>
        </w:tc>
      </w:tr>
      <w:tr>
        <w:tc>
          <w:tcPr/>
          <w:p>
            <w:pPr>
              <w:pStyle w:val="Compact"/>
              <w:jc w:val="left"/>
            </w:pPr>
            <w:hyperlink w:anchor="Xa559bd5247f9128e74e6edcc17de37648e8cde6">
              <w:r>
                <w:rPr>
                  <w:rStyle w:val="Hyperlink"/>
                </w:rPr>
                <w:t xml:space="preserve">FDA 2009</w:t>
              </w:r>
            </w:hyperlink>
          </w:p>
        </w:tc>
        <w:tc>
          <w:tcPr/>
          <w:p>
            <w:pPr>
              <w:pStyle w:val="Compact"/>
              <w:jc w:val="left"/>
            </w:pPr>
            <w:r>
              <w:t xml:space="preserve">Plasma PK profiles in healthy subjects with single dose administrations of a sildenafil:</w:t>
            </w:r>
            <w:r>
              <w:t xml:space="preserve">- 20 mg intravenous infusion</w:t>
            </w:r>
            <w:r>
              <w:t xml:space="preserve"> </w:t>
            </w:r>
            <w:r>
              <w:t xml:space="preserve">- 40 mg intravenous infusion</w:t>
            </w:r>
            <w:r>
              <w:t xml:space="preserve"> </w:t>
            </w:r>
            <w:r>
              <w:t xml:space="preserve">- 80 mg intravenous infusion</w:t>
            </w:r>
          </w:p>
        </w:tc>
      </w:tr>
      <w:tr>
        <w:tc>
          <w:tcPr/>
          <w:p>
            <w:pPr>
              <w:pStyle w:val="Compact"/>
              <w:jc w:val="left"/>
            </w:pPr>
            <w:hyperlink w:anchor="Xa559bd5247f9128e74e6edcc17de37648e8cde6">
              <w:r>
                <w:rPr>
                  <w:rStyle w:val="Hyperlink"/>
                </w:rPr>
                <w:t xml:space="preserve">Walker 1999</w:t>
              </w:r>
            </w:hyperlink>
          </w:p>
        </w:tc>
        <w:tc>
          <w:tcPr/>
          <w:p>
            <w:pPr>
              <w:pStyle w:val="Compact"/>
              <w:jc w:val="left"/>
            </w:pPr>
            <w:r>
              <w:t xml:space="preserve">Plasma PK profiles in healthy subjects with single dose administrations of a sildenafil 50 mg oral solution</w:t>
            </w:r>
          </w:p>
        </w:tc>
      </w:tr>
      <w:tr>
        <w:tc>
          <w:tcPr/>
          <w:p>
            <w:pPr>
              <w:pStyle w:val="Compact"/>
              <w:jc w:val="left"/>
            </w:pPr>
            <w:hyperlink w:anchor="Xa559bd5247f9128e74e6edcc17de37648e8cde6">
              <w:r>
                <w:rPr>
                  <w:rStyle w:val="Hyperlink"/>
                </w:rPr>
                <w:t xml:space="preserve">Spence 2008</w:t>
              </w:r>
            </w:hyperlink>
          </w:p>
        </w:tc>
        <w:tc>
          <w:tcPr/>
          <w:p>
            <w:pPr>
              <w:pStyle w:val="Compact"/>
              <w:jc w:val="left"/>
            </w:pPr>
            <w:r>
              <w:t xml:space="preserve">Plasma PK profiles in healthy subjects with single dose administrations of a sildenafil 20 mg tablet</w:t>
            </w:r>
          </w:p>
        </w:tc>
      </w:tr>
      <w:tr>
        <w:tc>
          <w:tcPr/>
          <w:p>
            <w:pPr>
              <w:pStyle w:val="Compact"/>
              <w:jc w:val="left"/>
            </w:pPr>
            <w:hyperlink w:anchor="Xa559bd5247f9128e74e6edcc17de37648e8cde6">
              <w:r>
                <w:rPr>
                  <w:rStyle w:val="Hyperlink"/>
                </w:rPr>
                <w:t xml:space="preserve">Lee 2021</w:t>
              </w:r>
            </w:hyperlink>
          </w:p>
        </w:tc>
        <w:tc>
          <w:tcPr/>
          <w:p>
            <w:pPr>
              <w:pStyle w:val="Compact"/>
              <w:jc w:val="left"/>
            </w:pPr>
            <w:r>
              <w:t xml:space="preserve">Plasma PK profiles in healthy subjects with single dose administrations of a sildenafil:</w:t>
            </w:r>
            <w:r>
              <w:t xml:space="preserve">- 25 mg tablet (in the absence of itraconazole)</w:t>
            </w:r>
            <w:r>
              <w:t xml:space="preserve">- 25 mg tablet (in the absence of clarithromycin)</w:t>
            </w:r>
          </w:p>
        </w:tc>
      </w:tr>
      <w:tr>
        <w:tc>
          <w:tcPr/>
          <w:p>
            <w:pPr>
              <w:pStyle w:val="Compact"/>
              <w:jc w:val="left"/>
            </w:pPr>
            <w:hyperlink w:anchor="Xa559bd5247f9128e74e6edcc17de37648e8cde6">
              <w:r>
                <w:rPr>
                  <w:rStyle w:val="Hyperlink"/>
                </w:rPr>
                <w:t xml:space="preserve">Abdelkawy 2016</w:t>
              </w:r>
            </w:hyperlink>
          </w:p>
        </w:tc>
        <w:tc>
          <w:tcPr/>
          <w:p>
            <w:pPr>
              <w:pStyle w:val="Compact"/>
              <w:jc w:val="left"/>
            </w:pPr>
            <w:r>
              <w:t xml:space="preserve">Plasma PK profiles in healthy subjects with single dose administrations of a sildenafil 50 mg tablet</w:t>
            </w:r>
          </w:p>
        </w:tc>
      </w:tr>
      <w:tr>
        <w:tc>
          <w:tcPr/>
          <w:p>
            <w:pPr>
              <w:pStyle w:val="Compact"/>
              <w:jc w:val="left"/>
            </w:pPr>
            <w:hyperlink w:anchor="Xa559bd5247f9128e74e6edcc17de37648e8cde6">
              <w:r>
                <w:rPr>
                  <w:rStyle w:val="Hyperlink"/>
                </w:rPr>
                <w:t xml:space="preserve">Gillen 2017</w:t>
              </w:r>
            </w:hyperlink>
          </w:p>
        </w:tc>
        <w:tc>
          <w:tcPr/>
          <w:p>
            <w:pPr>
              <w:pStyle w:val="Compact"/>
              <w:jc w:val="left"/>
            </w:pPr>
            <w:r>
              <w:t xml:space="preserve">Plasma PK profiles in healthy subjects with single dose administrations of a sildenafil 50 mg tablet (Panel 1)</w:t>
            </w:r>
          </w:p>
        </w:tc>
      </w:tr>
      <w:tr>
        <w:tc>
          <w:tcPr/>
          <w:p>
            <w:pPr>
              <w:pStyle w:val="Compact"/>
              <w:jc w:val="left"/>
            </w:pPr>
            <w:hyperlink w:anchor="Xa559bd5247f9128e74e6edcc17de37648e8cde6">
              <w:r>
                <w:rPr>
                  <w:rStyle w:val="Hyperlink"/>
                </w:rPr>
                <w:t xml:space="preserve">Jetter 2002</w:t>
              </w:r>
            </w:hyperlink>
          </w:p>
        </w:tc>
        <w:tc>
          <w:tcPr/>
          <w:p>
            <w:pPr>
              <w:pStyle w:val="Compact"/>
              <w:jc w:val="left"/>
            </w:pPr>
            <w:r>
              <w:t xml:space="preserve">Plasma PK profiles in healthy subjects with single dose administrations of a sildenafil 50 mg tablet</w:t>
            </w:r>
          </w:p>
        </w:tc>
      </w:tr>
      <w:tr>
        <w:tc>
          <w:tcPr/>
          <w:p>
            <w:pPr>
              <w:pStyle w:val="Compact"/>
              <w:jc w:val="left"/>
            </w:pPr>
            <w:hyperlink w:anchor="Xa559bd5247f9128e74e6edcc17de37648e8cde6">
              <w:r>
                <w:rPr>
                  <w:rStyle w:val="Hyperlink"/>
                </w:rPr>
                <w:t xml:space="preserve">Murtadha 2021</w:t>
              </w:r>
            </w:hyperlink>
          </w:p>
        </w:tc>
        <w:tc>
          <w:tcPr/>
          <w:p>
            <w:pPr>
              <w:pStyle w:val="Compact"/>
              <w:jc w:val="left"/>
            </w:pPr>
            <w:r>
              <w:t xml:space="preserve">Plasma PK profiles in healthy subjects with single dose administrations of a sildenafil 50 mg tablet (non-smoker group)</w:t>
            </w:r>
          </w:p>
        </w:tc>
      </w:tr>
      <w:tr>
        <w:tc>
          <w:tcPr/>
          <w:p>
            <w:pPr>
              <w:pStyle w:val="Compact"/>
              <w:jc w:val="left"/>
            </w:pPr>
            <w:hyperlink w:anchor="Xa559bd5247f9128e74e6edcc17de37648e8cde6">
              <w:r>
                <w:rPr>
                  <w:rStyle w:val="Hyperlink"/>
                </w:rPr>
                <w:t xml:space="preserve">Wilner 2002</w:t>
              </w:r>
            </w:hyperlink>
          </w:p>
        </w:tc>
        <w:tc>
          <w:tcPr/>
          <w:p>
            <w:pPr>
              <w:pStyle w:val="Compact"/>
              <w:jc w:val="left"/>
            </w:pPr>
            <w:r>
              <w:t xml:space="preserve">Plasma PK profiles in healthy subjects with single dose administrations of a sildenafil 50 mg tablet (study I)</w:t>
            </w:r>
          </w:p>
        </w:tc>
      </w:tr>
    </w:tbl>
    <w:p>
      <w:pPr>
        <w:pStyle w:val="BodyText"/>
      </w:pPr>
      <w:r>
        <w:t xml:space="preserve">The following dosing scenarios were simulated and compared to respective data for model verification:</w:t>
      </w:r>
    </w:p>
    <w:tbl>
      <w:tblPr>
        <w:tblStyle w:val="Table"/>
        <w:tblW w:type="pct" w:w="5000"/>
        <w:tblLook w:firstRow="1" w:lastRow="0" w:firstColumn="0" w:lastColumn="0" w:noHBand="0" w:noVBand="0" w:val="0020"/>
        <w:jc w:val="start"/>
      </w:tblPr>
      <w:tblGrid>
        <w:gridCol w:w="4950"/>
        <w:gridCol w:w="2970"/>
      </w:tblGrid>
      <w:tr>
        <w:trPr>
          <w:tblHeader w:val="true"/>
        </w:trPr>
        <w:tc>
          <w:tcPr/>
          <w:p>
            <w:pPr>
              <w:pStyle w:val="Compact"/>
              <w:jc w:val="left"/>
            </w:pPr>
            <w:r>
              <w:t xml:space="preserve">Scenario</w:t>
            </w:r>
          </w:p>
        </w:tc>
        <w:tc>
          <w:tcPr/>
          <w:p>
            <w:pPr>
              <w:pStyle w:val="Compact"/>
              <w:jc w:val="left"/>
            </w:pPr>
            <w:r>
              <w:t xml:space="preserve">Data reference</w:t>
            </w:r>
          </w:p>
        </w:tc>
      </w:tr>
      <w:tr>
        <w:tc>
          <w:tcPr/>
          <w:p>
            <w:pPr>
              <w:pStyle w:val="Compact"/>
              <w:jc w:val="left"/>
            </w:pPr>
            <w:r>
              <w:t xml:space="preserve">po SD 50mg</w:t>
            </w:r>
          </w:p>
        </w:tc>
        <w:tc>
          <w:tcPr/>
          <w:p>
            <w:pPr>
              <w:pStyle w:val="Compact"/>
              <w:jc w:val="left"/>
            </w:pPr>
            <w:hyperlink w:anchor="Xa559bd5247f9128e74e6edcc17de37648e8cde6">
              <w:r>
                <w:rPr>
                  <w:rStyle w:val="Hyperlink"/>
                </w:rPr>
                <w:t xml:space="preserve">Al-Ghazawi 2010</w:t>
              </w:r>
            </w:hyperlink>
          </w:p>
        </w:tc>
      </w:tr>
      <w:tr>
        <w:tc>
          <w:tcPr/>
          <w:p>
            <w:pPr>
              <w:pStyle w:val="Compact"/>
            </w:pPr>
          </w:p>
        </w:tc>
        <w:tc>
          <w:tcPr/>
          <w:p>
            <w:pPr>
              <w:pStyle w:val="Compact"/>
              <w:jc w:val="left"/>
            </w:pPr>
            <w:hyperlink w:anchor="Xa559bd5247f9128e74e6edcc17de37648e8cde6">
              <w:r>
                <w:rPr>
                  <w:rStyle w:val="Hyperlink"/>
                </w:rPr>
                <w:t xml:space="preserve">Hedaya 2006</w:t>
              </w:r>
            </w:hyperlink>
          </w:p>
        </w:tc>
      </w:tr>
      <w:tr>
        <w:tc>
          <w:tcPr/>
          <w:p>
            <w:pPr>
              <w:pStyle w:val="Compact"/>
            </w:pPr>
          </w:p>
        </w:tc>
        <w:tc>
          <w:tcPr/>
          <w:p>
            <w:pPr>
              <w:pStyle w:val="Compact"/>
              <w:jc w:val="left"/>
            </w:pPr>
            <w:hyperlink w:anchor="Xa559bd5247f9128e74e6edcc17de37648e8cde6">
              <w:r>
                <w:rPr>
                  <w:rStyle w:val="Hyperlink"/>
                </w:rPr>
                <w:t xml:space="preserve">Wilner 2002</w:t>
              </w:r>
            </w:hyperlink>
          </w:p>
        </w:tc>
      </w:tr>
      <w:tr>
        <w:tc>
          <w:tcPr/>
          <w:p>
            <w:pPr>
              <w:pStyle w:val="Compact"/>
            </w:pPr>
          </w:p>
        </w:tc>
        <w:tc>
          <w:tcPr/>
          <w:p>
            <w:pPr>
              <w:pStyle w:val="Compact"/>
              <w:jc w:val="left"/>
            </w:pPr>
            <w:hyperlink w:anchor="Xa559bd5247f9128e74e6edcc17de37648e8cde6">
              <w:r>
                <w:rPr>
                  <w:rStyle w:val="Hyperlink"/>
                </w:rPr>
                <w:t xml:space="preserve">Gillen 2017</w:t>
              </w:r>
            </w:hyperlink>
          </w:p>
        </w:tc>
      </w:tr>
      <w:tr>
        <w:tc>
          <w:tcPr/>
          <w:p>
            <w:pPr>
              <w:pStyle w:val="Compact"/>
              <w:jc w:val="left"/>
            </w:pPr>
            <w:r>
              <w:t xml:space="preserve">po SD 100mg</w:t>
            </w:r>
          </w:p>
        </w:tc>
        <w:tc>
          <w:tcPr/>
          <w:p>
            <w:pPr>
              <w:pStyle w:val="Compact"/>
              <w:jc w:val="left"/>
            </w:pPr>
            <w:hyperlink w:anchor="Xa559bd5247f9128e74e6edcc17de37648e8cde6">
              <w:r>
                <w:rPr>
                  <w:rStyle w:val="Hyperlink"/>
                </w:rPr>
                <w:t xml:space="preserve">Muirhead 2000</w:t>
              </w:r>
            </w:hyperlink>
          </w:p>
        </w:tc>
      </w:tr>
      <w:tr>
        <w:tc>
          <w:tcPr/>
          <w:p>
            <w:pPr>
              <w:pStyle w:val="Compact"/>
              <w:jc w:val="left"/>
            </w:pPr>
            <w:r>
              <w:t xml:space="preserve">po MD 20/80 mg</w:t>
            </w:r>
          </w:p>
        </w:tc>
        <w:tc>
          <w:tcPr/>
          <w:p>
            <w:pPr>
              <w:pStyle w:val="Compact"/>
              <w:jc w:val="left"/>
            </w:pPr>
            <w:hyperlink w:anchor="Xa559bd5247f9128e74e6edcc17de37648e8cde6">
              <w:r>
                <w:rPr>
                  <w:rStyle w:val="Hyperlink"/>
                </w:rPr>
                <w:t xml:space="preserve">Burgess 2008</w:t>
              </w:r>
            </w:hyperlink>
          </w:p>
        </w:tc>
      </w:tr>
      <w:tr>
        <w:tc>
          <w:tcPr/>
          <w:p>
            <w:pPr>
              <w:pStyle w:val="Compact"/>
              <w:jc w:val="left"/>
            </w:pPr>
            <w:r>
              <w:t xml:space="preserve">po MD 20 mg</w:t>
            </w:r>
          </w:p>
        </w:tc>
        <w:tc>
          <w:tcPr/>
          <w:p>
            <w:pPr>
              <w:pStyle w:val="Compact"/>
              <w:jc w:val="left"/>
            </w:pPr>
            <w:hyperlink w:anchor="Xa559bd5247f9128e74e6edcc17de37648e8cde6">
              <w:r>
                <w:rPr>
                  <w:rStyle w:val="Hyperlink"/>
                </w:rPr>
                <w:t xml:space="preserve">Gotzkowsky 2013</w:t>
              </w:r>
            </w:hyperlink>
          </w:p>
        </w:tc>
      </w:tr>
    </w:tbl>
    <w:bookmarkEnd w:id="23"/>
    <w:bookmarkEnd w:id="24"/>
    <w:bookmarkStart w:id="29"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absorption"/>
    <w:p>
      <w:pPr>
        <w:pStyle w:val="Heading3"/>
      </w:pPr>
      <w:r>
        <w:t xml:space="preserve">2.3.1 Absorption</w:t>
      </w:r>
    </w:p>
    <w:p>
      <w:pPr>
        <w:pStyle w:val="FirstParagraph"/>
      </w:pPr>
      <w:r>
        <w:t xml:space="preserve">The model parameter</w:t>
      </w:r>
      <w:r>
        <w:t xml:space="preserve"> </w:t>
      </w:r>
      <w:r>
        <w:rPr>
          <w:rStyle w:val="VerbatimChar"/>
        </w:rPr>
        <w:t xml:space="preserve">Specific intestinal permeability</w:t>
      </w:r>
      <w:r>
        <w:t xml:space="preserve"> </w:t>
      </w:r>
      <w:r>
        <w:t xml:space="preserve">was optimized to best match clinical data (see</w:t>
      </w:r>
      <w:r>
        <w:t xml:space="preserve"> </w:t>
      </w:r>
      <w:hyperlink w:anchor="X2a13133295efba879d59b4ecc1b6a15b8871330">
        <w:r>
          <w:rPr>
            <w:rStyle w:val="Hyperlink"/>
          </w:rPr>
          <w:t xml:space="preserve">Section 2.3.4</w:t>
        </w:r>
      </w:hyperlink>
      <w:r>
        <w:t xml:space="preserve">). A formulation without limitation to absorption was assumed for the oral solution, therefore its solubility was set to 100 mg/L. A default solubility of 3.5 mg/L was taken from the model of</w:t>
      </w:r>
      <w:r>
        <w:t xml:space="preserve"> </w:t>
      </w:r>
      <w:hyperlink w:anchor="Xa559bd5247f9128e74e6edcc17de37648e8cde6">
        <w:r>
          <w:rPr>
            <w:rStyle w:val="Hyperlink"/>
          </w:rPr>
          <w:t xml:space="preserve">Salerno 2021</w:t>
        </w:r>
      </w:hyperlink>
      <w:r>
        <w:t xml:space="preserve"> </w:t>
      </w:r>
      <w:r>
        <w:t xml:space="preserve">and used for tablets (see</w:t>
      </w:r>
      <w:r>
        <w:t xml:space="preserve"> </w:t>
      </w:r>
      <w:hyperlink w:anchor="X873f1d933aeea7d4aa146491e21cc3be56dfc99">
        <w:r>
          <w:rPr>
            <w:rStyle w:val="Hyperlink"/>
          </w:rPr>
          <w:t xml:space="preserve">Section 2.2.1</w:t>
        </w:r>
      </w:hyperlink>
      <w:r>
        <w:t xml:space="preserve">)</w:t>
      </w:r>
    </w:p>
    <w:p>
      <w:pPr>
        <w:pStyle w:val="BodyText"/>
      </w:pPr>
      <w:r>
        <w:t xml:space="preserve">The dissolution of tablets was implemented via a Weibull dissolution tablet. The Weibull function was fitted using R 4.2.1 based on in vitro data (</w:t>
      </w:r>
      <w:hyperlink w:anchor="Xa559bd5247f9128e74e6edcc17de37648e8cde6">
        <w:r>
          <w:rPr>
            <w:rStyle w:val="Hyperlink"/>
          </w:rPr>
          <w:t xml:space="preserve">Sawatdee 2019</w:t>
        </w:r>
      </w:hyperlink>
      <w:r>
        <w:t xml:space="preserve">), and the resulting dissolution kinetic parameters were fixed in the model.</w:t>
      </w:r>
    </w:p>
    <w:bookmarkEnd w:id="25"/>
    <w:bookmarkStart w:id="26" w:name="distribution"/>
    <w:p>
      <w:pPr>
        <w:pStyle w:val="Heading3"/>
      </w:pPr>
      <w:r>
        <w:t xml:space="preserve">2.3.2 Distribution</w:t>
      </w:r>
    </w:p>
    <w:p>
      <w:pPr>
        <w:pStyle w:val="FirstParagraph"/>
      </w:pPr>
      <w:r>
        <w:t xml:space="preserve">Sildenafil is highly bound to α1-acid glycoprotein in plasma (see</w:t>
      </w:r>
      <w:r>
        <w:t xml:space="preserve"> </w:t>
      </w:r>
      <w:hyperlink w:anchor="X873f1d933aeea7d4aa146491e21cc3be56dfc99">
        <w:r>
          <w:rPr>
            <w:rStyle w:val="Hyperlink"/>
          </w:rPr>
          <w:t xml:space="preserve">Section 2.2.1</w:t>
        </w:r>
      </w:hyperlink>
      <w:r>
        <w:t xml:space="preserve">). A value of 4% was used in this PBPK model for</w:t>
      </w:r>
      <w:r>
        <w:t xml:space="preserve"> </w:t>
      </w:r>
      <w:r>
        <w:rPr>
          <w:rStyle w:val="VerbatimChar"/>
        </w:rPr>
        <w:t xml:space="preserve">Fraction unbound (plasma, reference value)</w:t>
      </w:r>
      <w:r>
        <w:t xml:space="preserve">.</w:t>
      </w:r>
    </w:p>
    <w:p>
      <w:pPr>
        <w:pStyle w:val="BodyText"/>
      </w:pPr>
      <w:r>
        <w:t xml:space="preserve">An important parameter influencing the resulting volume of distribution is lipophilicity. The reported experimental logP values are in the range of 3 (see</w:t>
      </w:r>
      <w:r>
        <w:t xml:space="preserve"> </w:t>
      </w:r>
      <w:hyperlink w:anchor="X873f1d933aeea7d4aa146491e21cc3be56dfc99">
        <w:r>
          <w:rPr>
            <w:rStyle w:val="Hyperlink"/>
          </w:rPr>
          <w:t xml:space="preserve">Section 2.2.1</w:t>
        </w:r>
      </w:hyperlink>
      <w:r>
        <w:t xml:space="preserve">) which served as a starting value. Finally, the model parameters</w:t>
      </w:r>
      <w:r>
        <w:t xml:space="preserve"> </w:t>
      </w:r>
      <w:r>
        <w:rPr>
          <w:rStyle w:val="VerbatimChar"/>
        </w:rPr>
        <w:t xml:space="preserve">Lipophilicity</w:t>
      </w:r>
      <w:r>
        <w:t xml:space="preserve"> </w:t>
      </w:r>
      <w:r>
        <w:t xml:space="preserve">was optimized to match best clinical data (see also</w:t>
      </w:r>
      <w:r>
        <w:t xml:space="preserve"> </w:t>
      </w:r>
      <w:hyperlink w:anchor="X2a13133295efba879d59b4ecc1b6a15b8871330">
        <w:r>
          <w:rPr>
            <w:rStyle w:val="Hyperlink"/>
          </w:rPr>
          <w:t xml:space="preserve">Section 2.3.4</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Rodgers and Rowland</w:t>
      </w:r>
      <w:r>
        <w:t xml:space="preserve"> </w:t>
      </w:r>
      <w:r>
        <w:t xml:space="preserve">and cellular permeability calculation by</w:t>
      </w:r>
      <w:r>
        <w:t xml:space="preserve"> </w:t>
      </w:r>
      <w:r>
        <w:rPr>
          <w:rStyle w:val="VerbatimChar"/>
        </w:rPr>
        <w:t xml:space="preserve">PK-Sim Standard</w:t>
      </w:r>
      <w:r>
        <w:t xml:space="preserve">.</w:t>
      </w:r>
    </w:p>
    <w:bookmarkEnd w:id="26"/>
    <w:bookmarkStart w:id="27" w:name="metabolism-and-elimination"/>
    <w:p>
      <w:pPr>
        <w:pStyle w:val="Heading3"/>
      </w:pPr>
      <w:r>
        <w:t xml:space="preserve">2.3.3 Metabolism and Elimination</w:t>
      </w:r>
    </w:p>
    <w:p>
      <w:pPr>
        <w:pStyle w:val="FirstParagraph"/>
      </w:pPr>
      <w:r>
        <w:t xml:space="preserve">Three metabolic pathways were implement into the model via Michaelis-Menten kinetics</w:t>
      </w:r>
    </w:p>
    <w:p>
      <w:pPr>
        <w:numPr>
          <w:ilvl w:val="0"/>
          <w:numId w:val="1002"/>
        </w:numPr>
        <w:pStyle w:val="Compact"/>
      </w:pPr>
      <w:r>
        <w:t xml:space="preserve">CYP3A4</w:t>
      </w:r>
    </w:p>
    <w:p>
      <w:pPr>
        <w:numPr>
          <w:ilvl w:val="0"/>
          <w:numId w:val="1002"/>
        </w:numPr>
        <w:pStyle w:val="Compact"/>
      </w:pPr>
      <w:r>
        <w:t xml:space="preserve">CYP3A9</w:t>
      </w:r>
    </w:p>
    <w:p>
      <w:pPr>
        <w:numPr>
          <w:ilvl w:val="0"/>
          <w:numId w:val="1002"/>
        </w:numPr>
        <w:pStyle w:val="Compact"/>
      </w:pPr>
      <w:r>
        <w:t xml:space="preserve">CYP3A19</w:t>
      </w:r>
    </w:p>
    <w:p>
      <w:pPr>
        <w:pStyle w:val="FirstParagraph"/>
      </w:pPr>
      <w:r>
        <w:t xml:space="preserve">Relative kcat were calculated with the following inputs:</w:t>
      </w:r>
    </w:p>
    <w:tbl>
      <w:tblPr>
        <w:tblStyle w:val="Table"/>
        <w:tblW w:type="pct" w:w="5000"/>
        <w:tblLook w:firstRow="1" w:lastRow="0" w:firstColumn="0" w:lastColumn="0" w:noHBand="0" w:noVBand="0" w:val="0020"/>
        <w:jc w:val="start"/>
      </w:tblPr>
      <w:tblGrid>
        <w:gridCol w:w="2415"/>
        <w:gridCol w:w="1797"/>
        <w:gridCol w:w="617"/>
        <w:gridCol w:w="617"/>
        <w:gridCol w:w="617"/>
        <w:gridCol w:w="1853"/>
      </w:tblGrid>
      <w:tr>
        <w:trPr>
          <w:tblHeader w:val="true"/>
        </w:trPr>
        <w:tc>
          <w:tcPr/>
          <w:p>
            <w:pPr>
              <w:pStyle w:val="Compact"/>
              <w:jc w:val="left"/>
            </w:pPr>
            <w:r>
              <w:t xml:space="preserve">Input</w:t>
            </w:r>
          </w:p>
        </w:tc>
        <w:tc>
          <w:tcPr/>
          <w:p>
            <w:pPr>
              <w:pStyle w:val="Compact"/>
              <w:jc w:val="left"/>
            </w:pPr>
            <w:r>
              <w:t xml:space="preserve">Unit</w:t>
            </w:r>
          </w:p>
        </w:tc>
        <w:tc>
          <w:tcPr/>
          <w:p>
            <w:pPr>
              <w:pStyle w:val="Compact"/>
              <w:jc w:val="left"/>
            </w:pPr>
            <w:r>
              <w:t xml:space="preserve">CYP3A4</w:t>
            </w:r>
          </w:p>
        </w:tc>
        <w:tc>
          <w:tcPr/>
          <w:p>
            <w:pPr>
              <w:pStyle w:val="Compact"/>
              <w:jc w:val="left"/>
            </w:pPr>
            <w:r>
              <w:t xml:space="preserve">CYP2C9</w:t>
            </w:r>
          </w:p>
        </w:tc>
        <w:tc>
          <w:tcPr/>
          <w:p>
            <w:pPr>
              <w:pStyle w:val="Compact"/>
              <w:jc w:val="left"/>
            </w:pPr>
            <w:r>
              <w:t xml:space="preserve">CYP2C19</w:t>
            </w:r>
          </w:p>
        </w:tc>
        <w:tc>
          <w:tcPr/>
          <w:p>
            <w:pPr>
              <w:pStyle w:val="Compact"/>
              <w:jc w:val="left"/>
            </w:pPr>
            <w:r>
              <w:t xml:space="preserve">Reference</w:t>
            </w:r>
          </w:p>
        </w:tc>
      </w:tr>
      <w:tr>
        <w:tc>
          <w:tcPr/>
          <w:p>
            <w:pPr>
              <w:pStyle w:val="Compact"/>
              <w:jc w:val="left"/>
            </w:pPr>
            <w:r>
              <w:t xml:space="preserve">Contributions in vitro (scaled)*</w:t>
            </w:r>
          </w:p>
        </w:tc>
        <w:tc>
          <w:tcPr/>
          <w:p>
            <w:pPr>
              <w:pStyle w:val="Compact"/>
              <w:jc w:val="left"/>
            </w:pPr>
            <w:r>
              <w:t xml:space="preserve">µL/min/mg microsomal protein</w:t>
            </w:r>
          </w:p>
        </w:tc>
        <w:tc>
          <w:tcPr/>
          <w:p>
            <w:pPr>
              <w:pStyle w:val="Compact"/>
              <w:jc w:val="left"/>
            </w:pPr>
            <w:r>
              <w:t xml:space="preserve">0.79</w:t>
            </w:r>
          </w:p>
        </w:tc>
        <w:tc>
          <w:tcPr/>
          <w:p>
            <w:pPr>
              <w:pStyle w:val="Compact"/>
              <w:jc w:val="left"/>
            </w:pPr>
            <w:r>
              <w:t xml:space="preserve">0.20</w:t>
            </w:r>
          </w:p>
        </w:tc>
        <w:tc>
          <w:tcPr/>
          <w:p>
            <w:pPr>
              <w:pStyle w:val="Compact"/>
              <w:jc w:val="left"/>
            </w:pPr>
            <w:r>
              <w:t xml:space="preserve">0.01</w:t>
            </w:r>
          </w:p>
        </w:tc>
        <w:tc>
          <w:tcPr/>
          <w:p>
            <w:pPr>
              <w:pStyle w:val="Compact"/>
              <w:jc w:val="left"/>
            </w:pPr>
            <w:hyperlink w:anchor="Xa559bd5247f9128e74e6edcc17de37648e8cde6">
              <w:r>
                <w:rPr>
                  <w:rStyle w:val="Hyperlink"/>
                </w:rPr>
                <w:t xml:space="preserve">Warrington 2000</w:t>
              </w:r>
            </w:hyperlink>
          </w:p>
        </w:tc>
      </w:tr>
      <w:tr>
        <w:tc>
          <w:tcPr/>
          <w:p>
            <w:pPr>
              <w:pStyle w:val="Compact"/>
              <w:jc w:val="left"/>
            </w:pPr>
            <w:r>
              <w:t xml:space="preserve">CYP amount</w:t>
            </w:r>
          </w:p>
        </w:tc>
        <w:tc>
          <w:tcPr/>
          <w:p>
            <w:pPr>
              <w:pStyle w:val="Compact"/>
              <w:jc w:val="left"/>
            </w:pPr>
            <w:r>
              <w:t xml:space="preserve">pmol CYP/mg microsomal protein</w:t>
            </w:r>
          </w:p>
        </w:tc>
        <w:tc>
          <w:tcPr/>
          <w:p>
            <w:pPr>
              <w:pStyle w:val="Compact"/>
              <w:jc w:val="left"/>
            </w:pPr>
            <w:r>
              <w:t xml:space="preserve">108</w:t>
            </w:r>
          </w:p>
        </w:tc>
        <w:tc>
          <w:tcPr/>
          <w:p>
            <w:pPr>
              <w:pStyle w:val="Compact"/>
              <w:jc w:val="left"/>
            </w:pPr>
            <w:r>
              <w:t xml:space="preserve">96</w:t>
            </w:r>
          </w:p>
        </w:tc>
        <w:tc>
          <w:tcPr/>
          <w:p>
            <w:pPr>
              <w:pStyle w:val="Compact"/>
              <w:jc w:val="left"/>
            </w:pPr>
            <w:r>
              <w:t xml:space="preserve">19</w:t>
            </w:r>
          </w:p>
        </w:tc>
        <w:tc>
          <w:tcPr/>
          <w:p>
            <w:pPr>
              <w:pStyle w:val="Compact"/>
              <w:jc w:val="left"/>
            </w:pPr>
            <w:hyperlink w:anchor="Xa559bd5247f9128e74e6edcc17de37648e8cde6">
              <w:r>
                <w:rPr>
                  <w:rStyle w:val="Hyperlink"/>
                </w:rPr>
                <w:t xml:space="preserve">Rodrigues 1999</w:t>
              </w:r>
            </w:hyperlink>
          </w:p>
        </w:tc>
      </w:tr>
      <w:tr>
        <w:tc>
          <w:tcPr/>
          <w:p>
            <w:pPr>
              <w:pStyle w:val="Compact"/>
              <w:jc w:val="left"/>
            </w:pPr>
            <w:r>
              <w:t xml:space="preserve">Michaelis Menten constant (Km)</w:t>
            </w:r>
          </w:p>
        </w:tc>
        <w:tc>
          <w:tcPr/>
          <w:p>
            <w:pPr>
              <w:pStyle w:val="Compact"/>
              <w:jc w:val="left"/>
            </w:pPr>
            <w:r>
              <w:t xml:space="preserve">µmol/L</w:t>
            </w:r>
          </w:p>
        </w:tc>
        <w:tc>
          <w:tcPr/>
          <w:p>
            <w:pPr>
              <w:pStyle w:val="Compact"/>
              <w:jc w:val="left"/>
            </w:pPr>
            <w:r>
              <w:t xml:space="preserve">23.1</w:t>
            </w:r>
          </w:p>
        </w:tc>
        <w:tc>
          <w:tcPr/>
          <w:p>
            <w:pPr>
              <w:pStyle w:val="Compact"/>
              <w:jc w:val="left"/>
            </w:pPr>
            <w:r>
              <w:t xml:space="preserve">9.6</w:t>
            </w:r>
          </w:p>
        </w:tc>
        <w:tc>
          <w:tcPr/>
          <w:p>
            <w:pPr>
              <w:pStyle w:val="Compact"/>
              <w:jc w:val="left"/>
            </w:pPr>
            <w:r>
              <w:t xml:space="preserve">23.1</w:t>
            </w:r>
          </w:p>
        </w:tc>
        <w:tc>
          <w:tcPr/>
          <w:p>
            <w:pPr>
              <w:pStyle w:val="Compact"/>
              <w:jc w:val="left"/>
            </w:pPr>
            <w:hyperlink w:anchor="Xa559bd5247f9128e74e6edcc17de37648e8cde6">
              <w:r>
                <w:rPr>
                  <w:rStyle w:val="Hyperlink"/>
                </w:rPr>
                <w:t xml:space="preserve">Warrington 2000</w:t>
              </w:r>
            </w:hyperlink>
          </w:p>
        </w:tc>
      </w:tr>
    </w:tbl>
    <w:p>
      <w:pPr>
        <w:pStyle w:val="BodyText"/>
      </w:pPr>
      <w:r>
        <w:t xml:space="preserve">*The contribution in vitro has initially no unit. It was scaled multiplying it by 1 µL/min/mg microsomal protein. This is a joint scaling factor over the three CYPs to keep their relative hepatic contributions fixed. It was later optimized as part of kcat.</w:t>
      </w:r>
    </w:p>
    <w:p>
      <w:pPr>
        <w:pStyle w:val="BodyText"/>
      </w:pPr>
      <w:r>
        <w:t xml:space="preserve">The scaled contributions in vitro were converted to specific clearance per enzyme dividing by the respective CYP amount per milligram microsomal protein. Then these relative specific clearances per enzyme were multiplied by the Km value to obtain kcat values which were then in a next step optimized with a joint factor in the parameter identification to best match clinical data (see</w:t>
      </w:r>
      <w:r>
        <w:t xml:space="preserve"> </w:t>
      </w:r>
      <w:hyperlink w:anchor="X2a13133295efba879d59b4ecc1b6a15b8871330">
        <w:r>
          <w:rPr>
            <w:rStyle w:val="Hyperlink"/>
          </w:rPr>
          <w:t xml:space="preserve">Section 2.3.4</w:t>
        </w:r>
      </w:hyperlink>
      <w:r>
        <w:t xml:space="preserve">)</w:t>
      </w:r>
    </w:p>
    <w:tbl>
      <w:tblPr>
        <w:tblStyle w:val="Table"/>
        <w:tblW w:type="pct" w:w="5000"/>
        <w:tblLook w:firstRow="1" w:lastRow="0" w:firstColumn="0" w:lastColumn="0" w:noHBand="0" w:noVBand="0" w:val="0020"/>
        <w:jc w:val="start"/>
      </w:tblPr>
      <w:tblGrid>
        <w:gridCol w:w="3153"/>
        <w:gridCol w:w="2346"/>
        <w:gridCol w:w="806"/>
        <w:gridCol w:w="806"/>
        <w:gridCol w:w="806"/>
      </w:tblGrid>
      <w:tr>
        <w:trPr>
          <w:tblHeader w:val="true"/>
        </w:trPr>
        <w:tc>
          <w:tcPr/>
          <w:p>
            <w:pPr>
              <w:pStyle w:val="Compact"/>
              <w:jc w:val="left"/>
            </w:pPr>
            <w:r>
              <w:t xml:space="preserve">Calculated parameters</w:t>
            </w:r>
          </w:p>
        </w:tc>
        <w:tc>
          <w:tcPr/>
          <w:p>
            <w:pPr>
              <w:pStyle w:val="Compact"/>
              <w:jc w:val="left"/>
            </w:pPr>
            <w:r>
              <w:t xml:space="preserve">Unit</w:t>
            </w:r>
          </w:p>
        </w:tc>
        <w:tc>
          <w:tcPr/>
          <w:p>
            <w:pPr>
              <w:pStyle w:val="Compact"/>
              <w:jc w:val="left"/>
            </w:pPr>
            <w:r>
              <w:t xml:space="preserve">CYP3A4</w:t>
            </w:r>
          </w:p>
        </w:tc>
        <w:tc>
          <w:tcPr/>
          <w:p>
            <w:pPr>
              <w:pStyle w:val="Compact"/>
              <w:jc w:val="left"/>
            </w:pPr>
            <w:r>
              <w:t xml:space="preserve">CYP2C9</w:t>
            </w:r>
          </w:p>
        </w:tc>
        <w:tc>
          <w:tcPr/>
          <w:p>
            <w:pPr>
              <w:pStyle w:val="Compact"/>
              <w:jc w:val="left"/>
            </w:pPr>
            <w:r>
              <w:t xml:space="preserve">CYP2C19</w:t>
            </w:r>
          </w:p>
        </w:tc>
      </w:tr>
      <w:tr>
        <w:tc>
          <w:tcPr/>
          <w:p>
            <w:pPr>
              <w:pStyle w:val="Compact"/>
              <w:jc w:val="left"/>
            </w:pPr>
            <w:r>
              <w:t xml:space="preserve">CLspec/Enzyme</w:t>
            </w:r>
          </w:p>
        </w:tc>
        <w:tc>
          <w:tcPr/>
          <w:p>
            <w:pPr>
              <w:pStyle w:val="Compact"/>
              <w:jc w:val="left"/>
            </w:pPr>
            <w:r>
              <w:t xml:space="preserve">L/µmol/min</w:t>
            </w:r>
          </w:p>
        </w:tc>
        <w:tc>
          <w:tcPr/>
          <w:p>
            <w:pPr>
              <w:pStyle w:val="Compact"/>
              <w:jc w:val="left"/>
            </w:pPr>
            <w:r>
              <w:t xml:space="preserve">0.007324074</w:t>
            </w:r>
          </w:p>
        </w:tc>
        <w:tc>
          <w:tcPr/>
          <w:p>
            <w:pPr>
              <w:pStyle w:val="Compact"/>
              <w:jc w:val="left"/>
            </w:pPr>
            <w:r>
              <w:t xml:space="preserve">0.002083333</w:t>
            </w:r>
          </w:p>
        </w:tc>
        <w:tc>
          <w:tcPr/>
          <w:p>
            <w:pPr>
              <w:pStyle w:val="Compact"/>
              <w:jc w:val="left"/>
            </w:pPr>
            <w:r>
              <w:t xml:space="preserve">0.000436842</w:t>
            </w:r>
          </w:p>
        </w:tc>
      </w:tr>
      <w:tr>
        <w:tc>
          <w:tcPr/>
          <w:p>
            <w:pPr>
              <w:pStyle w:val="Compact"/>
              <w:jc w:val="left"/>
            </w:pPr>
            <w:r>
              <w:t xml:space="preserve">kcat</w:t>
            </w:r>
          </w:p>
        </w:tc>
        <w:tc>
          <w:tcPr/>
          <w:p>
            <w:pPr>
              <w:pStyle w:val="Compact"/>
              <w:jc w:val="left"/>
            </w:pPr>
            <w:r>
              <w:t xml:space="preserve">1/min</w:t>
            </w:r>
          </w:p>
        </w:tc>
        <w:tc>
          <w:tcPr/>
          <w:p>
            <w:pPr>
              <w:pStyle w:val="Compact"/>
              <w:jc w:val="left"/>
            </w:pPr>
            <w:r>
              <w:t xml:space="preserve">0.17</w:t>
            </w:r>
          </w:p>
        </w:tc>
        <w:tc>
          <w:tcPr/>
          <w:p>
            <w:pPr>
              <w:pStyle w:val="Compact"/>
              <w:jc w:val="left"/>
            </w:pPr>
            <w:r>
              <w:t xml:space="preserve">0.02</w:t>
            </w:r>
          </w:p>
        </w:tc>
        <w:tc>
          <w:tcPr/>
          <w:p>
            <w:pPr>
              <w:pStyle w:val="Compact"/>
              <w:jc w:val="left"/>
            </w:pPr>
            <w:r>
              <w:t xml:space="preserve">0.01</w:t>
            </w:r>
          </w:p>
        </w:tc>
      </w:tr>
    </w:tbl>
    <w:p>
      <w:pPr>
        <w:pStyle w:val="BodyText"/>
      </w:pPr>
      <w:r>
        <w:t xml:space="preserve">The CYP3A4 expression profiles is based on high-sensitive real-time RT-PCR (</w:t>
      </w:r>
      <w:hyperlink w:anchor="Xa559bd5247f9128e74e6edcc17de37648e8cde6">
        <w:r>
          <w:rPr>
            <w:rStyle w:val="Hyperlink"/>
          </w:rPr>
          <w:t xml:space="preserve">Nishimura 2003</w:t>
        </w:r>
      </w:hyperlink>
      <w:r>
        <w:t xml:space="preserve">). Absolute tissue-specific expressions were obtained by considering the respective absolute concentration in the liver. The PK-Sim database provides a default value for CYP3A4 (compare</w:t>
      </w:r>
      <w:r>
        <w:t xml:space="preserve"> </w:t>
      </w:r>
      <w:hyperlink w:anchor="Xa559bd5247f9128e74e6edcc17de37648e8cde6">
        <w:r>
          <w:rPr>
            <w:rStyle w:val="Hyperlink"/>
          </w:rPr>
          <w:t xml:space="preserve">Rodrigues 1999</w:t>
        </w:r>
      </w:hyperlink>
      <w:r>
        <w:t xml:space="preserve"> </w:t>
      </w:r>
      <w:r>
        <w:t xml:space="preserve">and assume 40 mg protein per gram liver).</w:t>
      </w:r>
    </w:p>
    <w:p>
      <w:pPr>
        <w:pStyle w:val="BodyText"/>
      </w:pPr>
      <w:r>
        <w:t xml:space="preserve">The first model simulations showed that gut wall metabolism was underrepresented in the PBPK model. In order to increase gut wall metabolism, the</w:t>
      </w:r>
      <w:r>
        <w:t xml:space="preserve"> </w:t>
      </w:r>
      <w:r>
        <w:t xml:space="preserve">“</w:t>
      </w:r>
      <w:r>
        <w:t xml:space="preserve">mucosa permeability on basolateral side</w:t>
      </w:r>
      <w:r>
        <w:t xml:space="preserve">”</w:t>
      </w:r>
      <w:r>
        <w:t xml:space="preserve"> </w:t>
      </w:r>
      <w:r>
        <w:t xml:space="preserve">(jointly the model parameters in the mucosa:</w:t>
      </w:r>
      <w:r>
        <w:t xml:space="preserve"> </w:t>
      </w:r>
      <w:r>
        <w:rPr>
          <w:rStyle w:val="VerbatimChar"/>
        </w:rPr>
        <w:t xml:space="preserve">P (interstitial-&gt;intracellular)</w:t>
      </w:r>
      <w:r>
        <w:t xml:space="preserve"> </w:t>
      </w:r>
      <w:r>
        <w:t xml:space="preserve">and</w:t>
      </w:r>
      <w:r>
        <w:t xml:space="preserve"> </w:t>
      </w:r>
      <w:r>
        <w:rPr>
          <w:rStyle w:val="VerbatimChar"/>
        </w:rPr>
        <w:t xml:space="preserve">P (intracellular-&gt;interstitial)</w:t>
      </w:r>
      <w:r>
        <w:t xml:space="preserve">) was estimated. A decrease in this permeability may lead to higher gut wall concentrations and, in turn, to a higher gut wall elimination. This parameter was preferred over other parameters such as relative CYP3A4 expression or fraction unbound (fu) in the gut wall as it is technically not limited to a maximum value of 100%.</w:t>
      </w:r>
    </w:p>
    <w:bookmarkEnd w:id="27"/>
    <w:bookmarkStart w:id="28" w:name="automated-parameter-identification"/>
    <w:p>
      <w:pPr>
        <w:pStyle w:val="Heading3"/>
      </w:pPr>
      <w:r>
        <w:t xml:space="preserve">2.3.4 Automated Parameter Identification</w:t>
      </w:r>
    </w:p>
    <w:p>
      <w:pPr>
        <w:pStyle w:val="FirstParagraph"/>
      </w:pPr>
      <w:r>
        <w:t xml:space="preserve">This is the result of the final parameter identification for the base model:</w:t>
      </w:r>
    </w:p>
    <w:tbl>
      <w:tblPr>
        <w:tblStyle w:val="Table"/>
        <w:tblW w:type="pct" w:w="5000"/>
        <w:tblLook w:firstRow="1" w:lastRow="0" w:firstColumn="0" w:lastColumn="0" w:noHBand="0" w:noVBand="0" w:val="0020"/>
        <w:jc w:val="start"/>
      </w:tblPr>
      <w:tblGrid>
        <w:gridCol w:w="3683"/>
        <w:gridCol w:w="3683"/>
        <w:gridCol w:w="552"/>
      </w:tblGrid>
      <w:tr>
        <w:trPr>
          <w:tblHeader w:val="true"/>
        </w:trPr>
        <w:tc>
          <w:tcPr/>
          <w:p>
            <w:pPr>
              <w:pStyle w:val="Compact"/>
              <w:jc w:val="left"/>
            </w:pPr>
            <w:r>
              <w:t xml:space="preserve">Model Parameter</w:t>
            </w:r>
          </w:p>
        </w:tc>
        <w:tc>
          <w:tcPr/>
          <w:p>
            <w:pPr>
              <w:pStyle w:val="Compact"/>
              <w:jc w:val="left"/>
            </w:pPr>
            <w:r>
              <w:t xml:space="preserve">Optimized Value</w:t>
            </w:r>
          </w:p>
        </w:tc>
        <w:tc>
          <w:tcPr/>
          <w:p>
            <w:pPr>
              <w:pStyle w:val="Compact"/>
              <w:jc w:val="left"/>
            </w:pPr>
            <w:r>
              <w:t xml:space="preserve">Unit</w:t>
            </w:r>
          </w:p>
        </w:tc>
      </w:tr>
      <w:tr>
        <w:tc>
          <w:tcPr/>
          <w:p>
            <w:pPr>
              <w:pStyle w:val="Compact"/>
              <w:jc w:val="left"/>
            </w:pPr>
            <w:r>
              <w:rPr>
                <w:rStyle w:val="VerbatimChar"/>
              </w:rPr>
              <w:t xml:space="preserve">Lipophilicity</w:t>
            </w:r>
          </w:p>
        </w:tc>
        <w:tc>
          <w:tcPr/>
          <w:p>
            <w:pPr>
              <w:pStyle w:val="Compact"/>
              <w:jc w:val="left"/>
            </w:pPr>
            <w:r>
              <w:t xml:space="preserve">2.84</w:t>
            </w:r>
          </w:p>
        </w:tc>
        <w:tc>
          <w:tcPr/>
          <w:p>
            <w:pPr>
              <w:pStyle w:val="Compact"/>
              <w:jc w:val="left"/>
            </w:pPr>
            <w:r>
              <w:t xml:space="preserve">Log Units</w:t>
            </w:r>
          </w:p>
        </w:tc>
      </w:tr>
      <w:tr>
        <w:tc>
          <w:tcPr/>
          <w:p>
            <w:pPr>
              <w:pStyle w:val="Compact"/>
              <w:jc w:val="left"/>
            </w:pPr>
            <w:r>
              <w:rPr>
                <w:rStyle w:val="VerbatimChar"/>
              </w:rPr>
              <w:t xml:space="preserve">Fraction unbound</w:t>
            </w:r>
          </w:p>
        </w:tc>
        <w:tc>
          <w:tcPr/>
          <w:p>
            <w:pPr>
              <w:pStyle w:val="Compact"/>
              <w:jc w:val="left"/>
            </w:pPr>
            <w:r>
              <w:t xml:space="preserve">0.04 (FIXED)</w:t>
            </w:r>
          </w:p>
        </w:tc>
        <w:tc>
          <w:tcPr/>
          <w:p>
            <w:pPr>
              <w:pStyle w:val="Compact"/>
            </w:pPr>
          </w:p>
        </w:tc>
      </w:tr>
      <w:tr>
        <w:tc>
          <w:tcPr/>
          <w:p>
            <w:pPr>
              <w:pStyle w:val="Compact"/>
              <w:jc w:val="left"/>
            </w:pPr>
            <w:r>
              <w:rPr>
                <w:rStyle w:val="VerbatimChar"/>
              </w:rPr>
              <w:t xml:space="preserve">Specific intestinal permeability</w:t>
            </w:r>
          </w:p>
        </w:tc>
        <w:tc>
          <w:tcPr/>
          <w:p>
            <w:pPr>
              <w:pStyle w:val="Compact"/>
              <w:jc w:val="left"/>
            </w:pPr>
            <w:r>
              <w:t xml:space="preserve">1.21E-3</w:t>
            </w:r>
          </w:p>
        </w:tc>
        <w:tc>
          <w:tcPr/>
          <w:p>
            <w:pPr>
              <w:pStyle w:val="Compact"/>
              <w:jc w:val="left"/>
            </w:pPr>
            <w:r>
              <w:t xml:space="preserve">cm/min</w:t>
            </w:r>
          </w:p>
        </w:tc>
      </w:tr>
      <w:tr>
        <w:tc>
          <w:tcPr/>
          <w:p>
            <w:pPr>
              <w:pStyle w:val="Compact"/>
              <w:jc w:val="left"/>
            </w:pPr>
            <w:r>
              <w:t xml:space="preserve">Basolateral mucosa permeability</w:t>
            </w:r>
            <w:r>
              <w:t xml:space="preserve">(</w:t>
            </w:r>
            <w:r>
              <w:rPr>
                <w:rStyle w:val="VerbatimChar"/>
              </w:rPr>
              <w:t xml:space="preserve">P (interstitial-&gt;intracellular)</w:t>
            </w:r>
            <w:r>
              <w:t xml:space="preserve">,</w:t>
            </w:r>
            <w:r>
              <w:t xml:space="preserve"> </w:t>
            </w:r>
            <w:r>
              <w:rPr>
                <w:rStyle w:val="VerbatimChar"/>
              </w:rPr>
              <w:t xml:space="preserve">P (intracellular-&gt;interstitial)</w:t>
            </w:r>
            <w:r>
              <w:t xml:space="preserve">)</w:t>
            </w:r>
          </w:p>
        </w:tc>
        <w:tc>
          <w:tcPr/>
          <w:p>
            <w:pPr>
              <w:pStyle w:val="Compact"/>
              <w:jc w:val="left"/>
            </w:pPr>
            <w:r>
              <w:t xml:space="preserve">6.07E-4</w:t>
            </w:r>
          </w:p>
        </w:tc>
        <w:tc>
          <w:tcPr/>
          <w:p>
            <w:pPr>
              <w:pStyle w:val="Compact"/>
              <w:jc w:val="left"/>
            </w:pPr>
            <w:r>
              <w:t xml:space="preserve">cm/min</w:t>
            </w:r>
          </w:p>
        </w:tc>
      </w:tr>
      <w:tr>
        <w:tc>
          <w:tcPr/>
          <w:p>
            <w:pPr>
              <w:pStyle w:val="Compact"/>
              <w:jc w:val="left"/>
            </w:pPr>
            <w:r>
              <w:rPr>
                <w:rStyle w:val="VerbatimChar"/>
              </w:rPr>
              <w:t xml:space="preserve">kcat</w:t>
            </w:r>
            <w:r>
              <w:t xml:space="preserve"> </w:t>
            </w:r>
            <w:r>
              <w:t xml:space="preserve">(CYP3A4)</w:t>
            </w:r>
          </w:p>
        </w:tc>
        <w:tc>
          <w:tcPr/>
          <w:p>
            <w:pPr>
              <w:pStyle w:val="Compact"/>
              <w:jc w:val="left"/>
            </w:pPr>
            <w:r>
              <w:t xml:space="preserve">27.21</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(CYP2C9)</w:t>
            </w:r>
          </w:p>
        </w:tc>
        <w:tc>
          <w:tcPr/>
          <w:p>
            <w:pPr>
              <w:pStyle w:val="Compact"/>
              <w:jc w:val="left"/>
            </w:pPr>
            <w:r>
              <w:t xml:space="preserve">3.22</w:t>
            </w:r>
          </w:p>
        </w:tc>
        <w:tc>
          <w:tcPr/>
          <w:p>
            <w:pPr>
              <w:pStyle w:val="Compact"/>
              <w:jc w:val="left"/>
            </w:pPr>
            <w:r>
              <w:t xml:space="preserve">1/min</w:t>
            </w:r>
          </w:p>
        </w:tc>
      </w:tr>
      <w:tr>
        <w:tc>
          <w:tcPr/>
          <w:p>
            <w:pPr>
              <w:pStyle w:val="Compact"/>
              <w:jc w:val="left"/>
            </w:pPr>
            <w:r>
              <w:rPr>
                <w:rStyle w:val="VerbatimChar"/>
              </w:rPr>
              <w:t xml:space="preserve">kcat</w:t>
            </w:r>
            <w:r>
              <w:t xml:space="preserve"> </w:t>
            </w:r>
            <w:r>
              <w:t xml:space="preserve">(CYP2C19)</w:t>
            </w:r>
          </w:p>
        </w:tc>
        <w:tc>
          <w:tcPr/>
          <w:p>
            <w:pPr>
              <w:pStyle w:val="Compact"/>
              <w:jc w:val="left"/>
            </w:pPr>
            <w:r>
              <w:t xml:space="preserve">1.62</w:t>
            </w:r>
          </w:p>
        </w:tc>
        <w:tc>
          <w:tcPr/>
          <w:p>
            <w:pPr>
              <w:pStyle w:val="Compact"/>
              <w:jc w:val="left"/>
            </w:pPr>
            <w:r>
              <w:t xml:space="preserve">1/min</w:t>
            </w:r>
          </w:p>
        </w:tc>
      </w:tr>
      <w:tr>
        <w:tc>
          <w:tcPr/>
          <w:p>
            <w:pPr>
              <w:pStyle w:val="Compact"/>
              <w:jc w:val="left"/>
            </w:pPr>
            <w:r>
              <w:rPr>
                <w:rStyle w:val="VerbatimChar"/>
              </w:rPr>
              <w:t xml:space="preserve">Dissolution time</w:t>
            </w:r>
          </w:p>
        </w:tc>
        <w:tc>
          <w:tcPr/>
          <w:p>
            <w:pPr>
              <w:pStyle w:val="Compact"/>
              <w:jc w:val="left"/>
            </w:pPr>
            <w:r>
              <w:t xml:space="preserve">4.16 (FIXED)</w:t>
            </w:r>
          </w:p>
        </w:tc>
        <w:tc>
          <w:tcPr/>
          <w:p>
            <w:pPr>
              <w:pStyle w:val="Compact"/>
              <w:jc w:val="left"/>
            </w:pPr>
            <w:r>
              <w:t xml:space="preserve">min</w:t>
            </w:r>
          </w:p>
        </w:tc>
      </w:tr>
      <w:tr>
        <w:tc>
          <w:tcPr/>
          <w:p>
            <w:pPr>
              <w:pStyle w:val="Compact"/>
              <w:jc w:val="left"/>
            </w:pPr>
            <w:r>
              <w:rPr>
                <w:rStyle w:val="VerbatimChar"/>
              </w:rPr>
              <w:t xml:space="preserve">Dissolution shape</w:t>
            </w:r>
          </w:p>
        </w:tc>
        <w:tc>
          <w:tcPr/>
          <w:p>
            <w:pPr>
              <w:pStyle w:val="Compact"/>
              <w:jc w:val="left"/>
            </w:pPr>
            <w:r>
              <w:t xml:space="preserve">1.37 (FIXED)</w:t>
            </w:r>
          </w:p>
        </w:tc>
        <w:tc>
          <w:tcPr/>
          <w:p>
            <w:pPr>
              <w:pStyle w:val="Compact"/>
            </w:pPr>
          </w:p>
        </w:tc>
      </w:tr>
    </w:tbl>
    <w:bookmarkEnd w:id="28"/>
    <w:bookmarkEnd w:id="29"/>
    <w:bookmarkEnd w:id="30"/>
    <w:bookmarkStart w:id="96"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sildenafil was developed and verified with clinical pharmacokinetic data.</w:t>
      </w:r>
    </w:p>
    <w:p>
      <w:pPr>
        <w:pStyle w:val="BodyText"/>
      </w:pPr>
      <w:r>
        <w:t xml:space="preserve">The model was built and evaluated covering data from studies including in particular</w:t>
      </w:r>
    </w:p>
    <w:p>
      <w:pPr>
        <w:numPr>
          <w:ilvl w:val="0"/>
          <w:numId w:val="1003"/>
        </w:numPr>
        <w:pStyle w:val="Compact"/>
      </w:pPr>
      <w:r>
        <w:t xml:space="preserve">intravenous (infusions) and oral administrations (solutions and tablets).</w:t>
      </w:r>
    </w:p>
    <w:p>
      <w:pPr>
        <w:numPr>
          <w:ilvl w:val="0"/>
          <w:numId w:val="1003"/>
        </w:numPr>
        <w:pStyle w:val="Compact"/>
      </w:pPr>
      <w:r>
        <w:t xml:space="preserve">a dose range of 20 to 100 mg.</w:t>
      </w:r>
    </w:p>
    <w:p>
      <w:pPr>
        <w:pStyle w:val="FirstParagraph"/>
      </w:pPr>
      <w:r>
        <w:t xml:space="preserve">The model quantifies metabolism via CYP3A4, CYP2C9 and CYP2C19.</w:t>
      </w:r>
    </w:p>
    <w:p>
      <w:pPr>
        <w:pStyle w:val="BodyText"/>
      </w:pPr>
      <w:r>
        <w:t xml:space="preserve">The next sections show:</w:t>
      </w:r>
    </w:p>
    <w:p>
      <w:pPr>
        <w:numPr>
          <w:ilvl w:val="0"/>
          <w:numId w:val="1004"/>
        </w:numPr>
        <w:pStyle w:val="Compact"/>
      </w:pPr>
      <w:r>
        <w:t xml:space="preserve">the final model input parameters for the building blocks:</w:t>
      </w:r>
      <w:r>
        <w:t xml:space="preserve"> </w:t>
      </w:r>
      <w:hyperlink w:anchor="Xc6cf42871317160fa8533d05504fe9284eb5963">
        <w:r>
          <w:rPr>
            <w:rStyle w:val="Hyperlink"/>
          </w:rPr>
          <w:t xml:space="preserve">Section 3.1</w:t>
        </w:r>
      </w:hyperlink>
      <w:r>
        <w:t xml:space="preserve">.</w:t>
      </w:r>
    </w:p>
    <w:p>
      <w:pPr>
        <w:numPr>
          <w:ilvl w:val="0"/>
          <w:numId w:val="1004"/>
        </w:numPr>
        <w:pStyle w:val="Compact"/>
      </w:pPr>
      <w:r>
        <w:t xml:space="preserve">the overall goodness of fit:</w:t>
      </w:r>
      <w:r>
        <w:t xml:space="preserve"> </w:t>
      </w:r>
      <w:hyperlink w:anchor="X8f3aeddcae968e1d328d29ba9adb7d6f485cab0">
        <w:r>
          <w:rPr>
            <w:rStyle w:val="Hyperlink"/>
          </w:rPr>
          <w:t xml:space="preserve">Section 3.2</w:t>
        </w:r>
      </w:hyperlink>
      <w:r>
        <w:t xml:space="preserve">.</w:t>
      </w:r>
    </w:p>
    <w:p>
      <w:pPr>
        <w:numPr>
          <w:ilvl w:val="0"/>
          <w:numId w:val="1004"/>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3"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40" w:name="compound-sildenafil"/>
    <w:p>
      <w:pPr>
        <w:pStyle w:val="Heading3"/>
      </w:pPr>
      <w:r>
        <w:t xml:space="preserve">Compound: Sildenafil</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1760"/>
        <w:gridCol w:w="806"/>
        <w:gridCol w:w="4620"/>
        <w:gridCol w:w="476"/>
        <w:gridCol w:w="25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3.5 mg/l</w:t>
            </w:r>
          </w:p>
        </w:tc>
        <w:tc>
          <w:tcPr/>
          <w:p>
            <w:pPr>
              <w:pStyle w:val="Compact"/>
              <w:jc w:val="left"/>
            </w:pPr>
            <w:r>
              <w:t xml:space="preserve">Publication-Salerno 2021</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Publication-Salerno 2021</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Solubility at reference pH</w:t>
            </w:r>
          </w:p>
        </w:tc>
        <w:tc>
          <w:tcPr/>
          <w:p>
            <w:pPr>
              <w:pStyle w:val="Compact"/>
              <w:jc w:val="left"/>
            </w:pPr>
            <w:r>
              <w:t xml:space="preserve">100 mg/l</w:t>
            </w:r>
          </w:p>
        </w:tc>
        <w:tc>
          <w:tcPr/>
          <w:p>
            <w:pPr>
              <w:pStyle w:val="Compact"/>
              <w:jc w:val="left"/>
            </w:pPr>
            <w:r>
              <w:t xml:space="preserve">Other-Assumption</w:t>
            </w:r>
          </w:p>
        </w:tc>
        <w:tc>
          <w:tcPr/>
          <w:p>
            <w:pPr>
              <w:pStyle w:val="Compact"/>
              <w:jc w:val="left"/>
            </w:pPr>
            <w:r>
              <w:t xml:space="preserve">Oral solution</w:t>
            </w:r>
          </w:p>
        </w:tc>
        <w:tc>
          <w:tcPr/>
          <w:p>
            <w:pPr>
              <w:pStyle w:val="Compact"/>
              <w:jc w:val="left"/>
            </w:pPr>
            <w:r>
              <w:t xml:space="preserve">False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Other-Assumption</w:t>
            </w:r>
          </w:p>
        </w:tc>
        <w:tc>
          <w:tcPr/>
          <w:p>
            <w:pPr>
              <w:pStyle w:val="Compact"/>
              <w:jc w:val="left"/>
            </w:pPr>
            <w:r>
              <w:t xml:space="preserve">Oral solution</w:t>
            </w:r>
          </w:p>
        </w:tc>
        <w:tc>
          <w:tcPr/>
          <w:p>
            <w:pPr>
              <w:pStyle w:val="Compact"/>
              <w:jc w:val="left"/>
            </w:pPr>
            <w:r>
              <w:t xml:space="preserve">False</w:t>
            </w:r>
          </w:p>
        </w:tc>
      </w:tr>
      <w:tr>
        <w:tc>
          <w:tcPr/>
          <w:p>
            <w:pPr>
              <w:pStyle w:val="Compact"/>
              <w:jc w:val="left"/>
            </w:pPr>
            <w:r>
              <w:t xml:space="preserve">Lipophilicity</w:t>
            </w:r>
          </w:p>
        </w:tc>
        <w:tc>
          <w:tcPr/>
          <w:p>
            <w:pPr>
              <w:pStyle w:val="Compact"/>
              <w:jc w:val="left"/>
            </w:pPr>
            <w:r>
              <w:t xml:space="preserve">2.8413676507 Log Units</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0.04</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Permeability</w:t>
            </w:r>
          </w:p>
        </w:tc>
        <w:tc>
          <w:tcPr/>
          <w:p>
            <w:pPr>
              <w:pStyle w:val="Compact"/>
              <w:jc w:val="left"/>
            </w:pPr>
            <w:r>
              <w:t xml:space="preserve">0.0758702742 cm/min</w:t>
            </w:r>
          </w:p>
        </w:tc>
        <w:tc>
          <w:tcPr/>
          <w:p>
            <w:pPr>
              <w:pStyle w:val="Compact"/>
              <w:jc w:val="left"/>
            </w:pPr>
            <w:r>
              <w:t xml:space="preserve">Parameter Identification-Parameter Identification-Value updated from</w:t>
            </w:r>
            <w:r>
              <w:t xml:space="preserve"> </w:t>
            </w:r>
            <w:r>
              <w:t xml:space="preserve">‘</w:t>
            </w:r>
            <w:r>
              <w:t xml:space="preserve">PI_All_DissoKineticFit</w:t>
            </w:r>
            <w:r>
              <w:t xml:space="preserve">’</w:t>
            </w:r>
            <w:r>
              <w:t xml:space="preserve"> </w:t>
            </w:r>
            <w:r>
              <w:t xml:space="preserve">on 2022-08-12 15:40</w:t>
            </w:r>
          </w:p>
        </w:tc>
        <w:tc>
          <w:tcPr/>
          <w:p>
            <w:pPr>
              <w:pStyle w:val="Compact"/>
              <w:jc w:val="left"/>
            </w:pPr>
            <w:r>
              <w:t xml:space="preserve">Optimized</w:t>
            </w:r>
          </w:p>
        </w:tc>
        <w:tc>
          <w:tcPr/>
          <w:p>
            <w:pPr>
              <w:pStyle w:val="Compact"/>
              <w:jc w:val="left"/>
            </w:pPr>
            <w:r>
              <w:t xml:space="preserve">False</w:t>
            </w:r>
          </w:p>
        </w:tc>
      </w:tr>
      <w:tr>
        <w:tc>
          <w:tcPr/>
          <w:p>
            <w:pPr>
              <w:pStyle w:val="Compact"/>
              <w:jc w:val="left"/>
            </w:pPr>
            <w:r>
              <w:t xml:space="preserve">Specific intestinal permeability (transcellular)</w:t>
            </w:r>
          </w:p>
        </w:tc>
        <w:tc>
          <w:tcPr/>
          <w:p>
            <w:pPr>
              <w:pStyle w:val="Compact"/>
              <w:jc w:val="left"/>
            </w:pPr>
            <w:r>
              <w:t xml:space="preserve">0.0012071993309 cm/min</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c>
          <w:tcPr/>
          <w:p>
            <w:pPr>
              <w:pStyle w:val="Compact"/>
              <w:jc w:val="left"/>
            </w:pPr>
            <w:r>
              <w:t xml:space="preserve">Optimized</w:t>
            </w:r>
          </w:p>
        </w:tc>
        <w:tc>
          <w:tcPr/>
          <w:p>
            <w:pPr>
              <w:pStyle w:val="Compact"/>
              <w:jc w:val="left"/>
            </w:pPr>
            <w:r>
              <w:t xml:space="preserve">True</w:t>
            </w: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474.58 g/mol</w:t>
            </w:r>
          </w:p>
        </w:tc>
        <w:tc>
          <w:tcPr/>
          <w:p>
            <w:pPr>
              <w:pStyle w:val="Compact"/>
              <w:jc w:val="left"/>
            </w:pPr>
            <w:r>
              <w:t xml:space="preserve">Internet-DrugBank DB00203</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α1-acid glycoprotein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PK-Sim Standard</w:t>
            </w:r>
          </w:p>
        </w:tc>
      </w:tr>
    </w:tbl>
    <w:bookmarkEnd w:id="32"/>
    <w:bookmarkStart w:id="39" w:name="processes"/>
    <w:p>
      <w:pPr>
        <w:pStyle w:val="Heading4"/>
      </w:pPr>
      <w:r>
        <w:t xml:space="preserve">Processes</w:t>
      </w:r>
    </w:p>
    <w:bookmarkStart w:id="34" w:name="metabolizing-enzyme-cyp2c19-warrington"/>
    <w:p>
      <w:pPr>
        <w:pStyle w:val="Heading5"/>
      </w:pPr>
      <w:r>
        <w:t xml:space="preserve">Metabolizing Enzyme: CYP2C19-Warrington</w:t>
      </w:r>
    </w:p>
    <w:p>
      <w:pPr>
        <w:pStyle w:val="FirstParagraph"/>
      </w:pPr>
      <w:r>
        <w:t xml:space="preserve">Molecule: CYP2C19</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1306"/>
        <w:gridCol w:w="1469"/>
        <w:gridCol w:w="5143"/>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0.01009105 pmol/min/pmol rec. enzyme</w:t>
            </w:r>
          </w:p>
        </w:tc>
        <w:tc>
          <w:tcPr/>
          <w:p>
            <w:pPr>
              <w:pStyle w:val="Compact"/>
              <w:jc w:val="left"/>
            </w:pPr>
            <w:r>
              <w:t xml:space="preserve">Publication-Warrington 2000</w:t>
            </w:r>
          </w:p>
        </w:tc>
      </w:tr>
      <w:tr>
        <w:tc>
          <w:tcPr/>
          <w:p>
            <w:pPr>
              <w:pStyle w:val="Compact"/>
              <w:jc w:val="left"/>
            </w:pPr>
            <w:r>
              <w:t xml:space="preserve">Km</w:t>
            </w:r>
          </w:p>
        </w:tc>
        <w:tc>
          <w:tcPr/>
          <w:p>
            <w:pPr>
              <w:pStyle w:val="Compact"/>
              <w:jc w:val="left"/>
            </w:pPr>
            <w:r>
              <w:t xml:space="preserve">23.1 µmol/l</w:t>
            </w:r>
          </w:p>
        </w:tc>
        <w:tc>
          <w:tcPr/>
          <w:p>
            <w:pPr>
              <w:pStyle w:val="Compact"/>
              <w:jc w:val="left"/>
            </w:pPr>
            <w:r>
              <w:t xml:space="preserve">Publication-Warrington 2000</w:t>
            </w:r>
          </w:p>
        </w:tc>
      </w:tr>
      <w:tr>
        <w:tc>
          <w:tcPr/>
          <w:p>
            <w:pPr>
              <w:pStyle w:val="Compact"/>
              <w:jc w:val="left"/>
            </w:pPr>
            <w:r>
              <w:t xml:space="preserve">kcat</w:t>
            </w:r>
          </w:p>
        </w:tc>
        <w:tc>
          <w:tcPr/>
          <w:p>
            <w:pPr>
              <w:pStyle w:val="Compact"/>
              <w:jc w:val="left"/>
            </w:pPr>
            <w:r>
              <w:t xml:space="preserve">1.6232116026 1/min</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r>
    </w:tbl>
    <w:bookmarkEnd w:id="33"/>
    <w:bookmarkEnd w:id="34"/>
    <w:bookmarkStart w:id="36" w:name="metabolizing-enzyme-cyp2c9-warrington"/>
    <w:p>
      <w:pPr>
        <w:pStyle w:val="Heading5"/>
      </w:pPr>
      <w:r>
        <w:t xml:space="preserve">Metabolizing Enzyme: CYP2C9-Warrington</w:t>
      </w:r>
    </w:p>
    <w:p>
      <w:pPr>
        <w:pStyle w:val="FirstParagraph"/>
      </w:pPr>
      <w:r>
        <w:t xml:space="preserve">Molecule: CYP2C9</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348"/>
        <w:gridCol w:w="1263"/>
        <w:gridCol w:w="530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0.02 pmol/min/pmol rec. enzyme</w:t>
            </w:r>
          </w:p>
        </w:tc>
        <w:tc>
          <w:tcPr/>
          <w:p>
            <w:pPr>
              <w:pStyle w:val="Compact"/>
              <w:jc w:val="left"/>
            </w:pPr>
            <w:r>
              <w:t xml:space="preserve">Publication-Warrington 2000</w:t>
            </w:r>
          </w:p>
        </w:tc>
      </w:tr>
      <w:tr>
        <w:tc>
          <w:tcPr/>
          <w:p>
            <w:pPr>
              <w:pStyle w:val="Compact"/>
              <w:jc w:val="left"/>
            </w:pPr>
            <w:r>
              <w:t xml:space="preserve">Km</w:t>
            </w:r>
          </w:p>
        </w:tc>
        <w:tc>
          <w:tcPr/>
          <w:p>
            <w:pPr>
              <w:pStyle w:val="Compact"/>
              <w:jc w:val="left"/>
            </w:pPr>
            <w:r>
              <w:t xml:space="preserve">9.6 µmol/l</w:t>
            </w:r>
          </w:p>
        </w:tc>
        <w:tc>
          <w:tcPr/>
          <w:p>
            <w:pPr>
              <w:pStyle w:val="Compact"/>
              <w:jc w:val="left"/>
            </w:pPr>
            <w:r>
              <w:t xml:space="preserve">Publication-Warrington 2000</w:t>
            </w:r>
          </w:p>
        </w:tc>
      </w:tr>
      <w:tr>
        <w:tc>
          <w:tcPr/>
          <w:p>
            <w:pPr>
              <w:pStyle w:val="Compact"/>
              <w:jc w:val="left"/>
            </w:pPr>
            <w:r>
              <w:t xml:space="preserve">kcat</w:t>
            </w:r>
          </w:p>
        </w:tc>
        <w:tc>
          <w:tcPr/>
          <w:p>
            <w:pPr>
              <w:pStyle w:val="Compact"/>
              <w:jc w:val="left"/>
            </w:pPr>
            <w:r>
              <w:t xml:space="preserve">3.2171312254 1/min</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r>
    </w:tbl>
    <w:bookmarkEnd w:id="35"/>
    <w:bookmarkEnd w:id="36"/>
    <w:bookmarkStart w:id="38" w:name="metabolizing-enzyme-cyp3a4-warrington"/>
    <w:p>
      <w:pPr>
        <w:pStyle w:val="Heading5"/>
      </w:pPr>
      <w:r>
        <w:t xml:space="preserve">Metabolizing Enzyme: CYP3A4-Warrington</w:t>
      </w:r>
    </w:p>
    <w:p>
      <w:pPr>
        <w:pStyle w:val="FirstParagraph"/>
      </w:pPr>
      <w:r>
        <w:t xml:space="preserve">Molecule: CYP3A4</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1306"/>
        <w:gridCol w:w="1469"/>
        <w:gridCol w:w="5143"/>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Vmax/recombinant enzyme</w:t>
            </w:r>
          </w:p>
        </w:tc>
        <w:tc>
          <w:tcPr/>
          <w:p>
            <w:pPr>
              <w:pStyle w:val="Compact"/>
              <w:jc w:val="left"/>
            </w:pPr>
            <w:r>
              <w:t xml:space="preserve">0.16918611 pmol/min/pmol rec. enzyme</w:t>
            </w:r>
          </w:p>
        </w:tc>
        <w:tc>
          <w:tcPr/>
          <w:p>
            <w:pPr>
              <w:pStyle w:val="Compact"/>
              <w:jc w:val="left"/>
            </w:pPr>
            <w:r>
              <w:t xml:space="preserve">Publication-Warrington 2000</w:t>
            </w:r>
          </w:p>
        </w:tc>
      </w:tr>
      <w:tr>
        <w:tc>
          <w:tcPr/>
          <w:p>
            <w:pPr>
              <w:pStyle w:val="Compact"/>
              <w:jc w:val="left"/>
            </w:pPr>
            <w:r>
              <w:t xml:space="preserve">Km</w:t>
            </w:r>
          </w:p>
        </w:tc>
        <w:tc>
          <w:tcPr/>
          <w:p>
            <w:pPr>
              <w:pStyle w:val="Compact"/>
              <w:jc w:val="left"/>
            </w:pPr>
            <w:r>
              <w:t xml:space="preserve">23.1 µmol/l</w:t>
            </w:r>
          </w:p>
        </w:tc>
        <w:tc>
          <w:tcPr/>
          <w:p>
            <w:pPr>
              <w:pStyle w:val="Compact"/>
              <w:jc w:val="left"/>
            </w:pPr>
            <w:r>
              <w:t xml:space="preserve">Publication-Warrington 2000</w:t>
            </w:r>
          </w:p>
        </w:tc>
      </w:tr>
      <w:tr>
        <w:tc>
          <w:tcPr/>
          <w:p>
            <w:pPr>
              <w:pStyle w:val="Compact"/>
              <w:jc w:val="left"/>
            </w:pPr>
            <w:r>
              <w:t xml:space="preserve">kcat</w:t>
            </w:r>
          </w:p>
        </w:tc>
        <w:tc>
          <w:tcPr/>
          <w:p>
            <w:pPr>
              <w:pStyle w:val="Compact"/>
              <w:jc w:val="left"/>
            </w:pPr>
            <w:r>
              <w:t xml:space="preserve">27.2146958692 1/min</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r>
    </w:tbl>
    <w:bookmarkEnd w:id="37"/>
    <w:bookmarkEnd w:id="38"/>
    <w:bookmarkEnd w:id="39"/>
    <w:bookmarkEnd w:id="40"/>
    <w:bookmarkStart w:id="42" w:name="formulation-sildenafil-tablet"/>
    <w:p>
      <w:pPr>
        <w:pStyle w:val="Heading3"/>
      </w:pPr>
      <w:r>
        <w:t xml:space="preserve">Formulation: Sildenafil Tablet</w:t>
      </w:r>
    </w:p>
    <w:p>
      <w:pPr>
        <w:pStyle w:val="FirstParagraph"/>
      </w:pPr>
      <w:r>
        <w:t xml:space="preserve">Type: Weibull</w:t>
      </w:r>
    </w:p>
    <w:bookmarkStart w:id="41" w:name="parameters-4"/>
    <w:p>
      <w:pPr>
        <w:pStyle w:val="Heading4"/>
      </w:pPr>
      <w:r>
        <w:t xml:space="preserve">Parameters</w:t>
      </w:r>
    </w:p>
    <w:tbl>
      <w:tblPr>
        <w:tblStyle w:val="Table"/>
        <w:tblW w:type="pct" w:w="5000"/>
        <w:tblLook w:firstRow="1" w:lastRow="0" w:firstColumn="0" w:lastColumn="0" w:noHBand="0" w:noVBand="0" w:val="0020"/>
        <w:jc w:val="start"/>
      </w:tblPr>
      <w:tblGrid>
        <w:gridCol w:w="1490"/>
        <w:gridCol w:w="559"/>
        <w:gridCol w:w="587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Dissolution time (50% dissolved)</w:t>
            </w:r>
          </w:p>
        </w:tc>
        <w:tc>
          <w:tcPr/>
          <w:p>
            <w:pPr>
              <w:pStyle w:val="Compact"/>
              <w:jc w:val="left"/>
            </w:pPr>
            <w:r>
              <w:t xml:space="preserve">4.164698 min</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r>
      <w:tr>
        <w:tc>
          <w:tcPr/>
          <w:p>
            <w:pPr>
              <w:pStyle w:val="Compact"/>
              <w:jc w:val="left"/>
            </w:pPr>
            <w:r>
              <w:t xml:space="preserve">Lag time</w:t>
            </w:r>
          </w:p>
        </w:tc>
        <w:tc>
          <w:tcPr/>
          <w:p>
            <w:pPr>
              <w:pStyle w:val="Compact"/>
              <w:jc w:val="left"/>
            </w:pPr>
            <w:r>
              <w:t xml:space="preserve">0 min</w:t>
            </w:r>
          </w:p>
        </w:tc>
        <w:tc>
          <w:tcPr/>
          <w:p>
            <w:pPr>
              <w:pStyle w:val="Compact"/>
            </w:pPr>
          </w:p>
        </w:tc>
      </w:tr>
      <w:tr>
        <w:tc>
          <w:tcPr/>
          <w:p>
            <w:pPr>
              <w:pStyle w:val="Compact"/>
              <w:jc w:val="left"/>
            </w:pPr>
            <w:r>
              <w:t xml:space="preserve">Dissolution shape</w:t>
            </w:r>
          </w:p>
        </w:tc>
        <w:tc>
          <w:tcPr/>
          <w:p>
            <w:pPr>
              <w:pStyle w:val="Compact"/>
              <w:jc w:val="left"/>
            </w:pPr>
            <w:r>
              <w:t xml:space="preserve">1.37405</w:t>
            </w:r>
          </w:p>
        </w:tc>
        <w:tc>
          <w:tcPr/>
          <w:p>
            <w:pPr>
              <w:pStyle w:val="Compact"/>
              <w:jc w:val="left"/>
            </w:pPr>
            <w:r>
              <w:t xml:space="preserve">Parameter Identification-Parameter Identification-Value updated from</w:t>
            </w:r>
            <w:r>
              <w:t xml:space="preserve"> </w:t>
            </w:r>
            <w:r>
              <w:t xml:space="preserve">‘</w:t>
            </w:r>
            <w:r>
              <w:t xml:space="preserve">PI_All_DissoKineticFit_P calculated</w:t>
            </w:r>
            <w:r>
              <w:t xml:space="preserve">’</w:t>
            </w:r>
            <w:r>
              <w:t xml:space="preserve"> </w:t>
            </w:r>
            <w:r>
              <w:t xml:space="preserve">on 2023-03-24 17:29</w:t>
            </w: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41"/>
    <w:bookmarkEnd w:id="42"/>
    <w:bookmarkEnd w:id="43"/>
    <w:bookmarkStart w:id="50"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Sildenafil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Intravenous administration (model building)</w:t>
            </w:r>
          </w:p>
        </w:tc>
        <w:tc>
          <w:tcPr/>
          <w:p>
            <w:pPr>
              <w:pStyle w:val="Compact"/>
              <w:jc w:val="left"/>
            </w:pPr>
            <w:r>
              <w:t xml:space="preserve">1.64</w:t>
            </w:r>
          </w:p>
        </w:tc>
      </w:tr>
      <w:tr>
        <w:tc>
          <w:tcPr/>
          <w:p>
            <w:pPr>
              <w:pStyle w:val="Compact"/>
              <w:jc w:val="left"/>
            </w:pPr>
            <w:r>
              <w:t xml:space="preserve">Oral administration, solution (model building)</w:t>
            </w:r>
          </w:p>
        </w:tc>
        <w:tc>
          <w:tcPr/>
          <w:p>
            <w:pPr>
              <w:pStyle w:val="Compact"/>
              <w:jc w:val="left"/>
            </w:pPr>
            <w:r>
              <w:t xml:space="preserve">1.37</w:t>
            </w:r>
          </w:p>
        </w:tc>
      </w:tr>
      <w:tr>
        <w:tc>
          <w:tcPr/>
          <w:p>
            <w:pPr>
              <w:pStyle w:val="Compact"/>
              <w:jc w:val="left"/>
            </w:pPr>
            <w:r>
              <w:t xml:space="preserve">Oral administration, tablet (model building)</w:t>
            </w:r>
          </w:p>
        </w:tc>
        <w:tc>
          <w:tcPr/>
          <w:p>
            <w:pPr>
              <w:pStyle w:val="Compact"/>
              <w:jc w:val="left"/>
            </w:pPr>
            <w:r>
              <w:t xml:space="preserve">1.44</w:t>
            </w:r>
          </w:p>
        </w:tc>
      </w:tr>
      <w:tr>
        <w:tc>
          <w:tcPr/>
          <w:p>
            <w:pPr>
              <w:pStyle w:val="Compact"/>
              <w:jc w:val="left"/>
            </w:pPr>
            <w:r>
              <w:t xml:space="preserve">Oral administration, tablet (model verification)</w:t>
            </w:r>
          </w:p>
        </w:tc>
        <w:tc>
          <w:tcPr/>
          <w:p>
            <w:pPr>
              <w:pStyle w:val="Compact"/>
              <w:jc w:val="left"/>
            </w:pPr>
            <w:r>
              <w:t xml:space="preserve">1.82</w:t>
            </w:r>
          </w:p>
        </w:tc>
      </w:tr>
      <w:tr>
        <w:tc>
          <w:tcPr/>
          <w:p>
            <w:pPr>
              <w:pStyle w:val="Compact"/>
              <w:jc w:val="left"/>
            </w:pPr>
            <w:r>
              <w:t xml:space="preserve">All</w:t>
            </w:r>
          </w:p>
        </w:tc>
        <w:tc>
          <w:tcPr/>
          <w:p>
            <w:pPr>
              <w:pStyle w:val="Compact"/>
              <w:jc w:val="left"/>
            </w:pPr>
            <w:r>
              <w:t xml:space="preserve">1.62</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7028221"/>
            <wp:effectExtent b="0" l="0" r="0" t="0"/>
            <wp:docPr descr="" title="" id="45" name="Picture"/>
            <a:graphic>
              <a:graphicData uri="http://schemas.openxmlformats.org/drawingml/2006/picture">
                <pic:pic>
                  <pic:nvPicPr>
                    <pic:cNvPr descr="images/006_section_results-and-discussion/008_section_diagnostics-plots/2_gof_plot_predictedVsObserved.png" id="46" name="Picture"/>
                    <pic:cNvPicPr>
                      <a:picLocks noChangeArrowheads="1" noChangeAspect="1"/>
                    </pic:cNvPicPr>
                  </pic:nvPicPr>
                  <pic:blipFill>
                    <a:blip r:embed="rId44"/>
                    <a:stretch>
                      <a:fillRect/>
                    </a:stretch>
                  </pic:blipFill>
                  <pic:spPr bwMode="auto">
                    <a:xfrm>
                      <a:off x="0" y="0"/>
                      <a:ext cx="5969000" cy="7028221"/>
                    </a:xfrm>
                    <a:prstGeom prst="rect">
                      <a:avLst/>
                    </a:prstGeom>
                    <a:noFill/>
                    <a:ln w="9525">
                      <a:noFill/>
                      <a:headEnd/>
                      <a:tailEnd/>
                    </a:ln>
                  </pic:spPr>
                </pic:pic>
              </a:graphicData>
            </a:graphic>
          </wp:inline>
        </w:drawing>
      </w:r>
    </w:p>
    <w:p>
      <w:pPr>
        <w:pStyle w:val="BodyText"/>
      </w:pPr>
      <w:r>
        <w:rPr>
          <w:bCs/>
          <w:b/>
        </w:rPr>
        <w:t xml:space="preserve">Figure 3-1: Sildenafil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773289"/>
            <wp:effectExtent b="0" l="0" r="0" t="0"/>
            <wp:docPr descr="" title="" id="48" name="Picture"/>
            <a:graphic>
              <a:graphicData uri="http://schemas.openxmlformats.org/drawingml/2006/picture">
                <pic:pic>
                  <pic:nvPicPr>
                    <pic:cNvPr descr="images/006_section_results-and-discussion/008_section_diagnostics-plots/3_gof_plot_residualsOverTime.png" id="49" name="Picture"/>
                    <pic:cNvPicPr>
                      <a:picLocks noChangeArrowheads="1" noChangeAspect="1"/>
                    </pic:cNvPicPr>
                  </pic:nvPicPr>
                  <pic:blipFill>
                    <a:blip r:embed="rId47"/>
                    <a:stretch>
                      <a:fillRect/>
                    </a:stretch>
                  </pic:blipFill>
                  <pic:spPr bwMode="auto">
                    <a:xfrm>
                      <a:off x="0" y="0"/>
                      <a:ext cx="5969000" cy="4773289"/>
                    </a:xfrm>
                    <a:prstGeom prst="rect">
                      <a:avLst/>
                    </a:prstGeom>
                    <a:noFill/>
                    <a:ln w="9525">
                      <a:noFill/>
                      <a:headEnd/>
                      <a:tailEnd/>
                    </a:ln>
                  </pic:spPr>
                </pic:pic>
              </a:graphicData>
            </a:graphic>
          </wp:inline>
        </w:drawing>
      </w:r>
    </w:p>
    <w:p>
      <w:pPr>
        <w:pStyle w:val="BodyText"/>
      </w:pPr>
      <w:r>
        <w:rPr>
          <w:bCs/>
          <w:b/>
        </w:rPr>
        <w:t xml:space="preserve">Figure 3-2: Sildenafil concentration in plasma</w:t>
      </w:r>
    </w:p>
    <w:p>
      <w:pPr>
        <w:pStyle w:val="BodyText"/>
      </w:pPr>
      <w:r>
        <w:t xml:space="preserve"> </w:t>
      </w:r>
    </w:p>
    <w:bookmarkEnd w:id="50"/>
    <w:bookmarkStart w:id="95"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81" w:name="model-building"/>
    <w:p>
      <w:pPr>
        <w:pStyle w:val="Heading3"/>
      </w:pPr>
      <w:r>
        <w:t xml:space="preserve">Model Building</w:t>
      </w:r>
      <w:bookmarkStart w:id="model-building" w:name="model-building"/>
      <w:bookmarkEnd w:id="model-building"/>
    </w:p>
    <w:br w:type="page"/>
    <w:p>
      <w:pPr>
        <w:pStyle w:val="FirstParagraph"/>
      </w:pPr>
      <w:bookmarkStart w:id="figure-3-3" w:name="figure-3-3"/>
      <w:bookmarkEnd w:id="figure-3-3"/>
    </w:p>
    <w:p>
      <w:pPr>
        <w:pStyle w:val="BodyText"/>
      </w:pPr>
      <w:r>
        <w:drawing>
          <wp:inline>
            <wp:extent cx="5969000" cy="4853513"/>
            <wp:effectExtent b="0" l="0" r="0" t="0"/>
            <wp:docPr descr="" title="" id="52" name="Picture"/>
            <a:graphic>
              <a:graphicData uri="http://schemas.openxmlformats.org/drawingml/2006/picture">
                <pic:pic>
                  <pic:nvPicPr>
                    <pic:cNvPr descr="images/006_section_results-and-discussion/009_section_ct-profiles/010_section_model-building/1_time_profile_plot_Sildenafil_IV_20mg.png" id="53" name="Picture"/>
                    <pic:cNvPicPr>
                      <a:picLocks noChangeArrowheads="1" noChangeAspect="1"/>
                    </pic:cNvPicPr>
                  </pic:nvPicPr>
                  <pic:blipFill>
                    <a:blip r:embed="rId51"/>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6075964"/>
            <wp:effectExtent b="0" l="0" r="0" t="0"/>
            <wp:docPr descr="" title="" id="55" name="Picture"/>
            <a:graphic>
              <a:graphicData uri="http://schemas.openxmlformats.org/drawingml/2006/picture">
                <pic:pic>
                  <pic:nvPicPr>
                    <pic:cNvPr descr="images/006_section_results-and-discussion/009_section_ct-profiles/010_section_model-building/2_time_profile_plot_Sildenafil_IV_25mg.png" id="56" name="Picture"/>
                    <pic:cNvPicPr>
                      <a:picLocks noChangeArrowheads="1" noChangeAspect="1"/>
                    </pic:cNvPicPr>
                  </pic:nvPicPr>
                  <pic:blipFill>
                    <a:blip r:embed="rId54"/>
                    <a:stretch>
                      <a:fillRect/>
                    </a:stretch>
                  </pic:blipFill>
                  <pic:spPr bwMode="auto">
                    <a:xfrm>
                      <a:off x="0" y="0"/>
                      <a:ext cx="5969000" cy="6075964"/>
                    </a:xfrm>
                    <a:prstGeom prst="rect">
                      <a:avLst/>
                    </a:prstGeom>
                    <a:noFill/>
                    <a:ln w="9525">
                      <a:noFill/>
                      <a:headEnd/>
                      <a:tailEnd/>
                    </a:ln>
                  </pic:spPr>
                </pic:pic>
              </a:graphicData>
            </a:graphic>
          </wp:inline>
        </w:drawing>
      </w:r>
    </w:p>
    <w:p>
      <w:pPr>
        <w:pStyle w:val="BodyText"/>
      </w:pPr>
      <w:r>
        <w:rPr>
          <w:bCs/>
          <w:b/>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853513"/>
            <wp:effectExtent b="0" l="0" r="0" t="0"/>
            <wp:docPr descr="" title="" id="58" name="Picture"/>
            <a:graphic>
              <a:graphicData uri="http://schemas.openxmlformats.org/drawingml/2006/picture">
                <pic:pic>
                  <pic:nvPicPr>
                    <pic:cNvPr descr="images/006_section_results-and-discussion/009_section_ct-profiles/010_section_model-building/3_time_profile_plot_Sildenafil_IV_40mg.png" id="59" name="Picture"/>
                    <pic:cNvPicPr>
                      <a:picLocks noChangeArrowheads="1" noChangeAspect="1"/>
                    </pic:cNvPicPr>
                  </pic:nvPicPr>
                  <pic:blipFill>
                    <a:blip r:embed="rId57"/>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853513"/>
            <wp:effectExtent b="0" l="0" r="0" t="0"/>
            <wp:docPr descr="" title="" id="61" name="Picture"/>
            <a:graphic>
              <a:graphicData uri="http://schemas.openxmlformats.org/drawingml/2006/picture">
                <pic:pic>
                  <pic:nvPicPr>
                    <pic:cNvPr descr="images/006_section_results-and-discussion/009_section_ct-profiles/010_section_model-building/4_time_profile_plot_Sildenafil_IV_50mg.png" id="62" name="Picture"/>
                    <pic:cNvPicPr>
                      <a:picLocks noChangeArrowheads="1" noChangeAspect="1"/>
                    </pic:cNvPicPr>
                  </pic:nvPicPr>
                  <pic:blipFill>
                    <a:blip r:embed="rId60"/>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853513"/>
            <wp:effectExtent b="0" l="0" r="0" t="0"/>
            <wp:docPr descr="" title="" id="64" name="Picture"/>
            <a:graphic>
              <a:graphicData uri="http://schemas.openxmlformats.org/drawingml/2006/picture">
                <pic:pic>
                  <pic:nvPicPr>
                    <pic:cNvPr descr="images/006_section_results-and-discussion/009_section_ct-profiles/010_section_model-building/5_time_profile_plot_Sildenafil_IV_80mg.png" id="65" name="Picture"/>
                    <pic:cNvPicPr>
                      <a:picLocks noChangeArrowheads="1" noChangeAspect="1"/>
                    </pic:cNvPicPr>
                  </pic:nvPicPr>
                  <pic:blipFill>
                    <a:blip r:embed="rId63"/>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r w:type="page"/>
    <w:p>
      <w:pPr>
        <w:pStyle w:val="BodyText"/>
      </w:pPr>
      <w:bookmarkStart w:id="figure-3-8" w:name="figure-3-8"/>
      <w:bookmarkEnd w:id="figure-3-8"/>
    </w:p>
    <w:p>
      <w:pPr>
        <w:pStyle w:val="BodyText"/>
      </w:pPr>
      <w:r>
        <w:drawing>
          <wp:inline>
            <wp:extent cx="5969000" cy="4853513"/>
            <wp:effectExtent b="0" l="0" r="0" t="0"/>
            <wp:docPr descr="" title="" id="67" name="Picture"/>
            <a:graphic>
              <a:graphicData uri="http://schemas.openxmlformats.org/drawingml/2006/picture">
                <pic:pic>
                  <pic:nvPicPr>
                    <pic:cNvPr descr="images/006_section_results-and-discussion/009_section_ct-profiles/010_section_model-building/6_time_profile_plot_Sildenafil_Oral_solution.png" id="68" name="Picture"/>
                    <pic:cNvPicPr>
                      <a:picLocks noChangeArrowheads="1" noChangeAspect="1"/>
                    </pic:cNvPicPr>
                  </pic:nvPicPr>
                  <pic:blipFill>
                    <a:blip r:embed="rId66"/>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4853513"/>
            <wp:effectExtent b="0" l="0" r="0" t="0"/>
            <wp:docPr descr="" title="" id="70" name="Picture"/>
            <a:graphic>
              <a:graphicData uri="http://schemas.openxmlformats.org/drawingml/2006/picture">
                <pic:pic>
                  <pic:nvPicPr>
                    <pic:cNvPr descr="images/006_section_results-and-discussion/009_section_ct-profiles/010_section_model-building/9_time_profile_plot_Sildenafil_Tablet_SD_100mg_fasted.png" id="71" name="Picture"/>
                    <pic:cNvPicPr>
                      <a:picLocks noChangeArrowheads="1" noChangeAspect="1"/>
                    </pic:cNvPicPr>
                  </pic:nvPicPr>
                  <pic:blipFill>
                    <a:blip r:embed="rId69"/>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4853513"/>
            <wp:effectExtent b="0" l="0" r="0" t="0"/>
            <wp:docPr descr="" title="" id="73" name="Picture"/>
            <a:graphic>
              <a:graphicData uri="http://schemas.openxmlformats.org/drawingml/2006/picture">
                <pic:pic>
                  <pic:nvPicPr>
                    <pic:cNvPr descr="images/006_section_results-and-discussion/009_section_ct-profiles/010_section_model-building/11_time_profile_plot_Sildenafil_Tablet_SD_20mg_fasted.png" id="74" name="Picture"/>
                    <pic:cNvPicPr>
                      <a:picLocks noChangeArrowheads="1" noChangeAspect="1"/>
                    </pic:cNvPicPr>
                  </pic:nvPicPr>
                  <pic:blipFill>
                    <a:blip r:embed="rId72"/>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3-10: Time Profile Analysis</w:t>
      </w:r>
    </w:p>
    <w:p>
      <w:pPr>
        <w:pStyle w:val="BodyText"/>
      </w:pPr>
      <w:r>
        <w:t xml:space="preserve"> </w:t>
      </w:r>
    </w:p>
    <w:br w:type="page"/>
    <w:p>
      <w:pPr>
        <w:pStyle w:val="BodyText"/>
      </w:pPr>
      <w:bookmarkStart w:id="figure-3-11" w:name="figure-3-11"/>
      <w:bookmarkEnd w:id="figure-3-11"/>
    </w:p>
    <w:p>
      <w:pPr>
        <w:pStyle w:val="BodyText"/>
      </w:pPr>
      <w:r>
        <w:drawing>
          <wp:inline>
            <wp:extent cx="5969000" cy="5464738"/>
            <wp:effectExtent b="0" l="0" r="0" t="0"/>
            <wp:docPr descr="" title="" id="76" name="Picture"/>
            <a:graphic>
              <a:graphicData uri="http://schemas.openxmlformats.org/drawingml/2006/picture">
                <pic:pic>
                  <pic:nvPicPr>
                    <pic:cNvPr descr="images/006_section_results-and-discussion/009_section_ct-profiles/010_section_model-building/12_time_profile_plot_Sildenafil_Tablet_SD_25mg_fasted.png" id="77" name="Picture"/>
                    <pic:cNvPicPr>
                      <a:picLocks noChangeArrowheads="1" noChangeAspect="1"/>
                    </pic:cNvPicPr>
                  </pic:nvPicPr>
                  <pic:blipFill>
                    <a:blip r:embed="rId75"/>
                    <a:stretch>
                      <a:fillRect/>
                    </a:stretch>
                  </pic:blipFill>
                  <pic:spPr bwMode="auto">
                    <a:xfrm>
                      <a:off x="0" y="0"/>
                      <a:ext cx="5969000" cy="5464738"/>
                    </a:xfrm>
                    <a:prstGeom prst="rect">
                      <a:avLst/>
                    </a:prstGeom>
                    <a:noFill/>
                    <a:ln w="9525">
                      <a:noFill/>
                      <a:headEnd/>
                      <a:tailEnd/>
                    </a:ln>
                  </pic:spPr>
                </pic:pic>
              </a:graphicData>
            </a:graphic>
          </wp:inline>
        </w:drawing>
      </w:r>
    </w:p>
    <w:p>
      <w:pPr>
        <w:pStyle w:val="BodyText"/>
      </w:pPr>
      <w:r>
        <w:rPr>
          <w:bCs/>
          <w:b/>
        </w:rPr>
        <w:t xml:space="preserve">Figure 3-11: Time Profile Analysis</w:t>
      </w:r>
    </w:p>
    <w:p>
      <w:pPr>
        <w:pStyle w:val="BodyText"/>
      </w:pPr>
      <w:r>
        <w:t xml:space="preserve"> </w:t>
      </w:r>
    </w:p>
    <w:br w:type="page"/>
    <w:p>
      <w:pPr>
        <w:pStyle w:val="BodyText"/>
      </w:pPr>
      <w:bookmarkStart w:id="figure-3-12" w:name="figure-3-12"/>
      <w:bookmarkEnd w:id="figure-3-12"/>
    </w:p>
    <w:p>
      <w:pPr>
        <w:pStyle w:val="BodyText"/>
      </w:pPr>
      <w:r>
        <w:drawing>
          <wp:inline>
            <wp:extent cx="5969000" cy="7298415"/>
            <wp:effectExtent b="0" l="0" r="0" t="0"/>
            <wp:docPr descr="" title="" id="79" name="Picture"/>
            <a:graphic>
              <a:graphicData uri="http://schemas.openxmlformats.org/drawingml/2006/picture">
                <pic:pic>
                  <pic:nvPicPr>
                    <pic:cNvPr descr="images/006_section_results-and-discussion/009_section_ct-profiles/010_section_model-building/13_time_profile_plot_Sildenafil_Tablet_SD_50mg_fasted.png" id="80" name="Picture"/>
                    <pic:cNvPicPr>
                      <a:picLocks noChangeArrowheads="1" noChangeAspect="1"/>
                    </pic:cNvPicPr>
                  </pic:nvPicPr>
                  <pic:blipFill>
                    <a:blip r:embed="rId78"/>
                    <a:stretch>
                      <a:fillRect/>
                    </a:stretch>
                  </pic:blipFill>
                  <pic:spPr bwMode="auto">
                    <a:xfrm>
                      <a:off x="0" y="0"/>
                      <a:ext cx="5969000" cy="7298415"/>
                    </a:xfrm>
                    <a:prstGeom prst="rect">
                      <a:avLst/>
                    </a:prstGeom>
                    <a:noFill/>
                    <a:ln w="9525">
                      <a:noFill/>
                      <a:headEnd/>
                      <a:tailEnd/>
                    </a:ln>
                  </pic:spPr>
                </pic:pic>
              </a:graphicData>
            </a:graphic>
          </wp:inline>
        </w:drawing>
      </w:r>
    </w:p>
    <w:p>
      <w:pPr>
        <w:pStyle w:val="BodyText"/>
      </w:pPr>
      <w:r>
        <w:rPr>
          <w:bCs/>
          <w:b/>
        </w:rPr>
        <w:t xml:space="preserve">Figure 3-12: Time Profile Analysis</w:t>
      </w:r>
    </w:p>
    <w:p>
      <w:pPr>
        <w:pStyle w:val="BodyText"/>
      </w:pPr>
      <w:r>
        <w:t xml:space="preserve"> </w:t>
      </w:r>
    </w:p>
    <w:bookmarkEnd w:id="81"/>
    <w:bookmarkStart w:id="94" w:name="model-verification"/>
    <w:p>
      <w:pPr>
        <w:pStyle w:val="Heading3"/>
      </w:pPr>
      <w:r>
        <w:t xml:space="preserve">Model Verification</w:t>
      </w:r>
      <w:bookmarkStart w:id="model-verification" w:name="model-verification"/>
      <w:bookmarkEnd w:id="model-verification"/>
    </w:p>
    <w:br w:type="page"/>
    <w:p>
      <w:pPr>
        <w:pStyle w:val="FirstParagraph"/>
      </w:pPr>
      <w:bookmarkStart w:id="figure-3-13" w:name="figure-3-13"/>
      <w:bookmarkEnd w:id="figure-3-13"/>
    </w:p>
    <w:p>
      <w:pPr>
        <w:pStyle w:val="BodyText"/>
      </w:pPr>
      <w:r>
        <w:drawing>
          <wp:inline>
            <wp:extent cx="5969000" cy="4853513"/>
            <wp:effectExtent b="0" l="0" r="0" t="0"/>
            <wp:docPr descr="" title="" id="83" name="Picture"/>
            <a:graphic>
              <a:graphicData uri="http://schemas.openxmlformats.org/drawingml/2006/picture">
                <pic:pic>
                  <pic:nvPicPr>
                    <pic:cNvPr descr="images/006_section_results-and-discussion/009_section_ct-profiles/011_section_model-verification/7_time_profile_plot_Sildenafil_Tablet_MD_20_80mg_fasted_Test.png" id="84" name="Picture"/>
                    <pic:cNvPicPr>
                      <a:picLocks noChangeArrowheads="1" noChangeAspect="1"/>
                    </pic:cNvPicPr>
                  </pic:nvPicPr>
                  <pic:blipFill>
                    <a:blip r:embed="rId82"/>
                    <a:stretch>
                      <a:fillRect/>
                    </a:stretch>
                  </pic:blipFill>
                  <pic:spPr bwMode="auto">
                    <a:xfrm>
                      <a:off x="0" y="0"/>
                      <a:ext cx="5969000" cy="4853513"/>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r w:type="page"/>
    <w:p>
      <w:pPr>
        <w:pStyle w:val="BodyText"/>
      </w:pPr>
      <w:bookmarkStart w:id="figure-3-14" w:name="figure-3-14"/>
      <w:bookmarkEnd w:id="figure-3-14"/>
    </w:p>
    <w:p>
      <w:pPr>
        <w:pStyle w:val="BodyText"/>
      </w:pPr>
      <w:r>
        <w:drawing>
          <wp:inline>
            <wp:extent cx="5969000" cy="5464738"/>
            <wp:effectExtent b="0" l="0" r="0" t="0"/>
            <wp:docPr descr="" title="" id="86" name="Picture"/>
            <a:graphic>
              <a:graphicData uri="http://schemas.openxmlformats.org/drawingml/2006/picture">
                <pic:pic>
                  <pic:nvPicPr>
                    <pic:cNvPr descr="images/006_section_results-and-discussion/009_section_ct-profiles/011_section_model-verification/8_time_profile_plot_Sildenafil_Tablet_MD_20mg_fasted_Test.png" id="87" name="Picture"/>
                    <pic:cNvPicPr>
                      <a:picLocks noChangeArrowheads="1" noChangeAspect="1"/>
                    </pic:cNvPicPr>
                  </pic:nvPicPr>
                  <pic:blipFill>
                    <a:blip r:embed="rId85"/>
                    <a:stretch>
                      <a:fillRect/>
                    </a:stretch>
                  </pic:blipFill>
                  <pic:spPr bwMode="auto">
                    <a:xfrm>
                      <a:off x="0" y="0"/>
                      <a:ext cx="5969000" cy="5464738"/>
                    </a:xfrm>
                    <a:prstGeom prst="rect">
                      <a:avLst/>
                    </a:prstGeom>
                    <a:noFill/>
                    <a:ln w="9525">
                      <a:noFill/>
                      <a:headEnd/>
                      <a:tailEnd/>
                    </a:ln>
                  </pic:spPr>
                </pic:pic>
              </a:graphicData>
            </a:graphic>
          </wp:inline>
        </w:drawing>
      </w:r>
    </w:p>
    <w:p>
      <w:pPr>
        <w:pStyle w:val="BodyText"/>
      </w:pPr>
      <w:r>
        <w:rPr>
          <w:bCs/>
          <w:b/>
        </w:rPr>
        <w:t xml:space="preserve">Figure 3-14: Time Profile Analysis</w:t>
      </w:r>
    </w:p>
    <w:p>
      <w:pPr>
        <w:pStyle w:val="BodyText"/>
      </w:pPr>
      <w:r>
        <w:t xml:space="preserve"> </w:t>
      </w:r>
    </w:p>
    <w:br w:type="page"/>
    <w:p>
      <w:pPr>
        <w:pStyle w:val="BodyText"/>
      </w:pPr>
      <w:bookmarkStart w:id="figure-3-15" w:name="figure-3-15"/>
      <w:bookmarkEnd w:id="figure-3-15"/>
    </w:p>
    <w:p>
      <w:pPr>
        <w:pStyle w:val="BodyText"/>
      </w:pPr>
      <w:r>
        <w:drawing>
          <wp:inline>
            <wp:extent cx="5969000" cy="5464738"/>
            <wp:effectExtent b="0" l="0" r="0" t="0"/>
            <wp:docPr descr="" title="" id="89" name="Picture"/>
            <a:graphic>
              <a:graphicData uri="http://schemas.openxmlformats.org/drawingml/2006/picture">
                <pic:pic>
                  <pic:nvPicPr>
                    <pic:cNvPr descr="images/006_section_results-and-discussion/009_section_ct-profiles/011_section_model-verification/10_time_profile_plot_Sildenafil_Tablet_SD_100mg_fasted_Test.png" id="90" name="Picture"/>
                    <pic:cNvPicPr>
                      <a:picLocks noChangeArrowheads="1" noChangeAspect="1"/>
                    </pic:cNvPicPr>
                  </pic:nvPicPr>
                  <pic:blipFill>
                    <a:blip r:embed="rId88"/>
                    <a:stretch>
                      <a:fillRect/>
                    </a:stretch>
                  </pic:blipFill>
                  <pic:spPr bwMode="auto">
                    <a:xfrm>
                      <a:off x="0" y="0"/>
                      <a:ext cx="5969000" cy="5464738"/>
                    </a:xfrm>
                    <a:prstGeom prst="rect">
                      <a:avLst/>
                    </a:prstGeom>
                    <a:noFill/>
                    <a:ln w="9525">
                      <a:noFill/>
                      <a:headEnd/>
                      <a:tailEnd/>
                    </a:ln>
                  </pic:spPr>
                </pic:pic>
              </a:graphicData>
            </a:graphic>
          </wp:inline>
        </w:drawing>
      </w:r>
    </w:p>
    <w:p>
      <w:pPr>
        <w:pStyle w:val="BodyText"/>
      </w:pPr>
      <w:r>
        <w:rPr>
          <w:bCs/>
          <w:b/>
        </w:rPr>
        <w:t xml:space="preserve">Figure 3-15: Time Profile Analysis</w:t>
      </w:r>
    </w:p>
    <w:p>
      <w:pPr>
        <w:pStyle w:val="BodyText"/>
      </w:pPr>
      <w:r>
        <w:t xml:space="preserve"> </w:t>
      </w:r>
    </w:p>
    <w:br w:type="page"/>
    <w:p>
      <w:pPr>
        <w:pStyle w:val="BodyText"/>
      </w:pPr>
      <w:bookmarkStart w:id="figure-3-16" w:name="figure-3-16"/>
      <w:bookmarkEnd w:id="figure-3-16"/>
    </w:p>
    <w:p>
      <w:pPr>
        <w:pStyle w:val="BodyText"/>
      </w:pPr>
      <w:r>
        <w:drawing>
          <wp:inline>
            <wp:extent cx="5969000" cy="6687190"/>
            <wp:effectExtent b="0" l="0" r="0" t="0"/>
            <wp:docPr descr="" title="" id="92" name="Picture"/>
            <a:graphic>
              <a:graphicData uri="http://schemas.openxmlformats.org/drawingml/2006/picture">
                <pic:pic>
                  <pic:nvPicPr>
                    <pic:cNvPr descr="images/006_section_results-and-discussion/009_section_ct-profiles/011_section_model-verification/14_time_profile_plot_Sildenafil_Tablet_SD_50mg_fasted_Test.png" id="93" name="Picture"/>
                    <pic:cNvPicPr>
                      <a:picLocks noChangeArrowheads="1" noChangeAspect="1"/>
                    </pic:cNvPicPr>
                  </pic:nvPicPr>
                  <pic:blipFill>
                    <a:blip r:embed="rId91"/>
                    <a:stretch>
                      <a:fillRect/>
                    </a:stretch>
                  </pic:blipFill>
                  <pic:spPr bwMode="auto">
                    <a:xfrm>
                      <a:off x="0" y="0"/>
                      <a:ext cx="5969000" cy="6687190"/>
                    </a:xfrm>
                    <a:prstGeom prst="rect">
                      <a:avLst/>
                    </a:prstGeom>
                    <a:noFill/>
                    <a:ln w="9525">
                      <a:noFill/>
                      <a:headEnd/>
                      <a:tailEnd/>
                    </a:ln>
                  </pic:spPr>
                </pic:pic>
              </a:graphicData>
            </a:graphic>
          </wp:inline>
        </w:drawing>
      </w:r>
    </w:p>
    <w:p>
      <w:pPr>
        <w:pStyle w:val="BodyText"/>
      </w:pPr>
      <w:r>
        <w:rPr>
          <w:bCs/>
          <w:b/>
        </w:rPr>
        <w:t xml:space="preserve">Figure 3-16: Time Profile Analysis</w:t>
      </w:r>
    </w:p>
    <w:p>
      <w:pPr>
        <w:pStyle w:val="BodyText"/>
      </w:pPr>
      <w:r>
        <w:t xml:space="preserve"> </w:t>
      </w:r>
    </w:p>
    <w:bookmarkEnd w:id="94"/>
    <w:bookmarkEnd w:id="95"/>
    <w:bookmarkEnd w:id="96"/>
    <w:bookmarkStart w:id="97" w:name="conclusion"/>
    <w:p>
      <w:pPr>
        <w:pStyle w:val="Heading1"/>
      </w:pPr>
      <w:r>
        <w:t xml:space="preserve">Conclusion</w:t>
      </w:r>
      <w:bookmarkStart w:id="conclusion" w:name="conclusion"/>
      <w:bookmarkEnd w:id="conclusion"/>
    </w:p>
    <w:p>
      <w:pPr>
        <w:pStyle w:val="FirstParagraph"/>
      </w:pPr>
      <w:r>
        <w:t xml:space="preserve">The herein presented PBPK model adequately describes the pharmacokinetics of sildenafil in adults.</w:t>
      </w:r>
    </w:p>
    <w:p>
      <w:pPr>
        <w:pStyle w:val="BodyText"/>
      </w:pPr>
      <w:r>
        <w:t xml:space="preserve">In particular, it applies quantitative metabolism by CYP3A4, CYP2C9 and CYP2C19. Thus, the model is fit for purpose to be applied for the investigation of drug-drug interactions with regard to its CYP3A4 metabolism.</w:t>
      </w:r>
    </w:p>
    <w:bookmarkEnd w:id="97"/>
    <w:bookmarkStart w:id="98" w:name="references"/>
    <w:p>
      <w:pPr>
        <w:pStyle w:val="Heading1"/>
      </w:pPr>
      <w:r>
        <w:t xml:space="preserve">References</w:t>
      </w:r>
      <w:bookmarkStart w:id="main-references" w:name="main-references"/>
      <w:bookmarkEnd w:id="main-references"/>
    </w:p>
    <w:p>
      <w:pPr>
        <w:pStyle w:val="FirstParagraph"/>
      </w:pPr>
      <w:r>
        <w:rPr>
          <w:bCs/>
          <w:b/>
        </w:rPr>
        <w:t xml:space="preserve">Abdelkawy 2016</w:t>
      </w:r>
      <w:r>
        <w:t xml:space="preserve"> </w:t>
      </w:r>
      <w:r>
        <w:t xml:space="preserve">Abdelkawy KSDonia AM, Turner RB, Elbarbry F. Effects of Lemon and Seville Orange Juices on the Pharmacokinetic Properties of Sildenafil in Healthy Subjects. Drugs R D. 2016;16(3):271-8.</w:t>
      </w:r>
    </w:p>
    <w:p>
      <w:pPr>
        <w:pStyle w:val="BodyText"/>
      </w:pPr>
      <w:r>
        <w:rPr>
          <w:bCs/>
          <w:b/>
        </w:rPr>
        <w:t xml:space="preserve">Al-Ghazawi 2010</w:t>
      </w:r>
      <w:r>
        <w:t xml:space="preserve"> </w:t>
      </w:r>
      <w:r>
        <w:t xml:space="preserve">Al-Ghazawi MATutunji MS, AbuRuz SM. The effects of pummelo juice on pharmacokinetics of sildenafil in healthy adult male Jordanian volunteers. Eur J Clin Pharmacol. 2010;66(2):159-63.</w:t>
      </w:r>
    </w:p>
    <w:p>
      <w:pPr>
        <w:pStyle w:val="BodyText"/>
      </w:pPr>
      <w:r>
        <w:rPr>
          <w:bCs/>
          <w:b/>
        </w:rPr>
        <w:t xml:space="preserve">Burgess 2008</w:t>
      </w:r>
      <w:r>
        <w:t xml:space="preserve"> </w:t>
      </w:r>
      <w:r>
        <w:t xml:space="preserve">Burgess GHoogkamer H, Collings L, Dingemanse J. Mutual pharmacokinetic interactions between steady-state bosentan and sildenafil. Eur J Clin Pharmacol. 2008;64(1):43-50.</w:t>
      </w:r>
    </w:p>
    <w:p>
      <w:pPr>
        <w:pStyle w:val="BodyText"/>
      </w:pPr>
      <w:r>
        <w:rPr>
          <w:bCs/>
          <w:b/>
        </w:rPr>
        <w:t xml:space="preserve">DrugBank DB00203</w:t>
      </w:r>
      <w:r>
        <w:t xml:space="preserve"> </w:t>
      </w:r>
      <w:r>
        <w:t xml:space="preserve">https://go.drugbank.com/drugs/DB00203</w:t>
      </w:r>
    </w:p>
    <w:p>
      <w:pPr>
        <w:pStyle w:val="BodyText"/>
      </w:pPr>
      <w:r>
        <w:rPr>
          <w:bCs/>
          <w:b/>
        </w:rPr>
        <w:t xml:space="preserve">FDA 2009</w:t>
      </w:r>
      <w:r>
        <w:t xml:space="preserve"> </w:t>
      </w:r>
      <w:r>
        <w:t xml:space="preserve">Food and Drug Administration, Clinical Pharmacology and biopharmaceutics review of Revatio. 2009; https://www.accessdata.fda.gov/drugsatfda_docs/nda/2009/022473s000_ClinPharmR.pdf</w:t>
      </w:r>
    </w:p>
    <w:p>
      <w:pPr>
        <w:pStyle w:val="BodyText"/>
      </w:pPr>
      <w:r>
        <w:rPr>
          <w:bCs/>
          <w:b/>
        </w:rPr>
        <w:t xml:space="preserve">Gillen 2017</w:t>
      </w:r>
      <w:r>
        <w:t xml:space="preserve"> </w:t>
      </w:r>
      <w:r>
        <w:t xml:space="preserve">Gillen M, Yang C, Wilson D, Valdez S, Lee C, Kerr B, et al. Evaluation of Pharmacokinetic Interactions Between Lesinurad, a New Selective Urate Reabsorption Inhibitor, and CYP Enzyme Substrates Sildenafil, Amlodipine, Tolbutamide, and Repaglinide. Clin Pharmacol Drug Dev. 2017;6(4):363-76.</w:t>
      </w:r>
    </w:p>
    <w:p>
      <w:pPr>
        <w:pStyle w:val="BodyText"/>
      </w:pPr>
      <w:r>
        <w:rPr>
          <w:bCs/>
          <w:b/>
        </w:rPr>
        <w:t xml:space="preserve">Gobry 2000</w:t>
      </w:r>
      <w:r>
        <w:t xml:space="preserve"> </w:t>
      </w:r>
      <w:r>
        <w:t xml:space="preserve">Gobry V, Bouchard G, Carrupt PA, Testa B, Girault HH. Physicochemical characterization of sildenafil: ionization, lipophilicity behavior, and ionic‐partition diagram studied by two‐phase titration and electrochemistry. Helvetica Chimica Acta. 2000;83(7):1465-74.</w:t>
      </w:r>
    </w:p>
    <w:p>
      <w:pPr>
        <w:pStyle w:val="BodyText"/>
      </w:pPr>
      <w:r>
        <w:rPr>
          <w:bCs/>
          <w:b/>
        </w:rPr>
        <w:t xml:space="preserve">Gotzkowsky 2013</w:t>
      </w:r>
      <w:r>
        <w:t xml:space="preserve"> </w:t>
      </w:r>
      <w:r>
        <w:t xml:space="preserve">Gotzkowsky SK, Kumar P, Mottola D, Laliberte K. Lack of a pharmacokinetic interaction between treprostinil diolamine and sildenafil in healthy adult volunteers. J Cardiovasc Pharmacol. 2013;61(5):444-51.</w:t>
      </w:r>
    </w:p>
    <w:p>
      <w:pPr>
        <w:pStyle w:val="BodyText"/>
      </w:pPr>
      <w:r>
        <w:rPr>
          <w:bCs/>
          <w:b/>
        </w:rPr>
        <w:t xml:space="preserve">Hedaya 2006</w:t>
      </w:r>
      <w:r>
        <w:t xml:space="preserve"> </w:t>
      </w:r>
      <w:r>
        <w:t xml:space="preserve">Hedaya MA, El-Afify DR, El-Maghraby GM. The effect of ciprofloxacin and clarithromycin on sildenafil oral bioavailability in human volunteers. Biopharm Drug Dispos. 2006;27(2):103-10.</w:t>
      </w:r>
    </w:p>
    <w:p>
      <w:pPr>
        <w:pStyle w:val="BodyText"/>
      </w:pPr>
      <w:r>
        <w:rPr>
          <w:bCs/>
          <w:b/>
        </w:rPr>
        <w:t xml:space="preserve">Jetter 2002</w:t>
      </w:r>
      <w:r>
        <w:t xml:space="preserve"> </w:t>
      </w:r>
      <w:r>
        <w:t xml:space="preserve">Jetter A, Kinzig-Schippers M, Walchner-Bonjean M, Hering U, Bulitta J, Schreiner P, et al. Effects of grapefruit juice on the pharmacokinetics of sildenafil. Clin Pharmacol Ther. 2002;71(1):21-9.</w:t>
      </w:r>
    </w:p>
    <w:p>
      <w:pPr>
        <w:pStyle w:val="BodyText"/>
      </w:pPr>
      <w:r>
        <w:rPr>
          <w:bCs/>
          <w:b/>
        </w:rPr>
        <w:t xml:space="preserve">Jung 2011</w:t>
      </w:r>
      <w:r>
        <w:t xml:space="preserve"> </w:t>
      </w:r>
      <w:r>
        <w:t xml:space="preserve">Jung SY, Seo YG, Kim GK, Woo JS, Yong CS, Choi HG. Comparison of the solubility and pharmacokinetics of sildenafil salts. Arch Pharm Res. 2011;34(3):451-4.</w:t>
      </w:r>
    </w:p>
    <w:p>
      <w:pPr>
        <w:pStyle w:val="BodyText"/>
      </w:pPr>
      <w:r>
        <w:rPr>
          <w:bCs/>
          <w:b/>
        </w:rPr>
        <w:t xml:space="preserve">Kuepfer 2016</w:t>
      </w:r>
      <w:r>
        <w:t xml:space="preserve"> </w:t>
      </w:r>
      <w:r>
        <w:t xml:space="preserve">Kuepfer L, Niederalt C, Wendl T, Schlender JF, Willmann S, Lippert J, et al. Applied Concepts in PBPK Modeling: How to Build a PBPK/PD Model. CPT Pharmacometrics Syst Pharmacol. 2016;5(10):516-31.</w:t>
      </w:r>
    </w:p>
    <w:p>
      <w:pPr>
        <w:pStyle w:val="BodyText"/>
      </w:pPr>
      <w:r>
        <w:rPr>
          <w:bCs/>
          <w:b/>
        </w:rPr>
        <w:t xml:space="preserve">Lee 2021</w:t>
      </w:r>
      <w:r>
        <w:t xml:space="preserve"> </w:t>
      </w:r>
      <w:r>
        <w:t xml:space="preserve">Lee S, Kim AH, Yoon S, Lee J, Lee Y, Ji SC, et al. The utility of CYP3A activity endogenous markers for evaluating drug-drug interaction between sildenafil and CYP3A inhibitors in healthy subjects. Drug Metab Pharmacokinet. 2021;36:100368.</w:t>
      </w:r>
    </w:p>
    <w:p>
      <w:pPr>
        <w:pStyle w:val="BodyText"/>
      </w:pPr>
      <w:r>
        <w:rPr>
          <w:bCs/>
          <w:b/>
        </w:rPr>
        <w:t xml:space="preserve">Meyer 2012</w:t>
      </w:r>
      <w:r>
        <w:t xml:space="preserve"> </w:t>
      </w:r>
      <w:r>
        <w:t xml:space="preserve">Meyer M, Schneckener S, Ludewig B, Kuepfer L, Lippert J. Using expression data for quantification of active processes in physiologically based pharmacokinetic modeling. Drug Metab Dispos. 2012;40(5):892-901.</w:t>
      </w:r>
    </w:p>
    <w:p>
      <w:pPr>
        <w:pStyle w:val="BodyText"/>
      </w:pPr>
      <w:r>
        <w:rPr>
          <w:bCs/>
          <w:b/>
        </w:rPr>
        <w:t xml:space="preserve">Muirhead 2000</w:t>
      </w:r>
      <w:r>
        <w:t xml:space="preserve"> </w:t>
      </w:r>
      <w:r>
        <w:t xml:space="preserve">Muirhead GJ, Wulff MB, Fielding A, Kleinermans D, Buss N. Pharmacokinetic interactions between sildenafil and saquinavir/ritonavir. Br J Clin Pharmacol. 2000;50(2):99-107.</w:t>
      </w:r>
    </w:p>
    <w:p>
      <w:pPr>
        <w:pStyle w:val="BodyText"/>
      </w:pPr>
      <w:r>
        <w:rPr>
          <w:bCs/>
          <w:b/>
        </w:rPr>
        <w:t xml:space="preserve">Muirhead 2002a</w:t>
      </w:r>
      <w:r>
        <w:t xml:space="preserve"> </w:t>
      </w:r>
      <w:r>
        <w:t xml:space="preserve">Muirhead GJ, Rance DJ, Walker DK, Wastall P. Comparative human pharmacokinetics and metabolism of single-dose oral and intravenous sildenafil. Br J Clin Pharmacol. 2002;53 Suppl 1(Suppl 1):13s-20s.</w:t>
      </w:r>
    </w:p>
    <w:p>
      <w:pPr>
        <w:pStyle w:val="BodyText"/>
      </w:pPr>
      <w:r>
        <w:rPr>
          <w:bCs/>
          <w:b/>
        </w:rPr>
        <w:t xml:space="preserve">Muirhead 2002b</w:t>
      </w:r>
      <w:r>
        <w:t xml:space="preserve"> </w:t>
      </w:r>
      <w:r>
        <w:t xml:space="preserve">Muirhead GJ, Wilner K, Colburn W, Haug-Pihale G, Rouviex B. The effects of age and renal and hepatic impairment on the pharmacokinetics of sildenafil. Br J Clin Pharmacol. 2002;53 Suppl 1(Suppl 1):21s-30s.</w:t>
      </w:r>
    </w:p>
    <w:p>
      <w:pPr>
        <w:pStyle w:val="BodyText"/>
      </w:pPr>
      <w:r>
        <w:rPr>
          <w:bCs/>
          <w:b/>
        </w:rPr>
        <w:t xml:space="preserve">Murtadha 2021</w:t>
      </w:r>
      <w:r>
        <w:t xml:space="preserve"> </w:t>
      </w:r>
      <w:r>
        <w:t xml:space="preserve">Murtadha M, Raslan MA, Fahmy SF, Sabri NA. Changes in the Pharmacokinetics and Pharmacodynamics of Sildenafil in Cigarette and Cannabis Smokers. Pharmaceutics. 2021;13(6).</w:t>
      </w:r>
    </w:p>
    <w:p>
      <w:pPr>
        <w:pStyle w:val="BodyText"/>
      </w:pPr>
      <w:r>
        <w:rPr>
          <w:bCs/>
          <w:b/>
        </w:rPr>
        <w:t xml:space="preserve">Nichols 2002</w:t>
      </w:r>
      <w:r>
        <w:t xml:space="preserve"> </w:t>
      </w:r>
      <w:r>
        <w:t xml:space="preserve">Nichols DJ, Muirhead GJ, Harness JA. Pharmacokinetics of sildenafil after single oral doses in healthy male subjects: absolute bioavailability, food effects and dose proportionality. Br J Clin Pharmacol. 2002;53 Suppl 1(Suppl 1):5s-12s.</w:t>
      </w:r>
    </w:p>
    <w:p>
      <w:pPr>
        <w:pStyle w:val="BodyText"/>
      </w:pPr>
      <w:r>
        <w:rPr>
          <w:bCs/>
          <w:b/>
        </w:rPr>
        <w:t xml:space="preserve">Nishimura 2003</w:t>
      </w:r>
      <w:r>
        <w:t xml:space="preserve"> </w:t>
      </w:r>
      <w:r>
        <w:t xml:space="preserve">Nishimura M, Yaguti H, Yoshitsugu H, Naito S, Satoh T. Tissue distribution of mRNA expression of human cytochrome P450 isoforms assessed by high-sensitivity real-time reverse transcription PCR. Yakugaku Zasshi. 2003;123(5):369-75.</w:t>
      </w:r>
    </w:p>
    <w:p>
      <w:pPr>
        <w:pStyle w:val="BodyText"/>
      </w:pPr>
      <w:r>
        <w:rPr>
          <w:bCs/>
          <w:b/>
        </w:rPr>
        <w:t xml:space="preserve">PK-Sim Ontogeny Database Version 7.3</w:t>
      </w:r>
      <w:r>
        <w:t xml:space="preserve"> </w:t>
      </w:r>
      <w:r>
        <w:t xml:space="preserve">https://github.com/Open-Systems-Pharmacology/OSPSuite.Documentation/blob/38cf71b384cfc25cfa0ce4d2f3addfd32757e13b/PK-Sim%20Ontogeny%20Database%20Version%207.3.pdf</w:t>
      </w:r>
    </w:p>
    <w:p>
      <w:pPr>
        <w:pStyle w:val="BodyText"/>
      </w:pPr>
      <w:r>
        <w:rPr>
          <w:bCs/>
          <w:b/>
        </w:rPr>
        <w:t xml:space="preserve">Rodrigues 2003</w:t>
      </w:r>
      <w:r>
        <w:t xml:space="preserve"> </w:t>
      </w:r>
      <w:r>
        <w:t xml:space="preserve">Rodrigues E, Vilarem MJ, Ribeiro V, Maurel P, Lechner MC. Two CCAAT/enhancer binding protein sites in the cytochrome P4503A1 locus. Potential role in the glucocorticoid response. Eur J Biochem. 2003;270(3):556-64.</w:t>
      </w:r>
    </w:p>
    <w:p>
      <w:pPr>
        <w:pStyle w:val="BodyText"/>
      </w:pPr>
      <w:r>
        <w:rPr>
          <w:bCs/>
          <w:b/>
        </w:rPr>
        <w:t xml:space="preserve">Salerno 2021</w:t>
      </w:r>
      <w:r>
        <w:t xml:space="preserve"> </w:t>
      </w:r>
      <w:r>
        <w:t xml:space="preserve">Salerno SN, Edginton A, Gerhart JG, Laughon MM, Ambalavanan N, Sokol GM, et al. Physiologically-Based Pharmacokinetic Modeling Characterizes the CYP3A-Mediated Drug-Drug Interaction Between Fluconazole and Sildenafil in Infants. Clin Pharmacol Ther. 2021;109(1):253-62.</w:t>
      </w:r>
    </w:p>
    <w:p>
      <w:pPr>
        <w:pStyle w:val="BodyText"/>
      </w:pPr>
      <w:r>
        <w:rPr>
          <w:bCs/>
          <w:b/>
        </w:rPr>
        <w:t xml:space="preserve">Sawatdee 2019</w:t>
      </w:r>
      <w:r>
        <w:t xml:space="preserve"> </w:t>
      </w:r>
      <w:r>
        <w:t xml:space="preserve">Sawatdee S, Atipairin A, Sae Yoon A, Srichana T, Changsan N. Enhanced dissolution of sildenafil citrate as dry foam tablets. Pharm Dev Technol. 2019;24(1):1-11.</w:t>
      </w:r>
    </w:p>
    <w:p>
      <w:pPr>
        <w:pStyle w:val="BodyText"/>
      </w:pPr>
      <w:r>
        <w:rPr>
          <w:bCs/>
          <w:b/>
        </w:rPr>
        <w:t xml:space="preserve">Spence 2008</w:t>
      </w:r>
      <w:r>
        <w:t xml:space="preserve"> </w:t>
      </w:r>
      <w:r>
        <w:t xml:space="preserve">Spence R, Mandagere A, Dufton C, Venitz J. Pharmacokinetics and safety of ambrisentan in combination with sildenafil in healthy volunteers. J Clin Pharmacol. 2008;48(12):1451-9.</w:t>
      </w:r>
    </w:p>
    <w:p>
      <w:pPr>
        <w:pStyle w:val="BodyText"/>
      </w:pPr>
      <w:r>
        <w:rPr>
          <w:bCs/>
          <w:b/>
        </w:rPr>
        <w:t xml:space="preserve">Takano 2016</w:t>
      </w:r>
      <w:r>
        <w:t xml:space="preserve"> </w:t>
      </w:r>
      <w:r>
        <w:t xml:space="preserve">Takano J, Maeda K, Bolger MB, Sugiyama Y. The Prediction of the Relative Importance of CYP3A/P-glycoprotein to the Nonlinear Intestinal Absorption of Drugs by Advanced Compartmental Absorption and Transit Model. Drug Metab Dispos. 2016;44(11):1808-18.</w:t>
      </w:r>
    </w:p>
    <w:p>
      <w:pPr>
        <w:pStyle w:val="BodyText"/>
      </w:pPr>
      <w:r>
        <w:rPr>
          <w:bCs/>
          <w:b/>
        </w:rPr>
        <w:t xml:space="preserve">Walker 1999</w:t>
      </w:r>
      <w:r>
        <w:t xml:space="preserve"> </w:t>
      </w:r>
      <w:r>
        <w:t xml:space="preserve">Walker DK, Ackland MJ, James GC, Muirhead GJ, Rance DJ, Wastall P, et al. Pharmacokinetics and metabolism of sildenafil in mouse, rat, rabbit, dog and man. Xenobiotica. 1999;29(3):297-310.</w:t>
      </w:r>
    </w:p>
    <w:p>
      <w:pPr>
        <w:pStyle w:val="BodyText"/>
      </w:pPr>
      <w:r>
        <w:rPr>
          <w:bCs/>
          <w:b/>
        </w:rPr>
        <w:t xml:space="preserve">Wang 2008</w:t>
      </w:r>
      <w:r>
        <w:t xml:space="preserve"> </w:t>
      </w:r>
      <w:r>
        <w:t xml:space="preserve">Wang Y, Chow MS, Zuo Z. Mechanistic analysis of pH-dependent solubility and trans-membrane permeability of amphoteric compounds: application to sildenafil. Int J Pharm. 2008;352(1-2):217-24.</w:t>
      </w:r>
    </w:p>
    <w:p>
      <w:pPr>
        <w:pStyle w:val="BodyText"/>
      </w:pPr>
      <w:r>
        <w:rPr>
          <w:bCs/>
          <w:b/>
        </w:rPr>
        <w:t xml:space="preserve">Warrington 2000</w:t>
      </w:r>
      <w:r>
        <w:t xml:space="preserve"> </w:t>
      </w:r>
      <w:r>
        <w:t xml:space="preserve">Warrington JS, Shader RI, von Moltke LL, Greenblatt DJ. In vitro biotransformation of sildenafil (Viagra): identification of human cytochromes and potential drug interactions. Drug Metab Dispos. 2000;28(4):392-7.</w:t>
      </w:r>
    </w:p>
    <w:p>
      <w:pPr>
        <w:pStyle w:val="BodyText"/>
      </w:pPr>
      <w:r>
        <w:rPr>
          <w:bCs/>
          <w:b/>
        </w:rPr>
        <w:t xml:space="preserve">Willmann 2007</w:t>
      </w:r>
      <w:r>
        <w:t xml:space="preserve"> </w:t>
      </w:r>
      <w:r>
        <w:t xml:space="preserve">Willmann S, Höhn K, Edginton A, Sevestre M, Solodenko J, Weiss W, et al. Development of a physiology-based whole-body population model for assessing the influence of individual variability on the pharmacokinetics of drugs. J Pharmacokinet Pharmacodyn. 2007;34(3):401-31.</w:t>
      </w:r>
    </w:p>
    <w:p>
      <w:pPr>
        <w:pStyle w:val="BodyText"/>
      </w:pPr>
      <w:r>
        <w:rPr>
          <w:bCs/>
          <w:b/>
        </w:rPr>
        <w:t xml:space="preserve">Wilner 2002</w:t>
      </w:r>
      <w:r>
        <w:t xml:space="preserve"> </w:t>
      </w:r>
      <w:r>
        <w:t xml:space="preserve">Wilner K, Laboy L, LeBel M. The effects of cimetidine and antacid on the pharmacokinetic profile of sildenafil citrate in healthy male volunteers. Br J Clin Pharmacol. 2002;53 Suppl 1(Suppl 1):31s-6s.</w:t>
      </w:r>
    </w:p>
    <w:bookmarkEnd w:id="98"/>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82" Target="media/rId82.png" /><Relationship Type="http://schemas.openxmlformats.org/officeDocument/2006/relationships/image" Id="rId85" Target="media/rId8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Sildenafil in healthy adults</dc:title>
  <dc:creator/>
  <cp:keywords/>
  <dcterms:created xsi:type="dcterms:W3CDTF">2025-05-12T17:10:26Z</dcterms:created>
  <dcterms:modified xsi:type="dcterms:W3CDTF">2025-05-12T17:10:26Z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Planhttps://github.com/Open-Systems-Pharmacology/Sildenafil-Model/releases/tag/v1.0OSP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