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4.png" ContentType="image/png"/>
  <Override PartName="/word/media/rId47.png" ContentType="image/png"/>
  <Override PartName="/word/media/rId51.png" ContentType="image/png"/>
  <Override PartName="/word/media/rId54.png" ContentType="image/png"/>
  <Override PartName="/word/media/rId57.png" ContentType="image/png"/>
  <Override PartName="/word/media/rId60.png" ContentType="image/png"/>
  <Override PartName="/word/media/rId79.png" ContentType="image/png"/>
  <Override PartName="/word/media/rId82.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w:t>
      </w:r>
      <w:r>
        <w:t xml:space="preserve"> </w:t>
      </w:r>
      <w:r>
        <w:t xml:space="preserve">and</w:t>
      </w:r>
      <w:r>
        <w:t xml:space="preserve"> </w:t>
      </w:r>
      <w:r>
        <w:t xml:space="preserve">evaluation</w:t>
      </w:r>
      <w:r>
        <w:t xml:space="preserve"> </w:t>
      </w:r>
      <w:r>
        <w:t xml:space="preserve">of</w:t>
      </w:r>
      <w:r>
        <w:t xml:space="preserve"> </w:t>
      </w:r>
      <w:r>
        <w:t xml:space="preserve">a</w:t>
      </w:r>
      <w:r>
        <w:t xml:space="preserve"> </w:t>
      </w:r>
      <w:r>
        <w:t xml:space="preserve">PBPK</w:t>
      </w:r>
      <w:r>
        <w:t xml:space="preserve"> </w:t>
      </w:r>
      <w:r>
        <w:t xml:space="preserve">model</w:t>
      </w:r>
      <w:r>
        <w:t xml:space="preserve"> </w:t>
      </w:r>
      <w:r>
        <w:t xml:space="preserve">for</w:t>
      </w:r>
      <w:r>
        <w:t xml:space="preserve"> </w:t>
      </w:r>
      <w:r>
        <w:t xml:space="preserve">tizanidine</w:t>
      </w:r>
      <w:r>
        <w:t xml:space="preserve"> </w:t>
      </w:r>
      <w:r>
        <w:t xml:space="preserve">in</w:t>
      </w:r>
      <w:r>
        <w:t xml:space="preserve"> </w:t>
      </w:r>
      <w:r>
        <w:t xml:space="preserve">adults</w:t>
      </w:r>
    </w:p>
    <w:p>
      <w:pPr>
        <w:pStyle w:val="AbstractTitle"/>
      </w:pPr>
      <w:r>
        <w:t xml:space="preserve">Abstract</w:t>
      </w:r>
    </w:p>
    <w:tbl>
      <w:tblPr>
        <w:tblStyle w:val="Table"/>
        <w:tblW w:type="pct" w:w="5000"/>
        <w:tblLook w:firstRow="1" w:lastRow="0" w:firstColumn="0" w:lastColumn="0" w:noHBand="0" w:noVBand="0" w:val="0020"/>
        <w:jc w:val="start"/>
      </w:tblPr>
      <w:tblGrid>
        <w:gridCol w:w="3478"/>
        <w:gridCol w:w="4441"/>
      </w:tblGrid>
      <w:tr>
        <w:trPr>
          <w:tblHeader w:val="true"/>
        </w:trPr>
        <w:tc>
          <w:tcPr/>
          <w:p>
            <w:pPr>
              <w:pStyle w:val="Compact"/>
              <w:jc w:val="left"/>
            </w:pPr>
            <w:r>
              <w:t xml:space="preserve">Version</w:t>
            </w:r>
          </w:p>
        </w:tc>
        <w:tc>
          <w:tcPr/>
          <w:p>
            <w:pPr>
              <w:pStyle w:val="Compact"/>
              <w:jc w:val="left"/>
            </w:pPr>
            <w:r>
              <w:t xml:space="preserve">1.0-OSP12.0</w:t>
            </w:r>
          </w:p>
        </w:tc>
      </w:tr>
      <w:tr>
        <w:tc>
          <w:tcPr/>
          <w:p>
            <w:pPr>
              <w:pStyle w:val="Compact"/>
              <w:jc w:val="left"/>
            </w:pPr>
            <w:r>
              <w:t xml:space="preserve">based</w:t>
            </w:r>
            <w:r>
              <w:t xml:space="preserve"> </w:t>
            </w:r>
            <w:r>
              <w:t xml:space="preserve">on</w:t>
            </w:r>
            <w:r>
              <w:t xml:space="preserve"> </w:t>
            </w:r>
            <w:r>
              <w:rPr>
                <w:iCs/>
                <w:i/>
              </w:rPr>
              <w:t xml:space="preserve">Model</w:t>
            </w:r>
            <w:r>
              <w:rPr>
                <w:iCs/>
                <w:i/>
              </w:rPr>
              <w:t xml:space="preserve"> </w:t>
            </w:r>
            <w:r>
              <w:rPr>
                <w:iCs/>
                <w:i/>
              </w:rPr>
              <w:t xml:space="preserve">Snapshot</w:t>
            </w:r>
            <w:r>
              <w:t xml:space="preserve"> </w:t>
            </w:r>
            <w:r>
              <w:t xml:space="preserve">and</w:t>
            </w:r>
            <w:r>
              <w:t xml:space="preserve"> </w:t>
            </w:r>
            <w:r>
              <w:rPr>
                <w:iCs/>
                <w:i/>
              </w:rPr>
              <w:t xml:space="preserve">Evaluation</w:t>
            </w:r>
            <w:r>
              <w:rPr>
                <w:iCs/>
                <w:i/>
              </w:rPr>
              <w:t xml:space="preserve"> </w:t>
            </w:r>
            <w:r>
              <w:rPr>
                <w:iCs/>
                <w:i/>
              </w:rPr>
              <w:t xml:space="preserve">Plan</w:t>
            </w:r>
          </w:p>
        </w:tc>
        <w:tc>
          <w:tcPr/>
          <w:p>
            <w:pPr>
              <w:pStyle w:val="Compact"/>
              <w:jc w:val="left"/>
            </w:pPr>
            <w:r>
              <w:t xml:space="preserve">https://github.com/Open-Systems-Pharmacology/Tizanidine-Model/releases/tag/v1.0</w:t>
            </w:r>
          </w:p>
        </w:tc>
      </w:tr>
      <w:tr>
        <w:tc>
          <w:tcPr/>
          <w:p>
            <w:pPr>
              <w:pStyle w:val="Compact"/>
              <w:jc w:val="left"/>
            </w:pPr>
            <w:r>
              <w:t xml:space="preserve">OSP</w:t>
            </w:r>
            <w:r>
              <w:t xml:space="preserve"> </w:t>
            </w:r>
            <w:r>
              <w:t xml:space="preserve">Version</w:t>
            </w:r>
          </w:p>
        </w:tc>
        <w:tc>
          <w:tcPr/>
          <w:p>
            <w:pPr>
              <w:pStyle w:val="Compact"/>
              <w:jc w:val="left"/>
            </w:pPr>
            <w:r>
              <w:t xml:space="preserve">12.0</w:t>
            </w:r>
          </w:p>
        </w:tc>
      </w:tr>
      <w:tr>
        <w:tc>
          <w:tcPr/>
          <w:p>
            <w:pPr>
              <w:pStyle w:val="Compact"/>
              <w:jc w:val="left"/>
            </w:pPr>
            <w:r>
              <w:t xml:space="preserve">Qualification</w:t>
            </w:r>
            <w:r>
              <w:t xml:space="preserve"> </w:t>
            </w:r>
            <w:r>
              <w:t xml:space="preserve">Framework</w:t>
            </w:r>
            <w:r>
              <w:t xml:space="preserve"> </w:t>
            </w:r>
            <w:r>
              <w:t xml:space="preserve">Version</w:t>
            </w:r>
          </w:p>
        </w:tc>
        <w:tc>
          <w:tcPr/>
          <w:p>
            <w:pPr>
              <w:pStyle w:val="Compact"/>
              <w:jc w:val="left"/>
            </w:pPr>
            <w:r>
              <w:t xml:space="preserve">3.3</w:t>
            </w:r>
          </w:p>
        </w:tc>
      </w:tr>
    </w:tbl>
    <w:p>
      <w:pPr>
        <w:pStyle w:val="Abstract"/>
      </w:pPr>
      <w:r>
        <w:t xml:space="preserve">This</w:t>
      </w:r>
      <w:r>
        <w:t xml:space="preserve"> </w:t>
      </w:r>
      <w:r>
        <w:t xml:space="preserve">evaluation</w:t>
      </w:r>
      <w:r>
        <w:t xml:space="preserve"> </w:t>
      </w:r>
      <w:r>
        <w:t xml:space="preserve">report</w:t>
      </w:r>
      <w:r>
        <w:t xml:space="preserve"> </w:t>
      </w:r>
      <w:r>
        <w:t xml:space="preserve">and</w:t>
      </w:r>
      <w:r>
        <w:t xml:space="preserve"> </w:t>
      </w:r>
      <w:r>
        <w:t xml:space="preserve">the</w:t>
      </w:r>
      <w:r>
        <w:t xml:space="preserve"> </w:t>
      </w:r>
      <w:r>
        <w:t xml:space="preserve">corresponding</w:t>
      </w:r>
      <w:r>
        <w:t xml:space="preserve"> </w:t>
      </w:r>
      <w:r>
        <w:t xml:space="preserve">PK-Sim</w:t>
      </w:r>
      <w:r>
        <w:t xml:space="preserve"> </w:t>
      </w:r>
      <w:r>
        <w:t xml:space="preserve">project</w:t>
      </w:r>
      <w:r>
        <w:t xml:space="preserve"> </w:t>
      </w:r>
      <w:r>
        <w:t xml:space="preserve">file</w:t>
      </w:r>
      <w:r>
        <w:t xml:space="preserve"> </w:t>
      </w:r>
      <w:r>
        <w:t xml:space="preserve">are</w:t>
      </w:r>
      <w:r>
        <w:t xml:space="preserve"> </w:t>
      </w:r>
      <w:r>
        <w:t xml:space="preserve">filed</w:t>
      </w:r>
      <w:r>
        <w:t xml:space="preserve"> </w:t>
      </w:r>
      <w:r>
        <w:t xml:space="preserve">at:</w:t>
      </w:r>
    </w:p>
    <w:p>
      <w:pPr>
        <w:pStyle w:val="Abstract"/>
      </w:pPr>
      <w:r>
        <w:t xml:space="preserve">https://github.com/Open-Systems-Pharmacology/OSP-PBPK-Model-Library/</w:t>
      </w:r>
    </w:p>
    <w:p>
      <w:pPr>
        <w:pStyle w:val="Abstract"/>
      </w:pPr>
      <w:br w:type="page"/>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bookmarkStart w:id="introduction" w:name="introduction"/>
      <w:bookmarkEnd w:id="introduction"/>
    </w:p>
    <w:p>
      <w:pPr>
        <w:pStyle w:val="FirstParagraph"/>
      </w:pPr>
      <w:r>
        <w:t xml:space="preserve">The presented PBPK model of tizanidine has been developed to be used in a PBPK Drug-Drug-Interactions (DDI) network with tizanidine as a substrate of CYP1A2.</w:t>
      </w:r>
    </w:p>
    <w:p>
      <w:pPr>
        <w:pStyle w:val="BodyText"/>
      </w:pPr>
      <w:r>
        <w:t xml:space="preserve">Tizanidine is a centrally acting skeletal muscle relaxant generally used for the symptomatic treatment of acute painful muscle spasms and chronic spasticity resulting from diverse neurologic disorders (</w:t>
      </w:r>
      <w:hyperlink w:anchor="Xa559bd5247f9128e74e6edcc17de37648e8cde6">
        <w:r>
          <w:rPr>
            <w:rStyle w:val="Hyperlink"/>
          </w:rPr>
          <w:t xml:space="preserve">Granfors 2004</w:t>
        </w:r>
      </w:hyperlink>
      <w:r>
        <w:t xml:space="preserve">).</w:t>
      </w:r>
    </w:p>
    <w:p>
      <w:pPr>
        <w:pStyle w:val="BodyText"/>
      </w:pPr>
      <w:r>
        <w:rPr>
          <w:bCs/>
          <w:b/>
        </w:rPr>
        <w:t xml:space="preserve">Absorption</w:t>
      </w:r>
      <w:r>
        <w:t xml:space="preserve">: After oral administration of tizanidine-HCl it is absorbed fast and completely with peak plasma concentrations reached within 1 hour. Administration of tizanidine together with food increases plasma concentrations. The influence of food on the concentration-time profile is also dependent on the formulation. A capsule given with food leads to a prolonged Tmax, with a Cmax slightly lower than when the drug is given without food. In contrast, giving the tablet with food leads to higher peak concentrations while Tmax remains unchanged.</w:t>
      </w:r>
    </w:p>
    <w:p>
      <w:pPr>
        <w:pStyle w:val="BodyText"/>
      </w:pPr>
      <w:r>
        <w:rPr>
          <w:bCs/>
          <w:b/>
        </w:rPr>
        <w:t xml:space="preserve">Distribution</w:t>
      </w:r>
      <w:r>
        <w:t xml:space="preserve">: Approximately 30% is bound to plasma proteins. The concentration-time profile elicits a monophasic shape.</w:t>
      </w:r>
    </w:p>
    <w:p>
      <w:pPr>
        <w:pStyle w:val="BodyText"/>
      </w:pPr>
      <w:r>
        <w:rPr>
          <w:bCs/>
          <w:b/>
        </w:rPr>
        <w:t xml:space="preserve">Metabolism</w:t>
      </w:r>
      <w:r>
        <w:t xml:space="preserve">: Over 95% of a dose is metabolized. The main enzyme system involved in the metabolism of tizanidine is CYP1A2.</w:t>
      </w:r>
    </w:p>
    <w:p>
      <w:pPr>
        <w:pStyle w:val="BodyText"/>
      </w:pPr>
      <w:r>
        <w:rPr>
          <w:bCs/>
          <w:b/>
        </w:rPr>
        <w:t xml:space="preserve">Excretion</w:t>
      </w:r>
      <w:r>
        <w:t xml:space="preserve">: Only a minor part of the dose is recovered unchanged in the urine &lt;5%.</w:t>
      </w:r>
    </w:p>
    <w:bookmarkEnd w:id="20"/>
    <w:bookmarkStart w:id="30" w:name="methods"/>
    <w:p>
      <w:pPr>
        <w:pStyle w:val="Heading1"/>
      </w:pPr>
      <w:r>
        <w:t xml:space="preserve">Methods</w:t>
      </w:r>
      <w:bookmarkStart w:id="methods" w:name="methods"/>
      <w:bookmarkEnd w:id="methods"/>
    </w:p>
    <w:bookmarkStart w:id="21" w:name="modeling-strategy"/>
    <w:p>
      <w:pPr>
        <w:pStyle w:val="Heading2"/>
      </w:pPr>
      <w:r>
        <w:t xml:space="preserve">Modeling Strategy</w:t>
      </w:r>
      <w:bookmarkStart w:id="modeling-strategy" w:name="modeling-strategy"/>
      <w:bookmarkEnd w:id="modeling-strategy"/>
    </w:p>
    <w:p>
      <w:pPr>
        <w:pStyle w:val="FirstParagraph"/>
      </w:pPr>
      <w:r>
        <w:t xml:space="preserve">The general workflow for building an adult PBPK model has been described by Kuepfer et al. (</w:t>
      </w:r>
      <w:hyperlink w:anchor="Xa559bd5247f9128e74e6edcc17de37648e8cde6">
        <w:r>
          <w:rPr>
            <w:rStyle w:val="Hyperlink"/>
          </w:rPr>
          <w:t xml:space="preserve">Kuepfer 2016</w:t>
        </w:r>
      </w:hyperlink>
      <w:r>
        <w:t xml:space="preserve">). Relevant information on the anthropometry (height, weight) was gathered from the respective clinical study, if reported. Information on physiological parameters (e.g. blood flows, organ volumes, hematocrit) in adults was gathered from the literature and has been incorporated in PK-Sim® as described previously (</w:t>
      </w:r>
      <w:hyperlink w:anchor="Xa559bd5247f9128e74e6edcc17de37648e8cde6">
        <w:r>
          <w:rPr>
            <w:rStyle w:val="Hyperlink"/>
          </w:rPr>
          <w:t xml:space="preserve">Willmann 2007</w:t>
        </w:r>
      </w:hyperlink>
      <w:r>
        <w:t xml:space="preserve">). The applied activity and variability of plasma proteins and active processes that are integrated into PK-Sim® are described in the publicly available</w:t>
      </w:r>
      <w:r>
        <w:t xml:space="preserve"> </w:t>
      </w:r>
      <w:r>
        <w:t xml:space="preserve">‘</w:t>
      </w:r>
      <w:r>
        <w:t xml:space="preserve">PK-Sim® Ontogeny Database Version 7.3</w:t>
      </w:r>
      <w:r>
        <w:t xml:space="preserve">’</w:t>
      </w:r>
      <w:r>
        <w:t xml:space="preserve"> </w:t>
      </w:r>
      <w:r>
        <w:t xml:space="preserve">(</w:t>
      </w:r>
      <w:hyperlink w:anchor="Xa559bd5247f9128e74e6edcc17de37648e8cde6">
        <w:r>
          <w:rPr>
            <w:rStyle w:val="Hyperlink"/>
          </w:rPr>
          <w:t xml:space="preserve">PK-Sim Ontogeny Database Version 7.3</w:t>
        </w:r>
      </w:hyperlink>
      <w:r>
        <w:t xml:space="preserve">).</w:t>
      </w:r>
    </w:p>
    <w:p>
      <w:pPr>
        <w:pStyle w:val="BodyText"/>
      </w:pPr>
      <w:r>
        <w:t xml:space="preserve">Since concentration-time profiles following intravenous administration are not publicly available, model building was based on data following oral administration. In general, the following step-wise workflow was followed:</w:t>
      </w:r>
    </w:p>
    <w:p>
      <w:pPr>
        <w:numPr>
          <w:ilvl w:val="0"/>
          <w:numId w:val="1001"/>
        </w:numPr>
        <w:pStyle w:val="Compact"/>
      </w:pPr>
      <w:r>
        <w:t xml:space="preserve">Fit intrinsic CL of CYP1A2, and Weibull absorption parameters (renal elimination fixed to GFR) using data from single dose studies where 4 or 8 mg tablets where given in the fasted state to healthy volunteers. The fitting was done for each of the five tissue distribution models available in PK-Sim.</w:t>
      </w:r>
    </w:p>
    <w:p>
      <w:pPr>
        <w:numPr>
          <w:ilvl w:val="0"/>
          <w:numId w:val="1001"/>
        </w:numPr>
        <w:pStyle w:val="Compact"/>
      </w:pPr>
      <w:r>
        <w:t xml:space="preserve">Predictions for fed-state. If adjustments are necessary, only absorption relevant parameters are fitted.</w:t>
      </w:r>
    </w:p>
    <w:p>
      <w:pPr>
        <w:numPr>
          <w:ilvl w:val="1"/>
          <w:numId w:val="1002"/>
        </w:numPr>
        <w:pStyle w:val="Compact"/>
      </w:pPr>
      <w:r>
        <w:t xml:space="preserve">Tablet-Fed (2, 4, 8 mg)</w:t>
      </w:r>
    </w:p>
    <w:p>
      <w:pPr>
        <w:numPr>
          <w:ilvl w:val="1"/>
          <w:numId w:val="1002"/>
        </w:numPr>
        <w:pStyle w:val="Compact"/>
      </w:pPr>
      <w:r>
        <w:t xml:space="preserve">Capsule-Fed (4, 8 mg)</w:t>
      </w:r>
    </w:p>
    <w:p>
      <w:pPr>
        <w:numPr>
          <w:ilvl w:val="0"/>
          <w:numId w:val="1001"/>
        </w:numPr>
        <w:pStyle w:val="Compact"/>
      </w:pPr>
      <w:r>
        <w:t xml:space="preserve">Model evaluation: Predict multiple dosing of 4 mg (tablet, fasted) using the best model and parameters from the previous step. If no adjustment of parameters is necessary, move on to next step.</w:t>
      </w:r>
    </w:p>
    <w:p>
      <w:pPr>
        <w:pStyle w:val="FirstParagraph"/>
      </w:pPr>
      <w:r>
        <w:t xml:space="preserve">The predefined</w:t>
      </w:r>
      <w:r>
        <w:t xml:space="preserve"> </w:t>
      </w:r>
      <w:r>
        <w:t xml:space="preserve">“</w:t>
      </w:r>
      <w:r>
        <w:t xml:space="preserve">Standard European Male for DDI</w:t>
      </w:r>
      <w:r>
        <w:t xml:space="preserve">”</w:t>
      </w:r>
      <w:r>
        <w:t xml:space="preserve"> </w:t>
      </w:r>
      <w:r>
        <w:t xml:space="preserve">individual (age = 30 y, weight = 73 kg, height = 176 cm, BMI = 23.57 kg/m2) was used for simulations.</w:t>
      </w:r>
    </w:p>
    <w:p>
      <w:pPr>
        <w:pStyle w:val="BodyText"/>
      </w:pPr>
      <w:r>
        <w:t xml:space="preserve">Simulations of capsule administrations in fed state were carried out by adding the</w:t>
      </w:r>
      <w:r>
        <w:t xml:space="preserve"> </w:t>
      </w:r>
      <w:r>
        <w:t xml:space="preserve">“</w:t>
      </w:r>
      <w:r>
        <w:t xml:space="preserve">High-fat breakfast</w:t>
      </w:r>
      <w:r>
        <w:t xml:space="preserve">”</w:t>
      </w:r>
      <w:r>
        <w:t xml:space="preserve"> </w:t>
      </w:r>
      <w:r>
        <w:t xml:space="preserve">meal event at time = 0 in PK-Sim. Simulations of tablets administration in fed state were carried out without a food event but with adjusted dissolution profile.</w:t>
      </w:r>
    </w:p>
    <w:p>
      <w:pPr>
        <w:pStyle w:val="BodyText"/>
      </w:pPr>
      <w:r>
        <w:t xml:space="preserve">To judge the predictive variability of the model, a population simulation was carried out generating a virtual population of 2000 healthy European male subjects with the weight and age range according to</w:t>
      </w:r>
      <w:r>
        <w:t xml:space="preserve"> </w:t>
      </w:r>
      <w:hyperlink w:anchor="Xa559bd5247f9128e74e6edcc17de37648e8cde6">
        <w:r>
          <w:rPr>
            <w:rStyle w:val="Hyperlink"/>
          </w:rPr>
          <w:t xml:space="preserve">Granfors 2004</w:t>
        </w:r>
      </w:hyperlink>
      <w:r>
        <w:t xml:space="preserve"> </w:t>
      </w:r>
      <w:r>
        <w:t xml:space="preserve">(21 – 31 years, 65 – 83 kg).</w:t>
      </w:r>
    </w:p>
    <w:p>
      <w:pPr>
        <w:pStyle w:val="BodyText"/>
      </w:pPr>
      <w:r>
        <w:t xml:space="preserve">Details about input data (physicochemical,</w:t>
      </w:r>
      <w:r>
        <w:t xml:space="preserve"> </w:t>
      </w:r>
      <w:r>
        <w:rPr>
          <w:iCs/>
          <w:i/>
        </w:rPr>
        <w:t xml:space="preserve">in vitro</w:t>
      </w:r>
      <w:r>
        <w:t xml:space="preserve"> </w:t>
      </w:r>
      <w:r>
        <w:t xml:space="preserve">and clinical) can be found in</w:t>
      </w:r>
      <w:r>
        <w:t xml:space="preserve"> </w:t>
      </w:r>
      <w:hyperlink w:anchor="X681d1fae3f233cf07e1ee33c73d775b8586b96f">
        <w:r>
          <w:rPr>
            <w:rStyle w:val="Hyperlink"/>
          </w:rPr>
          <w:t xml:space="preserve">Section 2.2</w:t>
        </w:r>
      </w:hyperlink>
      <w:r>
        <w:t xml:space="preserve">.</w:t>
      </w:r>
    </w:p>
    <w:p>
      <w:pPr>
        <w:pStyle w:val="BodyText"/>
      </w:pPr>
      <w:r>
        <w:t xml:space="preserve">Details about the structural model and its parameters can be found in</w:t>
      </w:r>
      <w:r>
        <w:t xml:space="preserve"> </w:t>
      </w:r>
      <w:hyperlink w:anchor="X920e58f6eb345d17092abc826058b6950015cf7">
        <w:r>
          <w:rPr>
            <w:rStyle w:val="Hyperlink"/>
          </w:rPr>
          <w:t xml:space="preserve">Section 2.3</w:t>
        </w:r>
      </w:hyperlink>
      <w:r>
        <w:t xml:space="preserve">.</w:t>
      </w:r>
    </w:p>
    <w:bookmarkEnd w:id="21"/>
    <w:bookmarkStart w:id="24" w:name="data"/>
    <w:p>
      <w:pPr>
        <w:pStyle w:val="Heading2"/>
      </w:pPr>
      <w:r>
        <w:t xml:space="preserve">Data</w:t>
      </w:r>
      <w:bookmarkStart w:id="data" w:name="data"/>
      <w:bookmarkEnd w:id="data"/>
    </w:p>
    <w:bookmarkStart w:id="22" w:name="in-vitro-and-physico-chemical-data"/>
    <w:p>
      <w:pPr>
        <w:pStyle w:val="Heading3"/>
      </w:pPr>
      <w:r>
        <w:t xml:space="preserve">2.2.1 In vitro and physico-chemical data</w:t>
      </w:r>
    </w:p>
    <w:p>
      <w:pPr>
        <w:pStyle w:val="FirstParagraph"/>
      </w:pPr>
      <w:r>
        <w:t xml:space="preserve">A literature search was performed to collect available information on physico-chemical properties of tizanidine (</w:t>
      </w:r>
      <w:hyperlink w:anchor="table-1">
        <w:r>
          <w:rPr>
            <w:rStyle w:val="Hyperlink"/>
          </w:rPr>
          <w:t xml:space="preserve">Table 1</w:t>
        </w:r>
      </w:hyperlink>
      <w:r>
        <w:t xml:space="preserve">).</w:t>
      </w:r>
    </w:p>
    <w:tbl>
      <w:tblPr>
        <w:tblStyle w:val="Table"/>
        <w:tblW w:type="pct" w:w="5000"/>
        <w:tblLook w:firstRow="1" w:lastRow="0" w:firstColumn="0" w:lastColumn="0" w:noHBand="0" w:noVBand="0" w:val="0020"/>
        <w:jc w:val="start"/>
      </w:tblPr>
      <w:tblGrid>
        <w:gridCol w:w="2046"/>
        <w:gridCol w:w="594"/>
        <w:gridCol w:w="1056"/>
        <w:gridCol w:w="2178"/>
        <w:gridCol w:w="2046"/>
      </w:tblGrid>
      <w:tr>
        <w:trPr>
          <w:tblHeader w:val="true"/>
        </w:trPr>
        <w:tc>
          <w:tcPr/>
          <w:p>
            <w:pPr>
              <w:pStyle w:val="Compact"/>
              <w:jc w:val="left"/>
            </w:pPr>
            <w:r>
              <w:rPr>
                <w:bCs/>
                <w:b/>
              </w:rPr>
              <w:t xml:space="preserve">Parameter</w:t>
            </w:r>
          </w:p>
        </w:tc>
        <w:tc>
          <w:tcPr/>
          <w:p>
            <w:pPr>
              <w:pStyle w:val="Compact"/>
              <w:jc w:val="left"/>
            </w:pPr>
            <w:r>
              <w:rPr>
                <w:bCs/>
                <w:b/>
              </w:rPr>
              <w:t xml:space="preserve">Unit</w:t>
            </w:r>
          </w:p>
        </w:tc>
        <w:tc>
          <w:tcPr/>
          <w:p>
            <w:pPr>
              <w:pStyle w:val="Compact"/>
              <w:jc w:val="left"/>
            </w:pPr>
            <w:r>
              <w:rPr>
                <w:bCs/>
                <w:b/>
              </w:rPr>
              <w:t xml:space="preserve">Value</w:t>
            </w:r>
          </w:p>
        </w:tc>
        <w:tc>
          <w:tcPr/>
          <w:p>
            <w:pPr>
              <w:pStyle w:val="Compact"/>
              <w:jc w:val="left"/>
            </w:pPr>
            <w:r>
              <w:t xml:space="preserve">Source</w:t>
            </w:r>
          </w:p>
        </w:tc>
        <w:tc>
          <w:tcPr/>
          <w:p>
            <w:pPr>
              <w:pStyle w:val="Compact"/>
              <w:jc w:val="left"/>
            </w:pPr>
            <w:r>
              <w:rPr>
                <w:bCs/>
                <w:b/>
              </w:rPr>
              <w:t xml:space="preserve">Description</w:t>
            </w:r>
          </w:p>
        </w:tc>
      </w:tr>
      <w:tr>
        <w:tc>
          <w:tcPr/>
          <w:p>
            <w:pPr>
              <w:pStyle w:val="Compact"/>
              <w:jc w:val="left"/>
            </w:pPr>
            <w:r>
              <w:t xml:space="preserve">MW</w:t>
            </w:r>
            <w:r>
              <w:rPr>
                <w:vertAlign w:val="superscript"/>
              </w:rPr>
              <w:t xml:space="preserve">+</w:t>
            </w:r>
          </w:p>
        </w:tc>
        <w:tc>
          <w:tcPr/>
          <w:p>
            <w:pPr>
              <w:pStyle w:val="Compact"/>
              <w:jc w:val="left"/>
            </w:pPr>
            <w:r>
              <w:t xml:space="preserve">g/mol</w:t>
            </w:r>
          </w:p>
        </w:tc>
        <w:tc>
          <w:tcPr/>
          <w:p>
            <w:pPr>
              <w:pStyle w:val="Compact"/>
              <w:jc w:val="left"/>
            </w:pPr>
            <w:r>
              <w:t xml:space="preserve">253.711</w:t>
            </w:r>
          </w:p>
        </w:tc>
        <w:tc>
          <w:tcPr/>
          <w:p>
            <w:pPr>
              <w:pStyle w:val="Compact"/>
              <w:jc w:val="left"/>
            </w:pPr>
            <w:hyperlink w:anchor="Xa559bd5247f9128e74e6edcc17de37648e8cde6">
              <w:r>
                <w:rPr>
                  <w:rStyle w:val="Hyperlink"/>
                </w:rPr>
                <w:t xml:space="preserve">DrugBank DB00697</w:t>
              </w:r>
            </w:hyperlink>
          </w:p>
        </w:tc>
        <w:tc>
          <w:tcPr/>
          <w:p>
            <w:pPr>
              <w:pStyle w:val="Compact"/>
              <w:jc w:val="left"/>
            </w:pPr>
            <w:r>
              <w:t xml:space="preserve">Molecular weight</w:t>
            </w:r>
          </w:p>
        </w:tc>
      </w:tr>
      <w:tr>
        <w:tc>
          <w:tcPr/>
          <w:p>
            <w:pPr>
              <w:pStyle w:val="Compact"/>
              <w:jc w:val="left"/>
            </w:pPr>
            <w:r>
              <w:t xml:space="preserve">pK</w:t>
            </w:r>
            <w:r>
              <w:rPr>
                <w:vertAlign w:val="subscript"/>
              </w:rPr>
              <w:t xml:space="preserve">a,base</w:t>
            </w:r>
            <w:r>
              <w:rPr>
                <w:vertAlign w:val="superscript"/>
              </w:rPr>
              <w:t xml:space="preserve">+</w:t>
            </w:r>
          </w:p>
        </w:tc>
        <w:tc>
          <w:tcPr/>
          <w:p>
            <w:pPr>
              <w:pStyle w:val="Compact"/>
            </w:pPr>
          </w:p>
        </w:tc>
        <w:tc>
          <w:tcPr/>
          <w:p>
            <w:pPr>
              <w:pStyle w:val="Compact"/>
              <w:jc w:val="left"/>
            </w:pPr>
            <w:r>
              <w:t xml:space="preserve">7.49</w:t>
            </w:r>
          </w:p>
        </w:tc>
        <w:tc>
          <w:tcPr/>
          <w:p>
            <w:pPr>
              <w:pStyle w:val="Compact"/>
              <w:jc w:val="left"/>
            </w:pPr>
            <w:hyperlink w:anchor="Xa559bd5247f9128e74e6edcc17de37648e8cde6">
              <w:r>
                <w:rPr>
                  <w:rStyle w:val="Hyperlink"/>
                </w:rPr>
                <w:t xml:space="preserve">DrugBank DB00697</w:t>
              </w:r>
            </w:hyperlink>
          </w:p>
        </w:tc>
        <w:tc>
          <w:tcPr/>
          <w:p>
            <w:pPr>
              <w:pStyle w:val="Compact"/>
              <w:jc w:val="left"/>
            </w:pPr>
            <w:r>
              <w:t xml:space="preserve">Acidic dissociation constant</w:t>
            </w:r>
          </w:p>
        </w:tc>
      </w:tr>
      <w:tr>
        <w:tc>
          <w:tcPr/>
          <w:p>
            <w:pPr>
              <w:pStyle w:val="Compact"/>
              <w:jc w:val="left"/>
            </w:pPr>
            <w:r>
              <w:t xml:space="preserve">Solubility (pH)</w:t>
            </w:r>
            <w:r>
              <w:rPr>
                <w:vertAlign w:val="superscript"/>
              </w:rPr>
              <w:t xml:space="preserve">+</w:t>
            </w:r>
          </w:p>
        </w:tc>
        <w:tc>
          <w:tcPr/>
          <w:p>
            <w:pPr>
              <w:pStyle w:val="Compact"/>
              <w:jc w:val="left"/>
            </w:pPr>
            <w:r>
              <w:t xml:space="preserve">mg/mL</w:t>
            </w:r>
          </w:p>
        </w:tc>
        <w:tc>
          <w:tcPr/>
          <w:p>
            <w:pPr>
              <w:pStyle w:val="Compact"/>
              <w:jc w:val="left"/>
            </w:pPr>
            <w:r>
              <w:t xml:space="preserve">0.133</w:t>
            </w:r>
            <w:r>
              <w:t xml:space="preserve">(7.4)</w:t>
            </w:r>
          </w:p>
        </w:tc>
        <w:tc>
          <w:tcPr/>
          <w:p>
            <w:pPr>
              <w:pStyle w:val="Compact"/>
              <w:jc w:val="left"/>
            </w:pPr>
            <w:hyperlink w:anchor="Xa559bd5247f9128e74e6edcc17de37648e8cde6">
              <w:r>
                <w:rPr>
                  <w:rStyle w:val="Hyperlink"/>
                </w:rPr>
                <w:t xml:space="preserve">DrugBank DB00697</w:t>
              </w:r>
            </w:hyperlink>
          </w:p>
        </w:tc>
        <w:tc>
          <w:tcPr/>
          <w:p>
            <w:pPr>
              <w:pStyle w:val="Compact"/>
              <w:jc w:val="left"/>
            </w:pPr>
            <w:r>
              <w:t xml:space="preserve">Aqueous Solubility</w:t>
            </w:r>
          </w:p>
        </w:tc>
      </w:tr>
      <w:tr>
        <w:tc>
          <w:tcPr/>
          <w:p>
            <w:pPr>
              <w:pStyle w:val="Compact"/>
              <w:jc w:val="left"/>
            </w:pPr>
            <w:r>
              <w:t xml:space="preserve">logP</w:t>
            </w:r>
            <w:r>
              <w:rPr>
                <w:vertAlign w:val="superscript"/>
              </w:rPr>
              <w:t xml:space="preserve">+</w:t>
            </w:r>
          </w:p>
        </w:tc>
        <w:tc>
          <w:tcPr/>
          <w:p>
            <w:pPr>
              <w:pStyle w:val="Compact"/>
            </w:pPr>
          </w:p>
        </w:tc>
        <w:tc>
          <w:tcPr/>
          <w:p>
            <w:pPr>
              <w:pStyle w:val="Compact"/>
              <w:jc w:val="left"/>
            </w:pPr>
            <w:r>
              <w:t xml:space="preserve">1.4</w:t>
            </w:r>
          </w:p>
        </w:tc>
        <w:tc>
          <w:tcPr/>
          <w:p>
            <w:pPr>
              <w:pStyle w:val="Compact"/>
              <w:jc w:val="left"/>
            </w:pPr>
            <w:hyperlink w:anchor="Xa559bd5247f9128e74e6edcc17de37648e8cde6">
              <w:r>
                <w:rPr>
                  <w:rStyle w:val="Hyperlink"/>
                </w:rPr>
                <w:t xml:space="preserve">DrugBank DB00697</w:t>
              </w:r>
            </w:hyperlink>
          </w:p>
        </w:tc>
        <w:tc>
          <w:tcPr/>
          <w:p>
            <w:pPr>
              <w:pStyle w:val="Compact"/>
              <w:jc w:val="left"/>
            </w:pPr>
            <w:r>
              <w:t xml:space="preserve">Partition coefficient</w:t>
            </w:r>
          </w:p>
        </w:tc>
      </w:tr>
      <w:tr>
        <w:tc>
          <w:tcPr/>
          <w:p>
            <w:pPr>
              <w:pStyle w:val="Compact"/>
              <w:jc w:val="left"/>
            </w:pPr>
            <w:r>
              <w:t xml:space="preserve">fu</w:t>
            </w:r>
            <w:r>
              <w:rPr>
                <w:vertAlign w:val="superscript"/>
              </w:rPr>
              <w:t xml:space="preserve">+</w:t>
            </w:r>
          </w:p>
        </w:tc>
        <w:tc>
          <w:tcPr/>
          <w:p>
            <w:pPr>
              <w:pStyle w:val="Compact"/>
              <w:jc w:val="left"/>
            </w:pPr>
            <w:r>
              <w:t xml:space="preserve">%</w:t>
            </w:r>
          </w:p>
        </w:tc>
        <w:tc>
          <w:tcPr/>
          <w:p>
            <w:pPr>
              <w:pStyle w:val="Compact"/>
              <w:jc w:val="left"/>
            </w:pPr>
            <w:r>
              <w:t xml:space="preserve">70</w:t>
            </w:r>
          </w:p>
        </w:tc>
        <w:tc>
          <w:tcPr/>
          <w:p>
            <w:pPr>
              <w:pStyle w:val="Compact"/>
              <w:jc w:val="left"/>
            </w:pPr>
            <w:hyperlink w:anchor="Xa559bd5247f9128e74e6edcc17de37648e8cde6">
              <w:r>
                <w:rPr>
                  <w:rStyle w:val="Hyperlink"/>
                </w:rPr>
                <w:t xml:space="preserve">SmPC tizanidine</w:t>
              </w:r>
            </w:hyperlink>
          </w:p>
        </w:tc>
        <w:tc>
          <w:tcPr/>
          <w:p>
            <w:pPr>
              <w:pStyle w:val="Compact"/>
              <w:jc w:val="left"/>
            </w:pPr>
            <w:r>
              <w:t xml:space="preserve">Fraction unbound in plasma</w:t>
            </w:r>
          </w:p>
        </w:tc>
      </w:tr>
      <w:tr>
        <w:tc>
          <w:tcPr/>
          <w:p>
            <w:pPr>
              <w:pStyle w:val="Compact"/>
              <w:jc w:val="left"/>
            </w:pPr>
            <w:r>
              <w:t xml:space="preserve">Intrinsic CL</w:t>
            </w:r>
          </w:p>
        </w:tc>
        <w:tc>
          <w:tcPr/>
          <w:p>
            <w:pPr>
              <w:pStyle w:val="Compact"/>
              <w:jc w:val="left"/>
            </w:pPr>
            <w:r>
              <w:t xml:space="preserve">ml/min/kg</w:t>
            </w:r>
          </w:p>
        </w:tc>
        <w:tc>
          <w:tcPr/>
          <w:p>
            <w:pPr>
              <w:pStyle w:val="Compact"/>
              <w:jc w:val="left"/>
            </w:pPr>
            <w:r>
              <w:t xml:space="preserve">17</w:t>
            </w:r>
          </w:p>
        </w:tc>
        <w:tc>
          <w:tcPr/>
          <w:p>
            <w:pPr>
              <w:pStyle w:val="Compact"/>
              <w:jc w:val="left"/>
            </w:pPr>
            <w:hyperlink w:anchor="Xa559bd5247f9128e74e6edcc17de37648e8cde6">
              <w:r>
                <w:rPr>
                  <w:rStyle w:val="Hyperlink"/>
                </w:rPr>
                <w:t xml:space="preserve">Granfors 2004</w:t>
              </w:r>
            </w:hyperlink>
          </w:p>
        </w:tc>
        <w:tc>
          <w:tcPr/>
          <w:p>
            <w:pPr>
              <w:pStyle w:val="Compact"/>
              <w:jc w:val="left"/>
            </w:pPr>
            <w:r>
              <w:t xml:space="preserve">Predicted from microsomal assay</w:t>
            </w:r>
          </w:p>
        </w:tc>
      </w:tr>
    </w:tbl>
    <w:p>
      <w:pPr>
        <w:pStyle w:val="BodyText"/>
      </w:pPr>
      <w:r>
        <w:rPr>
          <w:bCs/>
          <w:b/>
        </w:rPr>
        <w:t xml:space="preserve">Table 1:</w:t>
      </w:r>
      <w:r>
        <w:t xml:space="preserve"> </w:t>
      </w:r>
      <w:r>
        <w:t xml:space="preserve">Physico-chemical and</w:t>
      </w:r>
      <w:r>
        <w:t xml:space="preserve"> </w:t>
      </w:r>
      <w:r>
        <w:rPr>
          <w:iCs/>
          <w:i/>
        </w:rPr>
        <w:t xml:space="preserve">in-vitro</w:t>
      </w:r>
      <w:r>
        <w:t xml:space="preserve"> </w:t>
      </w:r>
      <w:r>
        <w:t xml:space="preserve">metabolization properties of tizanidine extracted from literature.</w:t>
      </w:r>
      <w:r>
        <w:t xml:space="preserve"> </w:t>
      </w:r>
      <w:r>
        <w:rPr>
          <w:vertAlign w:val="superscript"/>
          <w:iCs/>
          <w:i/>
        </w:rPr>
        <w:t xml:space="preserve">+</w:t>
      </w:r>
      <w:r>
        <w:rPr>
          <w:iCs/>
          <w:i/>
        </w:rPr>
        <w:t xml:space="preserve">: Value used in final model</w:t>
      </w:r>
      <w:bookmarkStart w:id="table-1" w:name="table-1"/>
      <w:bookmarkEnd w:id="table-1"/>
    </w:p>
    <w:bookmarkEnd w:id="22"/>
    <w:bookmarkStart w:id="23" w:name="clinical-data"/>
    <w:p>
      <w:pPr>
        <w:pStyle w:val="Heading3"/>
      </w:pPr>
      <w:r>
        <w:t xml:space="preserve">2.2.2 Clinical data</w:t>
      </w:r>
    </w:p>
    <w:p>
      <w:pPr>
        <w:pStyle w:val="FirstParagraph"/>
      </w:pPr>
      <w:r>
        <w:t xml:space="preserve">A literature search was performed to collect available clinical data on tizanidine (</w:t>
      </w:r>
      <w:hyperlink w:anchor="table-2">
        <w:r>
          <w:rPr>
            <w:rStyle w:val="Hyperlink"/>
          </w:rPr>
          <w:t xml:space="preserve">Table 2</w:t>
        </w:r>
      </w:hyperlink>
      <w:r>
        <w:t xml:space="preserve">).</w:t>
      </w:r>
    </w:p>
    <w:tbl>
      <w:tblPr>
        <w:tblStyle w:val="Table"/>
        <w:tblW w:type="pct" w:w="5000"/>
        <w:tblLook w:firstRow="1" w:lastRow="0" w:firstColumn="0" w:lastColumn="0" w:noHBand="0" w:noVBand="0" w:val="0020"/>
        <w:jc w:val="start"/>
      </w:tblPr>
      <w:tblGrid>
        <w:gridCol w:w="780"/>
        <w:gridCol w:w="1209"/>
        <w:gridCol w:w="468"/>
        <w:gridCol w:w="273"/>
        <w:gridCol w:w="195"/>
        <w:gridCol w:w="351"/>
        <w:gridCol w:w="1287"/>
        <w:gridCol w:w="1287"/>
        <w:gridCol w:w="1287"/>
        <w:gridCol w:w="780"/>
      </w:tblGrid>
      <w:tr>
        <w:trPr>
          <w:tblHeader w:val="true"/>
        </w:trPr>
        <w:tc>
          <w:tcPr/>
          <w:p>
            <w:pPr>
              <w:pStyle w:val="Compact"/>
              <w:jc w:val="left"/>
            </w:pPr>
            <w:r>
              <w:rPr>
                <w:bCs/>
                <w:b/>
              </w:rPr>
              <w:t xml:space="preserve">Source</w:t>
            </w:r>
          </w:p>
        </w:tc>
        <w:tc>
          <w:tcPr/>
          <w:p>
            <w:pPr>
              <w:pStyle w:val="Compact"/>
              <w:jc w:val="left"/>
            </w:pPr>
            <w:r>
              <w:rPr>
                <w:bCs/>
                <w:b/>
              </w:rPr>
              <w:t xml:space="preserve">Dose [mg]/</w:t>
            </w:r>
            <w:r>
              <w:t xml:space="preserve"> </w:t>
            </w:r>
            <w:r>
              <w:rPr>
                <w:bCs/>
                <w:b/>
              </w:rPr>
              <w:t xml:space="preserve">Schedule *</w:t>
            </w:r>
          </w:p>
        </w:tc>
        <w:tc>
          <w:tcPr/>
          <w:p>
            <w:pPr>
              <w:pStyle w:val="Compact"/>
              <w:jc w:val="left"/>
            </w:pPr>
            <w:r>
              <w:rPr>
                <w:bCs/>
                <w:b/>
              </w:rPr>
              <w:t xml:space="preserve">Pop.</w:t>
            </w:r>
          </w:p>
        </w:tc>
        <w:tc>
          <w:tcPr/>
          <w:p>
            <w:pPr>
              <w:pStyle w:val="Compact"/>
              <w:jc w:val="left"/>
            </w:pPr>
            <w:r>
              <w:t xml:space="preserve">Age [yrs] (mean or range)</w:t>
            </w:r>
          </w:p>
        </w:tc>
        <w:tc>
          <w:tcPr/>
          <w:p>
            <w:pPr>
              <w:pStyle w:val="Compact"/>
              <w:jc w:val="left"/>
            </w:pPr>
            <w:r>
              <w:t xml:space="preserve">Weight [kg] (mean or range)</w:t>
            </w:r>
          </w:p>
        </w:tc>
        <w:tc>
          <w:tcPr/>
          <w:p>
            <w:pPr>
              <w:pStyle w:val="Compact"/>
              <w:jc w:val="left"/>
            </w:pPr>
            <w:r>
              <w:rPr>
                <w:bCs/>
                <w:b/>
              </w:rPr>
              <w:t xml:space="preserve">Sex</w:t>
            </w:r>
          </w:p>
        </w:tc>
        <w:tc>
          <w:tcPr/>
          <w:p>
            <w:pPr>
              <w:pStyle w:val="Compact"/>
              <w:jc w:val="left"/>
            </w:pPr>
            <w:r>
              <w:rPr>
                <w:bCs/>
                <w:b/>
              </w:rPr>
              <w:t xml:space="preserve">N</w:t>
            </w:r>
          </w:p>
        </w:tc>
        <w:tc>
          <w:tcPr/>
          <w:p>
            <w:pPr>
              <w:pStyle w:val="Compact"/>
              <w:jc w:val="left"/>
            </w:pPr>
            <w:r>
              <w:rPr>
                <w:bCs/>
                <w:b/>
              </w:rPr>
              <w:t xml:space="preserve">Form.</w:t>
            </w:r>
          </w:p>
        </w:tc>
        <w:tc>
          <w:tcPr/>
          <w:p>
            <w:pPr>
              <w:pStyle w:val="Compact"/>
              <w:jc w:val="left"/>
            </w:pPr>
            <w:r>
              <w:t xml:space="preserve">Fasted or Fed</w:t>
            </w:r>
          </w:p>
        </w:tc>
        <w:tc>
          <w:tcPr/>
          <w:p>
            <w:pPr>
              <w:pStyle w:val="Compact"/>
              <w:jc w:val="left"/>
            </w:pPr>
            <w:r>
              <w:rPr>
                <w:bCs/>
                <w:b/>
              </w:rPr>
              <w:t xml:space="preserve">Comment</w:t>
            </w:r>
          </w:p>
        </w:tc>
      </w:tr>
      <w:tr>
        <w:tc>
          <w:tcPr/>
          <w:p>
            <w:pPr>
              <w:pStyle w:val="Compact"/>
              <w:jc w:val="left"/>
            </w:pPr>
            <w:hyperlink w:anchor="Xa559bd5247f9128e74e6edcc17de37648e8cde6">
              <w:r>
                <w:rPr>
                  <w:rStyle w:val="Hyperlink"/>
                </w:rPr>
                <w:t xml:space="preserve">Momo 2010</w:t>
              </w:r>
            </w:hyperlink>
            <w:r>
              <w:rPr>
                <w:vertAlign w:val="superscript"/>
              </w:rPr>
              <w:t xml:space="preserve">+</w:t>
            </w:r>
          </w:p>
        </w:tc>
        <w:tc>
          <w:tcPr/>
          <w:p>
            <w:pPr>
              <w:pStyle w:val="Compact"/>
              <w:jc w:val="left"/>
            </w:pPr>
            <w:r>
              <w:t xml:space="preserve">2</w:t>
            </w:r>
          </w:p>
        </w:tc>
        <w:tc>
          <w:tcPr/>
          <w:p>
            <w:pPr>
              <w:pStyle w:val="Compact"/>
              <w:jc w:val="left"/>
            </w:pPr>
            <w:r>
              <w:t xml:space="preserve">HV</w:t>
            </w:r>
          </w:p>
        </w:tc>
        <w:tc>
          <w:tcPr/>
          <w:p>
            <w:pPr>
              <w:pStyle w:val="Compact"/>
              <w:jc w:val="left"/>
            </w:pPr>
            <w:r>
              <w:t xml:space="preserve">29</w:t>
            </w:r>
          </w:p>
        </w:tc>
        <w:tc>
          <w:tcPr/>
          <w:p>
            <w:pPr>
              <w:pStyle w:val="Compact"/>
              <w:jc w:val="left"/>
            </w:pPr>
            <w:r>
              <w:t xml:space="preserve">70</w:t>
            </w:r>
          </w:p>
        </w:tc>
        <w:tc>
          <w:tcPr/>
          <w:p>
            <w:pPr>
              <w:pStyle w:val="Compact"/>
              <w:jc w:val="left"/>
            </w:pPr>
            <w:r>
              <w:t xml:space="preserve">m</w:t>
            </w:r>
          </w:p>
        </w:tc>
        <w:tc>
          <w:tcPr/>
          <w:p>
            <w:pPr>
              <w:pStyle w:val="Compact"/>
              <w:jc w:val="left"/>
            </w:pPr>
            <w:r>
              <w:t xml:space="preserve">12</w:t>
            </w:r>
          </w:p>
        </w:tc>
        <w:tc>
          <w:tcPr/>
          <w:p>
            <w:pPr>
              <w:pStyle w:val="Compact"/>
              <w:jc w:val="left"/>
            </w:pPr>
            <w:r>
              <w:t xml:space="preserve">Tablet</w:t>
            </w:r>
          </w:p>
        </w:tc>
        <w:tc>
          <w:tcPr/>
          <w:p>
            <w:pPr>
              <w:pStyle w:val="Compact"/>
              <w:jc w:val="left"/>
            </w:pPr>
            <w:r>
              <w:t xml:space="preserve">Fed</w:t>
            </w:r>
          </w:p>
        </w:tc>
        <w:tc>
          <w:tcPr/>
          <w:p>
            <w:pPr>
              <w:pStyle w:val="Compact"/>
            </w:pPr>
          </w:p>
        </w:tc>
      </w:tr>
      <w:tr>
        <w:tc>
          <w:tcPr/>
          <w:p>
            <w:pPr>
              <w:pStyle w:val="Compact"/>
              <w:jc w:val="left"/>
            </w:pPr>
            <w:hyperlink w:anchor="Xa559bd5247f9128e74e6edcc17de37648e8cde6">
              <w:r>
                <w:rPr>
                  <w:rStyle w:val="Hyperlink"/>
                </w:rPr>
                <w:t xml:space="preserve">Granfors 2004</w:t>
              </w:r>
            </w:hyperlink>
            <w:r>
              <w:rPr>
                <w:vertAlign w:val="superscript"/>
              </w:rPr>
              <w:t xml:space="preserve">+</w:t>
            </w:r>
          </w:p>
        </w:tc>
        <w:tc>
          <w:tcPr/>
          <w:p>
            <w:pPr>
              <w:pStyle w:val="Compact"/>
              <w:jc w:val="left"/>
            </w:pPr>
            <w:r>
              <w:t xml:space="preserve">4</w:t>
            </w:r>
          </w:p>
        </w:tc>
        <w:tc>
          <w:tcPr/>
          <w:p>
            <w:pPr>
              <w:pStyle w:val="Compact"/>
              <w:jc w:val="left"/>
            </w:pPr>
            <w:r>
              <w:t xml:space="preserve">HV</w:t>
            </w:r>
          </w:p>
        </w:tc>
        <w:tc>
          <w:tcPr/>
          <w:p>
            <w:pPr>
              <w:pStyle w:val="Compact"/>
              <w:jc w:val="left"/>
            </w:pPr>
            <w:r>
              <w:t xml:space="preserve">21-31</w:t>
            </w:r>
          </w:p>
        </w:tc>
        <w:tc>
          <w:tcPr/>
          <w:p>
            <w:pPr>
              <w:pStyle w:val="Compact"/>
              <w:jc w:val="left"/>
            </w:pPr>
            <w:r>
              <w:t xml:space="preserve">65-83</w:t>
            </w:r>
          </w:p>
        </w:tc>
        <w:tc>
          <w:tcPr/>
          <w:p>
            <w:pPr>
              <w:pStyle w:val="Compact"/>
              <w:jc w:val="left"/>
            </w:pPr>
            <w:r>
              <w:t xml:space="preserve">m</w:t>
            </w:r>
          </w:p>
        </w:tc>
        <w:tc>
          <w:tcPr/>
          <w:p>
            <w:pPr>
              <w:pStyle w:val="Compact"/>
              <w:jc w:val="left"/>
            </w:pPr>
            <w:r>
              <w:t xml:space="preserve">10</w:t>
            </w:r>
          </w:p>
        </w:tc>
        <w:tc>
          <w:tcPr/>
          <w:p>
            <w:pPr>
              <w:pStyle w:val="Compact"/>
              <w:jc w:val="left"/>
            </w:pPr>
            <w:r>
              <w:t xml:space="preserve">Tablet</w:t>
            </w:r>
          </w:p>
        </w:tc>
        <w:tc>
          <w:tcPr/>
          <w:p>
            <w:pPr>
              <w:pStyle w:val="Compact"/>
              <w:jc w:val="left"/>
            </w:pPr>
            <w:r>
              <w:t xml:space="preserve">Fasted</w:t>
            </w:r>
          </w:p>
        </w:tc>
        <w:tc>
          <w:tcPr/>
          <w:p>
            <w:pPr>
              <w:pStyle w:val="Compact"/>
            </w:pPr>
          </w:p>
        </w:tc>
      </w:tr>
      <w:tr>
        <w:tc>
          <w:tcPr/>
          <w:p>
            <w:pPr>
              <w:pStyle w:val="Compact"/>
              <w:jc w:val="left"/>
            </w:pPr>
            <w:hyperlink w:anchor="Xa559bd5247f9128e74e6edcc17de37648e8cde6">
              <w:r>
                <w:rPr>
                  <w:rStyle w:val="Hyperlink"/>
                </w:rPr>
                <w:t xml:space="preserve">Schellenberger 1999</w:t>
              </w:r>
            </w:hyperlink>
          </w:p>
        </w:tc>
        <w:tc>
          <w:tcPr/>
          <w:p>
            <w:pPr>
              <w:pStyle w:val="Compact"/>
              <w:jc w:val="left"/>
            </w:pPr>
            <w:r>
              <w:t xml:space="preserve">4 t.i.d.</w:t>
            </w:r>
          </w:p>
        </w:tc>
        <w:tc>
          <w:tcPr/>
          <w:p>
            <w:pPr>
              <w:pStyle w:val="Compact"/>
              <w:jc w:val="left"/>
            </w:pPr>
            <w:r>
              <w:t xml:space="preserve">HV</w:t>
            </w:r>
          </w:p>
        </w:tc>
        <w:tc>
          <w:tcPr/>
          <w:p>
            <w:pPr>
              <w:pStyle w:val="Compact"/>
              <w:jc w:val="left"/>
            </w:pPr>
            <w:r>
              <w:t xml:space="preserve">19-37</w:t>
            </w:r>
          </w:p>
        </w:tc>
        <w:tc>
          <w:tcPr/>
          <w:p>
            <w:pPr>
              <w:pStyle w:val="Compact"/>
              <w:jc w:val="left"/>
            </w:pPr>
            <w:r>
              <w:t xml:space="preserve">70-97</w:t>
            </w:r>
          </w:p>
        </w:tc>
        <w:tc>
          <w:tcPr/>
          <w:p>
            <w:pPr>
              <w:pStyle w:val="Compact"/>
              <w:jc w:val="left"/>
            </w:pPr>
            <w:r>
              <w:t xml:space="preserve">m</w:t>
            </w:r>
          </w:p>
        </w:tc>
        <w:tc>
          <w:tcPr/>
          <w:p>
            <w:pPr>
              <w:pStyle w:val="Compact"/>
              <w:jc w:val="left"/>
            </w:pPr>
            <w:r>
              <w:t xml:space="preserve">12</w:t>
            </w:r>
          </w:p>
        </w:tc>
        <w:tc>
          <w:tcPr/>
          <w:p>
            <w:pPr>
              <w:pStyle w:val="Compact"/>
              <w:jc w:val="left"/>
            </w:pPr>
            <w:r>
              <w:t xml:space="preserve">Tablet</w:t>
            </w:r>
          </w:p>
        </w:tc>
        <w:tc>
          <w:tcPr/>
          <w:p>
            <w:pPr>
              <w:pStyle w:val="Compact"/>
              <w:jc w:val="left"/>
            </w:pPr>
            <w:r>
              <w:t xml:space="preserve">Fasted</w:t>
            </w:r>
          </w:p>
        </w:tc>
        <w:tc>
          <w:tcPr/>
          <w:p>
            <w:pPr>
              <w:pStyle w:val="Compact"/>
            </w:pPr>
          </w:p>
        </w:tc>
      </w:tr>
      <w:tr>
        <w:tc>
          <w:tcPr/>
          <w:p>
            <w:pPr>
              <w:pStyle w:val="Compact"/>
              <w:jc w:val="left"/>
            </w:pPr>
            <w:hyperlink w:anchor="Xa559bd5247f9128e74e6edcc17de37648e8cde6">
              <w:r>
                <w:rPr>
                  <w:rStyle w:val="Hyperlink"/>
                </w:rPr>
                <w:t xml:space="preserve">Henney 2007</w:t>
              </w:r>
            </w:hyperlink>
            <w:r>
              <w:rPr>
                <w:vertAlign w:val="superscript"/>
              </w:rPr>
              <w:t xml:space="preserve">+</w:t>
            </w:r>
          </w:p>
        </w:tc>
        <w:tc>
          <w:tcPr/>
          <w:p>
            <w:pPr>
              <w:pStyle w:val="Compact"/>
              <w:jc w:val="left"/>
            </w:pPr>
            <w:r>
              <w:t xml:space="preserve">4</w:t>
            </w:r>
          </w:p>
        </w:tc>
        <w:tc>
          <w:tcPr/>
          <w:p>
            <w:pPr>
              <w:pStyle w:val="Compact"/>
              <w:jc w:val="left"/>
            </w:pPr>
            <w:r>
              <w:t xml:space="preserve">HV</w:t>
            </w:r>
          </w:p>
        </w:tc>
        <w:tc>
          <w:tcPr/>
          <w:p>
            <w:pPr>
              <w:pStyle w:val="Compact"/>
              <w:jc w:val="left"/>
            </w:pPr>
            <w:r>
              <w:t xml:space="preserve">26</w:t>
            </w:r>
          </w:p>
        </w:tc>
        <w:tc>
          <w:tcPr/>
          <w:p>
            <w:pPr>
              <w:pStyle w:val="Compact"/>
              <w:jc w:val="left"/>
            </w:pPr>
            <w:r>
              <w:t xml:space="preserve">71</w:t>
            </w:r>
          </w:p>
        </w:tc>
        <w:tc>
          <w:tcPr/>
          <w:p>
            <w:pPr>
              <w:pStyle w:val="Compact"/>
              <w:jc w:val="left"/>
            </w:pPr>
            <w:r>
              <w:t xml:space="preserve">m12/f6</w:t>
            </w:r>
          </w:p>
        </w:tc>
        <w:tc>
          <w:tcPr/>
          <w:p>
            <w:pPr>
              <w:pStyle w:val="Compact"/>
              <w:jc w:val="left"/>
            </w:pPr>
            <w:r>
              <w:t xml:space="preserve">18</w:t>
            </w:r>
          </w:p>
        </w:tc>
        <w:tc>
          <w:tcPr/>
          <w:p>
            <w:pPr>
              <w:pStyle w:val="Compact"/>
              <w:jc w:val="left"/>
            </w:pPr>
            <w:r>
              <w:t xml:space="preserve">Tablet /Capsule</w:t>
            </w:r>
          </w:p>
        </w:tc>
        <w:tc>
          <w:tcPr/>
          <w:p>
            <w:pPr>
              <w:pStyle w:val="Compact"/>
              <w:jc w:val="left"/>
            </w:pPr>
            <w:r>
              <w:t xml:space="preserve">Fed</w:t>
            </w:r>
          </w:p>
        </w:tc>
        <w:tc>
          <w:tcPr/>
          <w:p>
            <w:pPr>
              <w:pStyle w:val="Compact"/>
            </w:pPr>
          </w:p>
        </w:tc>
      </w:tr>
      <w:tr>
        <w:tc>
          <w:tcPr/>
          <w:p>
            <w:pPr>
              <w:pStyle w:val="Compact"/>
              <w:jc w:val="left"/>
            </w:pPr>
            <w:hyperlink w:anchor="Xa559bd5247f9128e74e6edcc17de37648e8cde6">
              <w:r>
                <w:rPr>
                  <w:rStyle w:val="Hyperlink"/>
                </w:rPr>
                <w:t xml:space="preserve">Backman 2008</w:t>
              </w:r>
            </w:hyperlink>
            <w:r>
              <w:rPr>
                <w:vertAlign w:val="superscript"/>
              </w:rPr>
              <w:t xml:space="preserve">+</w:t>
            </w:r>
          </w:p>
        </w:tc>
        <w:tc>
          <w:tcPr/>
          <w:p>
            <w:pPr>
              <w:pStyle w:val="Compact"/>
              <w:jc w:val="left"/>
            </w:pPr>
            <w:r>
              <w:t xml:space="preserve">4</w:t>
            </w:r>
          </w:p>
        </w:tc>
        <w:tc>
          <w:tcPr/>
          <w:p>
            <w:pPr>
              <w:pStyle w:val="Compact"/>
              <w:jc w:val="left"/>
            </w:pPr>
            <w:r>
              <w:t xml:space="preserve">HV</w:t>
            </w:r>
          </w:p>
        </w:tc>
        <w:tc>
          <w:tcPr/>
          <w:p>
            <w:pPr>
              <w:pStyle w:val="Compact"/>
              <w:jc w:val="left"/>
            </w:pPr>
            <w:r>
              <w:t xml:space="preserve">23</w:t>
            </w:r>
          </w:p>
        </w:tc>
        <w:tc>
          <w:tcPr/>
          <w:p>
            <w:pPr>
              <w:pStyle w:val="Compact"/>
              <w:jc w:val="left"/>
            </w:pPr>
            <w:r>
              <w:t xml:space="preserve">78</w:t>
            </w:r>
          </w:p>
        </w:tc>
        <w:tc>
          <w:tcPr/>
          <w:p>
            <w:pPr>
              <w:pStyle w:val="Compact"/>
              <w:jc w:val="left"/>
            </w:pPr>
            <w:r>
              <w:t xml:space="preserve">m</w:t>
            </w:r>
          </w:p>
        </w:tc>
        <w:tc>
          <w:tcPr/>
          <w:p>
            <w:pPr>
              <w:pStyle w:val="Compact"/>
              <w:jc w:val="left"/>
            </w:pPr>
            <w:r>
              <w:t xml:space="preserve">38</w:t>
            </w:r>
          </w:p>
        </w:tc>
        <w:tc>
          <w:tcPr/>
          <w:p>
            <w:pPr>
              <w:pStyle w:val="Compact"/>
              <w:jc w:val="left"/>
            </w:pPr>
            <w:r>
              <w:t xml:space="preserve">Tablet</w:t>
            </w:r>
          </w:p>
        </w:tc>
        <w:tc>
          <w:tcPr/>
          <w:p>
            <w:pPr>
              <w:pStyle w:val="Compact"/>
              <w:jc w:val="left"/>
            </w:pPr>
            <w:r>
              <w:t xml:space="preserve">Fasted</w:t>
            </w:r>
          </w:p>
        </w:tc>
        <w:tc>
          <w:tcPr/>
          <w:p>
            <w:pPr>
              <w:pStyle w:val="Compact"/>
              <w:jc w:val="left"/>
            </w:pPr>
            <w:r>
              <w:t xml:space="preserve">Male/female-non-smokers and male-smokers</w:t>
            </w:r>
          </w:p>
        </w:tc>
      </w:tr>
      <w:tr>
        <w:tc>
          <w:tcPr/>
          <w:p>
            <w:pPr>
              <w:pStyle w:val="Compact"/>
              <w:jc w:val="left"/>
            </w:pPr>
            <w:hyperlink w:anchor="Xa559bd5247f9128e74e6edcc17de37648e8cde6">
              <w:r>
                <w:rPr>
                  <w:rStyle w:val="Hyperlink"/>
                </w:rPr>
                <w:t xml:space="preserve">Backman 2006</w:t>
              </w:r>
            </w:hyperlink>
            <w:r>
              <w:rPr>
                <w:vertAlign w:val="superscript"/>
              </w:rPr>
              <w:t xml:space="preserve">+</w:t>
            </w:r>
          </w:p>
        </w:tc>
        <w:tc>
          <w:tcPr/>
          <w:p>
            <w:pPr>
              <w:pStyle w:val="Compact"/>
              <w:jc w:val="left"/>
            </w:pPr>
            <w:r>
              <w:t xml:space="preserve">4</w:t>
            </w:r>
          </w:p>
        </w:tc>
        <w:tc>
          <w:tcPr/>
          <w:p>
            <w:pPr>
              <w:pStyle w:val="Compact"/>
              <w:jc w:val="left"/>
            </w:pPr>
            <w:r>
              <w:t xml:space="preserve">HV</w:t>
            </w:r>
          </w:p>
        </w:tc>
        <w:tc>
          <w:tcPr/>
          <w:p>
            <w:pPr>
              <w:pStyle w:val="Compact"/>
              <w:jc w:val="left"/>
            </w:pPr>
            <w:r>
              <w:t xml:space="preserve">21</w:t>
            </w:r>
          </w:p>
        </w:tc>
        <w:tc>
          <w:tcPr/>
          <w:p>
            <w:pPr>
              <w:pStyle w:val="Compact"/>
              <w:jc w:val="left"/>
            </w:pPr>
            <w:r>
              <w:t xml:space="preserve">71</w:t>
            </w:r>
          </w:p>
        </w:tc>
        <w:tc>
          <w:tcPr/>
          <w:p>
            <w:pPr>
              <w:pStyle w:val="Compact"/>
              <w:jc w:val="left"/>
            </w:pPr>
            <w:r>
              <w:t xml:space="preserve">m6/f4</w:t>
            </w:r>
          </w:p>
        </w:tc>
        <w:tc>
          <w:tcPr/>
          <w:p>
            <w:pPr>
              <w:pStyle w:val="Compact"/>
              <w:jc w:val="left"/>
            </w:pPr>
            <w:r>
              <w:t xml:space="preserve">10</w:t>
            </w:r>
          </w:p>
        </w:tc>
        <w:tc>
          <w:tcPr/>
          <w:p>
            <w:pPr>
              <w:pStyle w:val="Compact"/>
              <w:jc w:val="left"/>
            </w:pPr>
            <w:r>
              <w:t xml:space="preserve">Tablet</w:t>
            </w:r>
          </w:p>
        </w:tc>
        <w:tc>
          <w:tcPr/>
          <w:p>
            <w:pPr>
              <w:pStyle w:val="Compact"/>
              <w:jc w:val="left"/>
            </w:pPr>
            <w:r>
              <w:t xml:space="preserve">Fasted</w:t>
            </w:r>
          </w:p>
        </w:tc>
        <w:tc>
          <w:tcPr/>
          <w:p>
            <w:pPr>
              <w:pStyle w:val="Compact"/>
              <w:jc w:val="left"/>
            </w:pPr>
            <w:r>
              <w:t xml:space="preserve">Only control group used</w:t>
            </w:r>
          </w:p>
        </w:tc>
      </w:tr>
      <w:tr>
        <w:tc>
          <w:tcPr/>
          <w:p>
            <w:pPr>
              <w:pStyle w:val="Compact"/>
              <w:jc w:val="left"/>
            </w:pPr>
            <w:hyperlink w:anchor="Xa559bd5247f9128e74e6edcc17de37648e8cde6">
              <w:r>
                <w:rPr>
                  <w:rStyle w:val="Hyperlink"/>
                </w:rPr>
                <w:t xml:space="preserve">Shah 2006</w:t>
              </w:r>
            </w:hyperlink>
          </w:p>
        </w:tc>
        <w:tc>
          <w:tcPr/>
          <w:p>
            <w:pPr>
              <w:pStyle w:val="Compact"/>
              <w:jc w:val="left"/>
            </w:pPr>
            <w:r>
              <w:t xml:space="preserve">8</w:t>
            </w:r>
          </w:p>
        </w:tc>
        <w:tc>
          <w:tcPr/>
          <w:p>
            <w:pPr>
              <w:pStyle w:val="Compact"/>
              <w:jc w:val="left"/>
            </w:pPr>
            <w:r>
              <w:t xml:space="preserve">HV</w:t>
            </w:r>
          </w:p>
        </w:tc>
        <w:tc>
          <w:tcPr/>
          <w:p>
            <w:pPr>
              <w:pStyle w:val="Compact"/>
              <w:jc w:val="left"/>
            </w:pPr>
            <w:r>
              <w:t xml:space="preserve">18-52</w:t>
            </w:r>
          </w:p>
        </w:tc>
        <w:tc>
          <w:tcPr/>
          <w:p>
            <w:pPr>
              <w:pStyle w:val="Compact"/>
              <w:jc w:val="left"/>
            </w:pPr>
            <w:r>
              <w:t xml:space="preserve">46-102</w:t>
            </w:r>
          </w:p>
        </w:tc>
        <w:tc>
          <w:tcPr/>
          <w:p>
            <w:pPr>
              <w:pStyle w:val="Compact"/>
              <w:jc w:val="left"/>
            </w:pPr>
            <w:r>
              <w:t xml:space="preserve">m54/f42</w:t>
            </w:r>
          </w:p>
        </w:tc>
        <w:tc>
          <w:tcPr/>
          <w:p>
            <w:pPr>
              <w:pStyle w:val="Compact"/>
              <w:jc w:val="left"/>
            </w:pPr>
            <w:r>
              <w:t xml:space="preserve">96</w:t>
            </w:r>
          </w:p>
        </w:tc>
        <w:tc>
          <w:tcPr/>
          <w:p>
            <w:pPr>
              <w:pStyle w:val="Compact"/>
              <w:jc w:val="left"/>
            </w:pPr>
            <w:r>
              <w:t xml:space="preserve">Tablet / Capsule</w:t>
            </w:r>
          </w:p>
        </w:tc>
        <w:tc>
          <w:tcPr/>
          <w:p>
            <w:pPr>
              <w:pStyle w:val="Compact"/>
              <w:jc w:val="left"/>
            </w:pPr>
            <w:r>
              <w:t xml:space="preserve">Fed/ Fasted</w:t>
            </w:r>
          </w:p>
        </w:tc>
        <w:tc>
          <w:tcPr/>
          <w:p>
            <w:pPr>
              <w:pStyle w:val="Compact"/>
            </w:pPr>
          </w:p>
        </w:tc>
      </w:tr>
      <w:tr>
        <w:tc>
          <w:tcPr/>
          <w:p>
            <w:pPr>
              <w:pStyle w:val="Compact"/>
              <w:jc w:val="left"/>
            </w:pPr>
            <w:hyperlink w:anchor="Xa559bd5247f9128e74e6edcc17de37648e8cde6">
              <w:r>
                <w:rPr>
                  <w:rStyle w:val="Hyperlink"/>
                </w:rPr>
                <w:t xml:space="preserve">Henney 2008</w:t>
              </w:r>
            </w:hyperlink>
          </w:p>
        </w:tc>
        <w:tc>
          <w:tcPr/>
          <w:p>
            <w:pPr>
              <w:pStyle w:val="Compact"/>
              <w:jc w:val="left"/>
            </w:pPr>
            <w:r>
              <w:t xml:space="preserve">6</w:t>
            </w:r>
          </w:p>
        </w:tc>
        <w:tc>
          <w:tcPr/>
          <w:p>
            <w:pPr>
              <w:pStyle w:val="Compact"/>
              <w:jc w:val="left"/>
            </w:pPr>
            <w:r>
              <w:t xml:space="preserve">HV</w:t>
            </w:r>
          </w:p>
        </w:tc>
        <w:tc>
          <w:tcPr/>
          <w:p>
            <w:pPr>
              <w:pStyle w:val="Compact"/>
              <w:jc w:val="left"/>
            </w:pPr>
            <w:r>
              <w:t xml:space="preserve">18-39</w:t>
            </w:r>
          </w:p>
        </w:tc>
        <w:tc>
          <w:tcPr/>
          <w:p>
            <w:pPr>
              <w:pStyle w:val="Compact"/>
              <w:jc w:val="left"/>
            </w:pPr>
            <w:r>
              <w:t xml:space="preserve">NA</w:t>
            </w:r>
          </w:p>
        </w:tc>
        <w:tc>
          <w:tcPr/>
          <w:p>
            <w:pPr>
              <w:pStyle w:val="Compact"/>
              <w:jc w:val="left"/>
            </w:pPr>
            <w:r>
              <w:t xml:space="preserve">m19/f9</w:t>
            </w:r>
          </w:p>
        </w:tc>
        <w:tc>
          <w:tcPr/>
          <w:p>
            <w:pPr>
              <w:pStyle w:val="Compact"/>
              <w:jc w:val="left"/>
            </w:pPr>
            <w:r>
              <w:t xml:space="preserve">27</w:t>
            </w:r>
          </w:p>
        </w:tc>
        <w:tc>
          <w:tcPr/>
          <w:p>
            <w:pPr>
              <w:pStyle w:val="Compact"/>
              <w:jc w:val="left"/>
            </w:pPr>
            <w:r>
              <w:t xml:space="preserve">Capsule</w:t>
            </w:r>
          </w:p>
        </w:tc>
        <w:tc>
          <w:tcPr/>
          <w:p>
            <w:pPr>
              <w:pStyle w:val="Compact"/>
              <w:jc w:val="left"/>
            </w:pPr>
            <w:r>
              <w:t xml:space="preserve">Fasted</w:t>
            </w:r>
          </w:p>
        </w:tc>
        <w:tc>
          <w:tcPr/>
          <w:p>
            <w:pPr>
              <w:pStyle w:val="Compact"/>
            </w:pPr>
          </w:p>
        </w:tc>
      </w:tr>
      <w:tr>
        <w:tc>
          <w:tcPr/>
          <w:p>
            <w:pPr>
              <w:pStyle w:val="Compact"/>
              <w:jc w:val="left"/>
            </w:pPr>
            <w:hyperlink w:anchor="Xa559bd5247f9128e74e6edcc17de37648e8cde6">
              <w:r>
                <w:rPr>
                  <w:rStyle w:val="Hyperlink"/>
                </w:rPr>
                <w:t xml:space="preserve">Tse 1987</w:t>
              </w:r>
            </w:hyperlink>
          </w:p>
        </w:tc>
        <w:tc>
          <w:tcPr/>
          <w:p>
            <w:pPr>
              <w:pStyle w:val="Compact"/>
              <w:jc w:val="left"/>
            </w:pPr>
            <w:r>
              <w:t xml:space="preserve">4 t.i.d.</w:t>
            </w:r>
          </w:p>
        </w:tc>
        <w:tc>
          <w:tcPr/>
          <w:p>
            <w:pPr>
              <w:pStyle w:val="Compact"/>
              <w:jc w:val="left"/>
            </w:pPr>
            <w:r>
              <w:t xml:space="preserve">HV</w:t>
            </w:r>
          </w:p>
        </w:tc>
        <w:tc>
          <w:tcPr/>
          <w:p>
            <w:pPr>
              <w:pStyle w:val="Compact"/>
              <w:jc w:val="left"/>
            </w:pPr>
            <w:r>
              <w:t xml:space="preserve">21-48</w:t>
            </w:r>
          </w:p>
        </w:tc>
        <w:tc>
          <w:tcPr/>
          <w:p>
            <w:pPr>
              <w:pStyle w:val="Compact"/>
              <w:jc w:val="left"/>
            </w:pPr>
            <w:r>
              <w:t xml:space="preserve">57-86</w:t>
            </w:r>
          </w:p>
        </w:tc>
        <w:tc>
          <w:tcPr/>
          <w:p>
            <w:pPr>
              <w:pStyle w:val="Compact"/>
              <w:jc w:val="left"/>
            </w:pPr>
            <w:r>
              <w:t xml:space="preserve">m</w:t>
            </w:r>
          </w:p>
        </w:tc>
        <w:tc>
          <w:tcPr/>
          <w:p>
            <w:pPr>
              <w:pStyle w:val="Compact"/>
              <w:jc w:val="left"/>
            </w:pPr>
            <w:r>
              <w:t xml:space="preserve">6</w:t>
            </w:r>
          </w:p>
        </w:tc>
        <w:tc>
          <w:tcPr/>
          <w:p>
            <w:pPr>
              <w:pStyle w:val="Compact"/>
              <w:jc w:val="left"/>
            </w:pPr>
            <w:r>
              <w:t xml:space="preserve">Tablet</w:t>
            </w:r>
          </w:p>
        </w:tc>
        <w:tc>
          <w:tcPr/>
          <w:p>
            <w:pPr>
              <w:pStyle w:val="Compact"/>
              <w:jc w:val="left"/>
            </w:pPr>
            <w:r>
              <w:t xml:space="preserve">Fasted</w:t>
            </w:r>
          </w:p>
        </w:tc>
        <w:tc>
          <w:tcPr/>
          <w:p>
            <w:pPr>
              <w:pStyle w:val="Compact"/>
            </w:pPr>
          </w:p>
        </w:tc>
      </w:tr>
      <w:tr>
        <w:tc>
          <w:tcPr/>
          <w:p>
            <w:pPr>
              <w:pStyle w:val="Compact"/>
              <w:jc w:val="left"/>
            </w:pPr>
            <w:hyperlink w:anchor="Xa559bd5247f9128e74e6edcc17de37648e8cde6">
              <w:r>
                <w:rPr>
                  <w:rStyle w:val="Hyperlink"/>
                </w:rPr>
                <w:t xml:space="preserve">Al-Ghazawi 2013</w:t>
              </w:r>
            </w:hyperlink>
            <w:r>
              <w:rPr>
                <w:vertAlign w:val="superscript"/>
              </w:rPr>
              <w:t xml:space="preserve">+</w:t>
            </w:r>
          </w:p>
        </w:tc>
        <w:tc>
          <w:tcPr/>
          <w:p>
            <w:pPr>
              <w:pStyle w:val="Compact"/>
              <w:jc w:val="left"/>
            </w:pPr>
            <w:r>
              <w:t xml:space="preserve">4</w:t>
            </w:r>
          </w:p>
        </w:tc>
        <w:tc>
          <w:tcPr/>
          <w:p>
            <w:pPr>
              <w:pStyle w:val="Compact"/>
              <w:jc w:val="left"/>
            </w:pPr>
            <w:r>
              <w:t xml:space="preserve">HV</w:t>
            </w:r>
          </w:p>
        </w:tc>
        <w:tc>
          <w:tcPr/>
          <w:p>
            <w:pPr>
              <w:pStyle w:val="Compact"/>
              <w:jc w:val="left"/>
            </w:pPr>
            <w:r>
              <w:t xml:space="preserve">28</w:t>
            </w:r>
          </w:p>
        </w:tc>
        <w:tc>
          <w:tcPr/>
          <w:p>
            <w:pPr>
              <w:pStyle w:val="Compact"/>
              <w:jc w:val="left"/>
            </w:pPr>
            <w:r>
              <w:t xml:space="preserve">75</w:t>
            </w:r>
          </w:p>
        </w:tc>
        <w:tc>
          <w:tcPr/>
          <w:p>
            <w:pPr>
              <w:pStyle w:val="Compact"/>
              <w:jc w:val="left"/>
            </w:pPr>
            <w:r>
              <w:t xml:space="preserve">m</w:t>
            </w:r>
          </w:p>
        </w:tc>
        <w:tc>
          <w:tcPr/>
          <w:p>
            <w:pPr>
              <w:pStyle w:val="Compact"/>
              <w:jc w:val="left"/>
            </w:pPr>
            <w:r>
              <w:t xml:space="preserve">36</w:t>
            </w:r>
          </w:p>
        </w:tc>
        <w:tc>
          <w:tcPr/>
          <w:p>
            <w:pPr>
              <w:pStyle w:val="Compact"/>
              <w:jc w:val="left"/>
            </w:pPr>
            <w:r>
              <w:t xml:space="preserve">Tablet</w:t>
            </w:r>
          </w:p>
        </w:tc>
        <w:tc>
          <w:tcPr/>
          <w:p>
            <w:pPr>
              <w:pStyle w:val="Compact"/>
              <w:jc w:val="left"/>
            </w:pPr>
            <w:r>
              <w:t xml:space="preserve">Fasted</w:t>
            </w:r>
          </w:p>
        </w:tc>
        <w:tc>
          <w:tcPr/>
          <w:p>
            <w:pPr>
              <w:pStyle w:val="Compact"/>
            </w:pPr>
          </w:p>
        </w:tc>
      </w:tr>
    </w:tbl>
    <w:p>
      <w:pPr>
        <w:pStyle w:val="BodyText"/>
      </w:pPr>
      <w:r>
        <w:rPr>
          <w:bCs/>
          <w:b/>
        </w:rPr>
        <w:t xml:space="preserve">Table 2:</w:t>
      </w:r>
      <w:r>
        <w:t xml:space="preserve"> </w:t>
      </w:r>
      <w:r>
        <w:t xml:space="preserve">Literature sources of clinical concentration data of tizanidine used for model development and validation.</w:t>
      </w:r>
      <w:r>
        <w:t xml:space="preserve"> </w:t>
      </w:r>
      <w:r>
        <w:rPr>
          <w:iCs/>
          <w:i/>
        </w:rPr>
        <w:t xml:space="preserve">*: single dose unless otherwise specified; EM: extensive metabolizers;</w:t>
      </w:r>
      <w:r>
        <w:rPr>
          <w:vertAlign w:val="superscript"/>
          <w:iCs/>
          <w:i/>
        </w:rPr>
        <w:t xml:space="preserve">+</w:t>
      </w:r>
      <w:r>
        <w:rPr>
          <w:iCs/>
          <w:i/>
        </w:rPr>
        <w:t xml:space="preserve">: Data used for final parameter identification</w:t>
      </w:r>
      <w:bookmarkStart w:id="table-2" w:name="table-2"/>
      <w:bookmarkEnd w:id="table-2"/>
    </w:p>
    <w:bookmarkEnd w:id="23"/>
    <w:bookmarkEnd w:id="24"/>
    <w:bookmarkStart w:id="29" w:name="model-parameters-and-assumptions"/>
    <w:p>
      <w:pPr>
        <w:pStyle w:val="Heading2"/>
      </w:pPr>
      <w:r>
        <w:t xml:space="preserve">Model Parameters and Assumptions</w:t>
      </w:r>
      <w:bookmarkStart w:id="model-parameters-and-assumptions" w:name="model-parameters-and-assumptions"/>
      <w:bookmarkEnd w:id="model-parameters-and-assumptions"/>
    </w:p>
    <w:bookmarkStart w:id="25" w:name="absorption"/>
    <w:p>
      <w:pPr>
        <w:pStyle w:val="Heading3"/>
      </w:pPr>
      <w:r>
        <w:t xml:space="preserve">2.3.1 Absorption</w:t>
      </w:r>
    </w:p>
    <w:p>
      <w:pPr>
        <w:pStyle w:val="FirstParagraph"/>
      </w:pPr>
      <w:r>
        <w:t xml:space="preserve">Release of tizanidine from the tablet is modelled using the Weibull-formulation, with parameter values identified by fitting the model to observed concentration profiles after po administration of 4 and 8 mg to healthy volunteers after an overnight fast.</w:t>
      </w:r>
    </w:p>
    <w:p>
      <w:pPr>
        <w:pStyle w:val="BodyText"/>
      </w:pPr>
      <w:r>
        <w:t xml:space="preserve">The same parameter values are used for the capsule and tablet formulations in fasted state. In the fed state, the capsule formulation is equal to that in the fasted state. For the tablet formulation, the parameter values differ from those in fasted state.</w:t>
      </w:r>
    </w:p>
    <w:bookmarkEnd w:id="25"/>
    <w:bookmarkStart w:id="26" w:name="distribution"/>
    <w:p>
      <w:pPr>
        <w:pStyle w:val="Heading3"/>
      </w:pPr>
      <w:r>
        <w:t xml:space="preserve">2.3.2 Distribution</w:t>
      </w:r>
    </w:p>
    <w:p>
      <w:pPr>
        <w:pStyle w:val="FirstParagraph"/>
      </w:pPr>
      <w:r>
        <w:t xml:space="preserve">Physico-chemical parameters were set to the reported values (see</w:t>
      </w:r>
      <w:r>
        <w:t xml:space="preserve"> </w:t>
      </w:r>
      <w:hyperlink w:anchor="X63598919d7fab7e51e201e8db58061e8fc5e9b5">
        <w:r>
          <w:rPr>
            <w:rStyle w:val="Hyperlink"/>
          </w:rPr>
          <w:t xml:space="preserve">Section 2.2.1</w:t>
        </w:r>
      </w:hyperlink>
      <w:r>
        <w:t xml:space="preserve">). It was assumed that the major binding partner in plasma is albumin.</w:t>
      </w:r>
    </w:p>
    <w:p>
      <w:pPr>
        <w:pStyle w:val="BodyText"/>
      </w:pPr>
      <w:r>
        <w:t xml:space="preserve">After testing the available organ-plasma partition coefficient and cell permeability calculation methods available in PK-Sim, observed clinical data were best described by choosing the partition coefficient calculation by</w:t>
      </w:r>
      <w:r>
        <w:t xml:space="preserve"> </w:t>
      </w:r>
      <w:r>
        <w:rPr>
          <w:rStyle w:val="VerbatimChar"/>
        </w:rPr>
        <w:t xml:space="preserve">Berezhkovskiy</w:t>
      </w:r>
      <w:r>
        <w:t xml:space="preserve"> </w:t>
      </w:r>
      <w:r>
        <w:t xml:space="preserve">and cellular permeability calculation by</w:t>
      </w:r>
      <w:r>
        <w:t xml:space="preserve"> </w:t>
      </w:r>
      <w:r>
        <w:rPr>
          <w:rStyle w:val="VerbatimChar"/>
        </w:rPr>
        <w:t xml:space="preserve">PK-Sim Standard</w:t>
      </w:r>
      <w:r>
        <w:t xml:space="preserve">.</w:t>
      </w:r>
    </w:p>
    <w:bookmarkEnd w:id="26"/>
    <w:bookmarkStart w:id="27" w:name="metabolism-and-elimination"/>
    <w:p>
      <w:pPr>
        <w:pStyle w:val="Heading3"/>
      </w:pPr>
      <w:r>
        <w:t xml:space="preserve">2.3.3 Metabolism and Elimination</w:t>
      </w:r>
    </w:p>
    <w:p>
      <w:pPr>
        <w:pStyle w:val="FirstParagraph"/>
      </w:pPr>
      <w:r>
        <w:t xml:space="preserve">Metabolization of tizanidine is modeled as CYP1A2 Intrinsic clearance. with parameter</w:t>
      </w:r>
      <w:r>
        <w:t xml:space="preserve"> </w:t>
      </w:r>
      <w:r>
        <w:rPr>
          <w:rStyle w:val="VerbatimChar"/>
        </w:rPr>
        <w:t xml:space="preserve">Intrinsic clearance</w:t>
      </w:r>
      <w:r>
        <w:t xml:space="preserve"> </w:t>
      </w:r>
      <w:r>
        <w:t xml:space="preserve">being identified by fitting the model to concentration data after po administration.</w:t>
      </w:r>
    </w:p>
    <w:p>
      <w:pPr>
        <w:pStyle w:val="BodyText"/>
      </w:pPr>
      <w:r>
        <w:t xml:space="preserve">Glomerular filtration with</w:t>
      </w:r>
      <w:r>
        <w:t xml:space="preserve"> </w:t>
      </w:r>
      <w:r>
        <w:rPr>
          <w:rStyle w:val="VerbatimChar"/>
        </w:rPr>
        <w:t xml:space="preserve">GFR fraction = 1</w:t>
      </w:r>
      <w:r>
        <w:t xml:space="preserve"> </w:t>
      </w:r>
      <w:r>
        <w:t xml:space="preserve">has been assumed.</w:t>
      </w:r>
    </w:p>
    <w:bookmarkEnd w:id="27"/>
    <w:bookmarkStart w:id="28" w:name="automated-parameter-identification"/>
    <w:p>
      <w:pPr>
        <w:pStyle w:val="Heading3"/>
      </w:pPr>
      <w:r>
        <w:t xml:space="preserve">2.3.4 Automated Parameter Identification</w:t>
      </w:r>
    </w:p>
    <w:p>
      <w:pPr>
        <w:pStyle w:val="FirstParagraph"/>
      </w:pPr>
      <w:r>
        <w:t xml:space="preserve">Following parameter values were estimated for the base model:</w:t>
      </w:r>
    </w:p>
    <w:p>
      <w:pPr>
        <w:numPr>
          <w:ilvl w:val="0"/>
          <w:numId w:val="1003"/>
        </w:numPr>
      </w:pPr>
      <w:r>
        <w:t xml:space="preserve">Intrinsic CL (CYP1A2)</w:t>
      </w:r>
    </w:p>
    <w:p>
      <w:pPr>
        <w:numPr>
          <w:ilvl w:val="0"/>
          <w:numId w:val="1003"/>
        </w:numPr>
      </w:pPr>
      <w:r>
        <w:t xml:space="preserve">Dissolution shape (Weibull formulation)</w:t>
      </w:r>
    </w:p>
    <w:p>
      <w:pPr>
        <w:numPr>
          <w:ilvl w:val="0"/>
          <w:numId w:val="1003"/>
        </w:numPr>
      </w:pPr>
      <w:r>
        <w:t xml:space="preserve">Dissolution time (50% dissolved) (Weibull formulation)</w:t>
      </w:r>
    </w:p>
    <w:bookmarkEnd w:id="28"/>
    <w:bookmarkEnd w:id="29"/>
    <w:bookmarkEnd w:id="30"/>
    <w:bookmarkStart w:id="87" w:name="results-and-discussion"/>
    <w:p>
      <w:pPr>
        <w:pStyle w:val="Heading1"/>
      </w:pPr>
      <w:r>
        <w:t xml:space="preserve">Results and Discussion</w:t>
      </w:r>
      <w:bookmarkStart w:id="results-and-discussion" w:name="results-and-discussion"/>
      <w:bookmarkEnd w:id="results-and-discussion"/>
    </w:p>
    <w:p>
      <w:pPr>
        <w:pStyle w:val="FirstParagraph"/>
      </w:pPr>
      <w:r>
        <w:t xml:space="preserve">The next sections show:</w:t>
      </w:r>
    </w:p>
    <w:p>
      <w:pPr>
        <w:numPr>
          <w:ilvl w:val="0"/>
          <w:numId w:val="1004"/>
        </w:numPr>
        <w:pStyle w:val="Compact"/>
      </w:pPr>
      <w:r>
        <w:t xml:space="preserve">Final model input parameters for the building blocks:</w:t>
      </w:r>
      <w:r>
        <w:t xml:space="preserve"> </w:t>
      </w:r>
      <w:hyperlink w:anchor="Xc6cf42871317160fa8533d05504fe9284eb5963">
        <w:r>
          <w:rPr>
            <w:rStyle w:val="Hyperlink"/>
          </w:rPr>
          <w:t xml:space="preserve">Section 3.1</w:t>
        </w:r>
      </w:hyperlink>
      <w:r>
        <w:t xml:space="preserve">.</w:t>
      </w:r>
    </w:p>
    <w:p>
      <w:pPr>
        <w:numPr>
          <w:ilvl w:val="0"/>
          <w:numId w:val="1004"/>
        </w:numPr>
        <w:pStyle w:val="Compact"/>
      </w:pPr>
      <w:r>
        <w:t xml:space="preserve">Overall goodness of fit:</w:t>
      </w:r>
      <w:r>
        <w:t xml:space="preserve"> </w:t>
      </w:r>
      <w:hyperlink w:anchor="X8f3aeddcae968e1d328d29ba9adb7d6f485cab0">
        <w:r>
          <w:rPr>
            <w:rStyle w:val="Hyperlink"/>
          </w:rPr>
          <w:t xml:space="preserve">Section 3.2</w:t>
        </w:r>
      </w:hyperlink>
      <w:r>
        <w:t xml:space="preserve">.</w:t>
      </w:r>
    </w:p>
    <w:p>
      <w:pPr>
        <w:numPr>
          <w:ilvl w:val="0"/>
          <w:numId w:val="1004"/>
        </w:numPr>
        <w:pStyle w:val="Compact"/>
      </w:pPr>
      <w:r>
        <w:t xml:space="preserve">Simulated vs. observed concentration-time profiles for the clinical studies used for model building and for model verification:</w:t>
      </w:r>
      <w:r>
        <w:t xml:space="preserve"> </w:t>
      </w:r>
      <w:hyperlink w:anchor="Xdc8b4cf40574b5c39801a4fb59aa003db333782">
        <w:r>
          <w:rPr>
            <w:rStyle w:val="Hyperlink"/>
          </w:rPr>
          <w:t xml:space="preserve">Section 3.3</w:t>
        </w:r>
      </w:hyperlink>
      <w:r>
        <w:t xml:space="preserve">.</w:t>
      </w:r>
    </w:p>
    <w:bookmarkStart w:id="43" w:name="final-input-parameters"/>
    <w:p>
      <w:pPr>
        <w:pStyle w:val="Heading2"/>
      </w:pPr>
      <w:r>
        <w:t xml:space="preserve">Final input parameters</w:t>
      </w:r>
      <w:bookmarkStart w:id="final-input-parameters" w:name="final-input-parameters"/>
      <w:bookmarkEnd w:id="final-input-parameters"/>
    </w:p>
    <w:p>
      <w:pPr>
        <w:pStyle w:val="FirstParagraph"/>
      </w:pPr>
      <w:r>
        <w:t xml:space="preserve">The parameter values of the final PBPK model are illustrated below.</w:t>
      </w:r>
    </w:p>
    <w:bookmarkStart w:id="38" w:name="compound-tizanidine"/>
    <w:p>
      <w:pPr>
        <w:pStyle w:val="Heading3"/>
      </w:pPr>
      <w:r>
        <w:t xml:space="preserve">Compound: Tizanidine</w:t>
      </w:r>
    </w:p>
    <w:bookmarkStart w:id="31" w:name="parameters"/>
    <w:p>
      <w:pPr>
        <w:pStyle w:val="Heading4"/>
      </w:pPr>
      <w:r>
        <w:t xml:space="preserve">Parameters</w:t>
      </w:r>
    </w:p>
    <w:tbl>
      <w:tblPr>
        <w:tblStyle w:val="Table"/>
        <w:tblW w:type="pct" w:w="5000"/>
        <w:tblLook w:firstRow="1" w:lastRow="0" w:firstColumn="0" w:lastColumn="0" w:noHBand="0" w:noVBand="0" w:val="0020"/>
        <w:jc w:val="start"/>
      </w:tblPr>
      <w:tblGrid>
        <w:gridCol w:w="3394"/>
        <w:gridCol w:w="1050"/>
        <w:gridCol w:w="2020"/>
        <w:gridCol w:w="888"/>
        <w:gridCol w:w="565"/>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c>
          <w:tcPr/>
          <w:p>
            <w:pPr>
              <w:pStyle w:val="Compact"/>
              <w:jc w:val="left"/>
            </w:pPr>
            <w:r>
              <w:t xml:space="preserve">Alternative</w:t>
            </w:r>
          </w:p>
        </w:tc>
        <w:tc>
          <w:tcPr/>
          <w:p>
            <w:pPr>
              <w:pStyle w:val="Compact"/>
              <w:jc w:val="left"/>
            </w:pPr>
            <w:r>
              <w:t xml:space="preserve">Default</w:t>
            </w:r>
          </w:p>
        </w:tc>
      </w:tr>
      <w:tr>
        <w:tc>
          <w:tcPr/>
          <w:p>
            <w:pPr>
              <w:pStyle w:val="Compact"/>
              <w:jc w:val="left"/>
            </w:pPr>
            <w:r>
              <w:t xml:space="preserve">Solubility at reference pH</w:t>
            </w:r>
          </w:p>
        </w:tc>
        <w:tc>
          <w:tcPr/>
          <w:p>
            <w:pPr>
              <w:pStyle w:val="Compact"/>
              <w:jc w:val="left"/>
            </w:pPr>
            <w:r>
              <w:t xml:space="preserve">0.133 mg/ml</w:t>
            </w:r>
          </w:p>
        </w:tc>
        <w:tc>
          <w:tcPr/>
          <w:p>
            <w:pPr>
              <w:pStyle w:val="Compact"/>
              <w:jc w:val="left"/>
            </w:pPr>
            <w:r>
              <w:t xml:space="preserve">Database-DrugBank DB00697</w:t>
            </w:r>
          </w:p>
        </w:tc>
        <w:tc>
          <w:tcPr/>
          <w:p>
            <w:pPr>
              <w:pStyle w:val="Compact"/>
              <w:jc w:val="left"/>
            </w:pPr>
            <w:r>
              <w:t xml:space="preserve">S_aq</w:t>
            </w:r>
          </w:p>
        </w:tc>
        <w:tc>
          <w:tcPr/>
          <w:p>
            <w:pPr>
              <w:pStyle w:val="Compact"/>
              <w:jc w:val="left"/>
            </w:pPr>
            <w:r>
              <w:t xml:space="preserve">True</w:t>
            </w:r>
          </w:p>
        </w:tc>
      </w:tr>
      <w:tr>
        <w:tc>
          <w:tcPr/>
          <w:p>
            <w:pPr>
              <w:pStyle w:val="Compact"/>
              <w:jc w:val="left"/>
            </w:pPr>
            <w:r>
              <w:t xml:space="preserve">Reference pH</w:t>
            </w:r>
          </w:p>
        </w:tc>
        <w:tc>
          <w:tcPr/>
          <w:p>
            <w:pPr>
              <w:pStyle w:val="Compact"/>
              <w:jc w:val="left"/>
            </w:pPr>
            <w:r>
              <w:t xml:space="preserve">7.4</w:t>
            </w:r>
          </w:p>
        </w:tc>
        <w:tc>
          <w:tcPr/>
          <w:p>
            <w:pPr>
              <w:pStyle w:val="Compact"/>
              <w:jc w:val="left"/>
            </w:pPr>
            <w:r>
              <w:t xml:space="preserve">Database-DrugBank DB00697</w:t>
            </w:r>
          </w:p>
        </w:tc>
        <w:tc>
          <w:tcPr/>
          <w:p>
            <w:pPr>
              <w:pStyle w:val="Compact"/>
              <w:jc w:val="left"/>
            </w:pPr>
            <w:r>
              <w:t xml:space="preserve">S_aq</w:t>
            </w:r>
          </w:p>
        </w:tc>
        <w:tc>
          <w:tcPr/>
          <w:p>
            <w:pPr>
              <w:pStyle w:val="Compact"/>
              <w:jc w:val="left"/>
            </w:pPr>
            <w:r>
              <w:t xml:space="preserve">True</w:t>
            </w:r>
          </w:p>
        </w:tc>
      </w:tr>
      <w:tr>
        <w:tc>
          <w:tcPr/>
          <w:p>
            <w:pPr>
              <w:pStyle w:val="Compact"/>
              <w:jc w:val="left"/>
            </w:pPr>
            <w:r>
              <w:t xml:space="preserve">Lipophilicity</w:t>
            </w:r>
          </w:p>
        </w:tc>
        <w:tc>
          <w:tcPr/>
          <w:p>
            <w:pPr>
              <w:pStyle w:val="Compact"/>
              <w:jc w:val="left"/>
            </w:pPr>
            <w:r>
              <w:t xml:space="preserve">1.4 Log Units</w:t>
            </w:r>
          </w:p>
        </w:tc>
        <w:tc>
          <w:tcPr/>
          <w:p>
            <w:pPr>
              <w:pStyle w:val="Compact"/>
              <w:jc w:val="left"/>
            </w:pPr>
            <w:r>
              <w:t xml:space="preserve">Database-DrugBank DB00697</w:t>
            </w:r>
          </w:p>
        </w:tc>
        <w:tc>
          <w:tcPr/>
          <w:p>
            <w:pPr>
              <w:pStyle w:val="Compact"/>
              <w:jc w:val="left"/>
            </w:pPr>
            <w:r>
              <w:t xml:space="preserve">LogP</w:t>
            </w:r>
          </w:p>
        </w:tc>
        <w:tc>
          <w:tcPr/>
          <w:p>
            <w:pPr>
              <w:pStyle w:val="Compact"/>
              <w:jc w:val="left"/>
            </w:pPr>
            <w:r>
              <w:t xml:space="preserve">True</w:t>
            </w:r>
          </w:p>
        </w:tc>
      </w:tr>
      <w:tr>
        <w:tc>
          <w:tcPr/>
          <w:p>
            <w:pPr>
              <w:pStyle w:val="Compact"/>
              <w:jc w:val="left"/>
            </w:pPr>
            <w:r>
              <w:t xml:space="preserve">Fraction unbound (plasma, reference value)</w:t>
            </w:r>
          </w:p>
        </w:tc>
        <w:tc>
          <w:tcPr/>
          <w:p>
            <w:pPr>
              <w:pStyle w:val="Compact"/>
              <w:jc w:val="left"/>
            </w:pPr>
            <w:r>
              <w:t xml:space="preserve">0.7</w:t>
            </w:r>
          </w:p>
        </w:tc>
        <w:tc>
          <w:tcPr/>
          <w:p>
            <w:pPr>
              <w:pStyle w:val="Compact"/>
              <w:jc w:val="left"/>
            </w:pPr>
            <w:r>
              <w:t xml:space="preserve">Unknown-SmPC tizanidine</w:t>
            </w:r>
          </w:p>
        </w:tc>
        <w:tc>
          <w:tcPr/>
          <w:p>
            <w:pPr>
              <w:pStyle w:val="Compact"/>
              <w:jc w:val="left"/>
            </w:pPr>
            <w:r>
              <w:t xml:space="preserve">fu_plasma</w:t>
            </w:r>
          </w:p>
        </w:tc>
        <w:tc>
          <w:tcPr/>
          <w:p>
            <w:pPr>
              <w:pStyle w:val="Compact"/>
              <w:jc w:val="left"/>
            </w:pPr>
            <w:r>
              <w:t xml:space="preserve">True</w:t>
            </w:r>
          </w:p>
        </w:tc>
      </w:tr>
      <w:tr>
        <w:tc>
          <w:tcPr/>
          <w:p>
            <w:pPr>
              <w:pStyle w:val="Compact"/>
              <w:jc w:val="left"/>
            </w:pPr>
            <w:r>
              <w:t xml:space="preserve">Cl</w:t>
            </w:r>
          </w:p>
        </w:tc>
        <w:tc>
          <w:tcPr/>
          <w:p>
            <w:pPr>
              <w:pStyle w:val="Compact"/>
              <w:jc w:val="left"/>
            </w:pPr>
            <w:r>
              <w:t xml:space="preserve">1</w:t>
            </w:r>
          </w:p>
        </w:tc>
        <w:tc>
          <w:tcPr/>
          <w:p>
            <w:pPr>
              <w:pStyle w:val="Compact"/>
              <w:jc w:val="left"/>
            </w:pPr>
            <w:r>
              <w:t xml:space="preserve">Database-DrugBank DB00697</w:t>
            </w:r>
          </w:p>
        </w:tc>
        <w:tc>
          <w:tcPr/>
          <w:p>
            <w:pPr>
              <w:pStyle w:val="Compact"/>
            </w:pPr>
          </w:p>
        </w:tc>
        <w:tc>
          <w:tcPr/>
          <w:p>
            <w:pPr>
              <w:pStyle w:val="Compact"/>
            </w:pPr>
          </w:p>
        </w:tc>
      </w:tr>
      <w:tr>
        <w:tc>
          <w:tcPr/>
          <w:p>
            <w:pPr>
              <w:pStyle w:val="Compact"/>
              <w:jc w:val="left"/>
            </w:pPr>
            <w:r>
              <w:t xml:space="preserve">Is small molecule</w:t>
            </w:r>
          </w:p>
        </w:tc>
        <w:tc>
          <w:tcPr/>
          <w:p>
            <w:pPr>
              <w:pStyle w:val="Compact"/>
              <w:jc w:val="left"/>
            </w:pPr>
            <w:r>
              <w:t xml:space="preserve">Yes</w:t>
            </w:r>
          </w:p>
        </w:tc>
        <w:tc>
          <w:tcPr/>
          <w:p>
            <w:pPr>
              <w:pStyle w:val="Compact"/>
            </w:pPr>
          </w:p>
        </w:tc>
        <w:tc>
          <w:tcPr/>
          <w:p>
            <w:pPr>
              <w:pStyle w:val="Compact"/>
            </w:pPr>
          </w:p>
        </w:tc>
        <w:tc>
          <w:tcPr/>
          <w:p>
            <w:pPr>
              <w:pStyle w:val="Compact"/>
            </w:pPr>
          </w:p>
        </w:tc>
      </w:tr>
      <w:tr>
        <w:tc>
          <w:tcPr/>
          <w:p>
            <w:pPr>
              <w:pStyle w:val="Compact"/>
              <w:jc w:val="left"/>
            </w:pPr>
            <w:r>
              <w:t xml:space="preserve">Molecular weight</w:t>
            </w:r>
          </w:p>
        </w:tc>
        <w:tc>
          <w:tcPr/>
          <w:p>
            <w:pPr>
              <w:pStyle w:val="Compact"/>
              <w:jc w:val="left"/>
            </w:pPr>
            <w:r>
              <w:t xml:space="preserve">253.711 g/mol</w:t>
            </w:r>
          </w:p>
        </w:tc>
        <w:tc>
          <w:tcPr/>
          <w:p>
            <w:pPr>
              <w:pStyle w:val="Compact"/>
              <w:jc w:val="left"/>
            </w:pPr>
            <w:r>
              <w:t xml:space="preserve">Database-DrugBank DB00697</w:t>
            </w:r>
          </w:p>
        </w:tc>
        <w:tc>
          <w:tcPr/>
          <w:p>
            <w:pPr>
              <w:pStyle w:val="Compact"/>
            </w:pPr>
          </w:p>
        </w:tc>
        <w:tc>
          <w:tcPr/>
          <w:p>
            <w:pPr>
              <w:pStyle w:val="Compact"/>
            </w:pPr>
          </w:p>
        </w:tc>
      </w:tr>
      <w:tr>
        <w:tc>
          <w:tcPr/>
          <w:p>
            <w:pPr>
              <w:pStyle w:val="Compact"/>
              <w:jc w:val="left"/>
            </w:pPr>
            <w:r>
              <w:t xml:space="preserve">Plasma protein binding partner</w:t>
            </w:r>
          </w:p>
        </w:tc>
        <w:tc>
          <w:tcPr/>
          <w:p>
            <w:pPr>
              <w:pStyle w:val="Compact"/>
              <w:jc w:val="left"/>
            </w:pPr>
            <w:r>
              <w:t xml:space="preserve">Albumin</w:t>
            </w:r>
          </w:p>
        </w:tc>
        <w:tc>
          <w:tcPr/>
          <w:p>
            <w:pPr>
              <w:pStyle w:val="Compact"/>
            </w:pPr>
          </w:p>
        </w:tc>
        <w:tc>
          <w:tcPr/>
          <w:p>
            <w:pPr>
              <w:pStyle w:val="Compact"/>
            </w:pPr>
          </w:p>
        </w:tc>
        <w:tc>
          <w:tcPr/>
          <w:p>
            <w:pPr>
              <w:pStyle w:val="Compact"/>
            </w:pPr>
          </w:p>
        </w:tc>
      </w:tr>
    </w:tbl>
    <w:bookmarkEnd w:id="31"/>
    <w:bookmarkStart w:id="32" w:name="calculation-methods"/>
    <w:p>
      <w:pPr>
        <w:pStyle w:val="Heading4"/>
      </w:pPr>
      <w:r>
        <w:t xml:space="preserve">Calculation methods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Name</w:t>
            </w:r>
          </w:p>
        </w:tc>
        <w:tc>
          <w:tcPr/>
          <w:p>
            <w:pPr>
              <w:pStyle w:val="Compact"/>
              <w:jc w:val="left"/>
            </w:pPr>
            <w:r>
              <w:t xml:space="preserve">Value</w:t>
            </w:r>
          </w:p>
        </w:tc>
      </w:tr>
      <w:tr>
        <w:tc>
          <w:tcPr/>
          <w:p>
            <w:pPr>
              <w:pStyle w:val="Compact"/>
              <w:jc w:val="left"/>
            </w:pPr>
            <w:r>
              <w:t xml:space="preserve">Partition coefficients</w:t>
            </w:r>
          </w:p>
        </w:tc>
        <w:tc>
          <w:tcPr/>
          <w:p>
            <w:pPr>
              <w:pStyle w:val="Compact"/>
              <w:jc w:val="left"/>
            </w:pPr>
            <w:r>
              <w:t xml:space="preserve">Berezhkovskiy</w:t>
            </w:r>
          </w:p>
        </w:tc>
      </w:tr>
      <w:tr>
        <w:tc>
          <w:tcPr/>
          <w:p>
            <w:pPr>
              <w:pStyle w:val="Compact"/>
              <w:jc w:val="left"/>
            </w:pPr>
            <w:r>
              <w:t xml:space="preserve">Cellular permeabilities</w:t>
            </w:r>
          </w:p>
        </w:tc>
        <w:tc>
          <w:tcPr/>
          <w:p>
            <w:pPr>
              <w:pStyle w:val="Compact"/>
              <w:jc w:val="left"/>
            </w:pPr>
            <w:r>
              <w:t xml:space="preserve">PK-Sim Standard</w:t>
            </w:r>
          </w:p>
        </w:tc>
      </w:tr>
    </w:tbl>
    <w:bookmarkEnd w:id="32"/>
    <w:bookmarkStart w:id="37" w:name="processes"/>
    <w:p>
      <w:pPr>
        <w:pStyle w:val="Heading4"/>
      </w:pPr>
      <w:r>
        <w:t xml:space="preserve">Processes</w:t>
      </w:r>
    </w:p>
    <w:bookmarkStart w:id="34" w:name="metabolizing-enzyme-cyp1a2-clint"/>
    <w:p>
      <w:pPr>
        <w:pStyle w:val="Heading5"/>
      </w:pPr>
      <w:r>
        <w:t xml:space="preserve">Metabolizing Enzyme: CYP1A2-CLint</w:t>
      </w:r>
    </w:p>
    <w:p>
      <w:pPr>
        <w:pStyle w:val="FirstParagraph"/>
      </w:pPr>
      <w:r>
        <w:t xml:space="preserve">Species: Human</w:t>
      </w:r>
    </w:p>
    <w:p>
      <w:pPr>
        <w:pStyle w:val="BodyText"/>
      </w:pPr>
      <w:r>
        <w:t xml:space="preserve">Molecule: CYP1A2</w:t>
      </w:r>
    </w:p>
    <w:bookmarkStart w:id="33" w:name="parameters-1"/>
    <w:p>
      <w:pPr>
        <w:pStyle w:val="Heading6"/>
      </w:pPr>
      <w:r>
        <w:t xml:space="preserve">Parameters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Intrinsic clearance</w:t>
            </w:r>
          </w:p>
        </w:tc>
        <w:tc>
          <w:tcPr/>
          <w:p>
            <w:pPr>
              <w:pStyle w:val="Compact"/>
              <w:jc w:val="left"/>
            </w:pPr>
            <w:r>
              <w:t xml:space="preserve">7.2862 l/min</w:t>
            </w:r>
          </w:p>
        </w:tc>
        <w:tc>
          <w:tcPr/>
          <w:p>
            <w:pPr>
              <w:pStyle w:val="Compact"/>
              <w:jc w:val="left"/>
            </w:pPr>
            <w:r>
              <w:t xml:space="preserve">Parameter Identification</w:t>
            </w:r>
          </w:p>
        </w:tc>
      </w:tr>
    </w:tbl>
    <w:bookmarkEnd w:id="33"/>
    <w:bookmarkEnd w:id="34"/>
    <w:bookmarkStart w:id="36" w:name="Xe73e6171231717dec0d7352ef1a677a8523e0b4"/>
    <w:p>
      <w:pPr>
        <w:pStyle w:val="Heading5"/>
      </w:pPr>
      <w:r>
        <w:t xml:space="preserve">Systemic Process: Glomerular Filtration-Assumption</w:t>
      </w:r>
    </w:p>
    <w:p>
      <w:pPr>
        <w:pStyle w:val="FirstParagraph"/>
      </w:pPr>
      <w:r>
        <w:t xml:space="preserve">Species: Human</w:t>
      </w:r>
    </w:p>
    <w:bookmarkStart w:id="35" w:name="parameters-2"/>
    <w:p>
      <w:pPr>
        <w:pStyle w:val="Heading6"/>
      </w:pPr>
      <w:r>
        <w:t xml:space="preserve">Parameters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Name</w:t>
            </w:r>
          </w:p>
        </w:tc>
        <w:tc>
          <w:tcPr/>
          <w:p>
            <w:pPr>
              <w:pStyle w:val="Compact"/>
              <w:jc w:val="right"/>
            </w:pPr>
            <w:r>
              <w:t xml:space="preserve">Value</w:t>
            </w:r>
          </w:p>
        </w:tc>
        <w:tc>
          <w:tcPr/>
          <w:p>
            <w:pPr>
              <w:pStyle w:val="Compact"/>
              <w:jc w:val="left"/>
            </w:pPr>
            <w:r>
              <w:t xml:space="preserve">Value Origin</w:t>
            </w:r>
          </w:p>
        </w:tc>
      </w:tr>
      <w:tr>
        <w:tc>
          <w:tcPr/>
          <w:p>
            <w:pPr>
              <w:pStyle w:val="Compact"/>
              <w:jc w:val="left"/>
            </w:pPr>
            <w:r>
              <w:t xml:space="preserve">GFR fraction</w:t>
            </w:r>
          </w:p>
        </w:tc>
        <w:tc>
          <w:tcPr/>
          <w:p>
            <w:pPr>
              <w:pStyle w:val="Compact"/>
              <w:jc w:val="right"/>
            </w:pPr>
            <w:r>
              <w:t xml:space="preserve">1</w:t>
            </w:r>
          </w:p>
        </w:tc>
        <w:tc>
          <w:tcPr/>
          <w:p>
            <w:pPr>
              <w:pStyle w:val="Compact"/>
              <w:jc w:val="left"/>
            </w:pPr>
            <w:r>
              <w:t xml:space="preserve">Other-Assumption</w:t>
            </w:r>
          </w:p>
        </w:tc>
      </w:tr>
    </w:tbl>
    <w:bookmarkEnd w:id="35"/>
    <w:bookmarkEnd w:id="36"/>
    <w:bookmarkEnd w:id="37"/>
    <w:bookmarkEnd w:id="38"/>
    <w:bookmarkStart w:id="40" w:name="formulation-tizanidine-tablet-fasted"/>
    <w:p>
      <w:pPr>
        <w:pStyle w:val="Heading3"/>
      </w:pPr>
      <w:r>
        <w:t xml:space="preserve">Formulation: Tizanidine tablet fasted</w:t>
      </w:r>
    </w:p>
    <w:p>
      <w:pPr>
        <w:pStyle w:val="FirstParagraph"/>
      </w:pPr>
      <w:r>
        <w:t xml:space="preserve">Type: Weibull</w:t>
      </w:r>
    </w:p>
    <w:bookmarkStart w:id="39" w:name="parameters-3"/>
    <w:p>
      <w:pPr>
        <w:pStyle w:val="Heading4"/>
      </w:pPr>
      <w:r>
        <w:t xml:space="preserve">Parameters</w:t>
      </w:r>
    </w:p>
    <w:tbl>
      <w:tblPr>
        <w:tblStyle w:val="Table"/>
        <w:tblW w:type="pct" w:w="5000"/>
        <w:tblLook w:firstRow="1" w:lastRow="0" w:firstColumn="0" w:lastColumn="0" w:noHBand="0" w:noVBand="0" w:val="0020"/>
        <w:jc w:val="start"/>
      </w:tblPr>
      <w:tblGrid>
        <w:gridCol w:w="3782"/>
        <w:gridCol w:w="1300"/>
        <w:gridCol w:w="2837"/>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Dissolution time (50% dissolved)</w:t>
            </w:r>
          </w:p>
        </w:tc>
        <w:tc>
          <w:tcPr/>
          <w:p>
            <w:pPr>
              <w:pStyle w:val="Compact"/>
              <w:jc w:val="left"/>
            </w:pPr>
            <w:r>
              <w:t xml:space="preserve">38.5287 min</w:t>
            </w:r>
          </w:p>
        </w:tc>
        <w:tc>
          <w:tcPr/>
          <w:p>
            <w:pPr>
              <w:pStyle w:val="Compact"/>
              <w:jc w:val="left"/>
            </w:pPr>
            <w:r>
              <w:t xml:space="preserve">Parameter Identification</w:t>
            </w:r>
          </w:p>
        </w:tc>
      </w:tr>
      <w:tr>
        <w:tc>
          <w:tcPr/>
          <w:p>
            <w:pPr>
              <w:pStyle w:val="Compact"/>
              <w:jc w:val="left"/>
            </w:pPr>
            <w:r>
              <w:t xml:space="preserve">Lag time</w:t>
            </w:r>
          </w:p>
        </w:tc>
        <w:tc>
          <w:tcPr/>
          <w:p>
            <w:pPr>
              <w:pStyle w:val="Compact"/>
              <w:jc w:val="left"/>
            </w:pPr>
            <w:r>
              <w:t xml:space="preserve">0 min</w:t>
            </w:r>
          </w:p>
        </w:tc>
        <w:tc>
          <w:tcPr/>
          <w:p>
            <w:pPr>
              <w:pStyle w:val="Compact"/>
            </w:pPr>
          </w:p>
        </w:tc>
      </w:tr>
      <w:tr>
        <w:tc>
          <w:tcPr/>
          <w:p>
            <w:pPr>
              <w:pStyle w:val="Compact"/>
              <w:jc w:val="left"/>
            </w:pPr>
            <w:r>
              <w:t xml:space="preserve">Dissolution shape</w:t>
            </w:r>
          </w:p>
        </w:tc>
        <w:tc>
          <w:tcPr/>
          <w:p>
            <w:pPr>
              <w:pStyle w:val="Compact"/>
              <w:jc w:val="left"/>
            </w:pPr>
            <w:r>
              <w:t xml:space="preserve">0.963</w:t>
            </w:r>
          </w:p>
        </w:tc>
        <w:tc>
          <w:tcPr/>
          <w:p>
            <w:pPr>
              <w:pStyle w:val="Compact"/>
              <w:jc w:val="left"/>
            </w:pPr>
            <w:r>
              <w:t xml:space="preserve">Parameter Identification</w:t>
            </w:r>
          </w:p>
        </w:tc>
      </w:tr>
      <w:tr>
        <w:tc>
          <w:tcPr/>
          <w:p>
            <w:pPr>
              <w:pStyle w:val="Compact"/>
              <w:jc w:val="left"/>
            </w:pPr>
            <w:r>
              <w:t xml:space="preserve">Use as suspension</w:t>
            </w:r>
          </w:p>
        </w:tc>
        <w:tc>
          <w:tcPr/>
          <w:p>
            <w:pPr>
              <w:pStyle w:val="Compact"/>
              <w:jc w:val="left"/>
            </w:pPr>
            <w:r>
              <w:t xml:space="preserve">Yes</w:t>
            </w:r>
          </w:p>
        </w:tc>
        <w:tc>
          <w:tcPr/>
          <w:p>
            <w:pPr>
              <w:pStyle w:val="Compact"/>
            </w:pPr>
          </w:p>
        </w:tc>
      </w:tr>
    </w:tbl>
    <w:bookmarkEnd w:id="39"/>
    <w:bookmarkEnd w:id="40"/>
    <w:bookmarkStart w:id="42" w:name="formulation-tizanidine-tablet-fed"/>
    <w:p>
      <w:pPr>
        <w:pStyle w:val="Heading3"/>
      </w:pPr>
      <w:r>
        <w:t xml:space="preserve">Formulation: Tizanidine tablet fed</w:t>
      </w:r>
    </w:p>
    <w:p>
      <w:pPr>
        <w:pStyle w:val="FirstParagraph"/>
      </w:pPr>
      <w:r>
        <w:t xml:space="preserve">Type: Weibull</w:t>
      </w:r>
    </w:p>
    <w:bookmarkStart w:id="41" w:name="parameters-4"/>
    <w:p>
      <w:pPr>
        <w:pStyle w:val="Heading4"/>
      </w:pPr>
      <w:r>
        <w:t xml:space="preserve">Parameters</w:t>
      </w:r>
    </w:p>
    <w:tbl>
      <w:tblPr>
        <w:tblStyle w:val="Table"/>
        <w:tblW w:type="pct" w:w="5000"/>
        <w:tblLook w:firstRow="1" w:lastRow="0" w:firstColumn="0" w:lastColumn="0" w:noHBand="0" w:noVBand="0" w:val="0020"/>
        <w:jc w:val="start"/>
      </w:tblPr>
      <w:tblGrid>
        <w:gridCol w:w="3840"/>
        <w:gridCol w:w="1200"/>
        <w:gridCol w:w="2880"/>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Dissolution time (50% dissolved)</w:t>
            </w:r>
          </w:p>
        </w:tc>
        <w:tc>
          <w:tcPr/>
          <w:p>
            <w:pPr>
              <w:pStyle w:val="Compact"/>
              <w:jc w:val="left"/>
            </w:pPr>
            <w:r>
              <w:t xml:space="preserve">3.7642 min</w:t>
            </w:r>
          </w:p>
        </w:tc>
        <w:tc>
          <w:tcPr/>
          <w:p>
            <w:pPr>
              <w:pStyle w:val="Compact"/>
              <w:jc w:val="left"/>
            </w:pPr>
            <w:r>
              <w:t xml:space="preserve">Parameter Identification</w:t>
            </w:r>
          </w:p>
        </w:tc>
      </w:tr>
      <w:tr>
        <w:tc>
          <w:tcPr/>
          <w:p>
            <w:pPr>
              <w:pStyle w:val="Compact"/>
              <w:jc w:val="left"/>
            </w:pPr>
            <w:r>
              <w:t xml:space="preserve">Lag time</w:t>
            </w:r>
          </w:p>
        </w:tc>
        <w:tc>
          <w:tcPr/>
          <w:p>
            <w:pPr>
              <w:pStyle w:val="Compact"/>
              <w:jc w:val="left"/>
            </w:pPr>
            <w:r>
              <w:t xml:space="preserve">0 min</w:t>
            </w:r>
          </w:p>
        </w:tc>
        <w:tc>
          <w:tcPr/>
          <w:p>
            <w:pPr>
              <w:pStyle w:val="Compact"/>
            </w:pPr>
          </w:p>
        </w:tc>
      </w:tr>
      <w:tr>
        <w:tc>
          <w:tcPr/>
          <w:p>
            <w:pPr>
              <w:pStyle w:val="Compact"/>
              <w:jc w:val="left"/>
            </w:pPr>
            <w:r>
              <w:t xml:space="preserve">Dissolution shape</w:t>
            </w:r>
          </w:p>
        </w:tc>
        <w:tc>
          <w:tcPr/>
          <w:p>
            <w:pPr>
              <w:pStyle w:val="Compact"/>
              <w:jc w:val="left"/>
            </w:pPr>
            <w:r>
              <w:t xml:space="preserve">0.3881</w:t>
            </w:r>
          </w:p>
        </w:tc>
        <w:tc>
          <w:tcPr/>
          <w:p>
            <w:pPr>
              <w:pStyle w:val="Compact"/>
              <w:jc w:val="left"/>
            </w:pPr>
            <w:r>
              <w:t xml:space="preserve">Parameter Identification</w:t>
            </w:r>
          </w:p>
        </w:tc>
      </w:tr>
      <w:tr>
        <w:tc>
          <w:tcPr/>
          <w:p>
            <w:pPr>
              <w:pStyle w:val="Compact"/>
              <w:jc w:val="left"/>
            </w:pPr>
            <w:r>
              <w:t xml:space="preserve">Use as suspension</w:t>
            </w:r>
          </w:p>
        </w:tc>
        <w:tc>
          <w:tcPr/>
          <w:p>
            <w:pPr>
              <w:pStyle w:val="Compact"/>
              <w:jc w:val="left"/>
            </w:pPr>
            <w:r>
              <w:t xml:space="preserve">Yes</w:t>
            </w:r>
          </w:p>
        </w:tc>
        <w:tc>
          <w:tcPr/>
          <w:p>
            <w:pPr>
              <w:pStyle w:val="Compact"/>
            </w:pPr>
          </w:p>
        </w:tc>
      </w:tr>
    </w:tbl>
    <w:bookmarkEnd w:id="41"/>
    <w:bookmarkEnd w:id="42"/>
    <w:bookmarkEnd w:id="43"/>
    <w:bookmarkStart w:id="50" w:name="diagnostics-plots"/>
    <w:p>
      <w:pPr>
        <w:pStyle w:val="Heading2"/>
      </w:pPr>
      <w:r>
        <w:t xml:space="preserve">Diagnostics Plots</w:t>
      </w:r>
      <w:bookmarkStart w:id="diagnostics-plots" w:name="diagnostics-plots"/>
      <w:bookmarkEnd w:id="diagnostics-plots"/>
    </w:p>
    <w:p>
      <w:pPr>
        <w:pStyle w:val="FirstParagraph"/>
      </w:pPr>
      <w:r>
        <w:t xml:space="preserve">The following section displays the goodness-of-fit visual diagnostic plots for the PBPK model performance of all data listed in</w:t>
      </w:r>
      <w:r>
        <w:t xml:space="preserve"> </w:t>
      </w:r>
      <w:hyperlink w:anchor="X7ecbd1fd734a207de60ff9705c88346a68b0398">
        <w:r>
          <w:rPr>
            <w:rStyle w:val="Hyperlink"/>
          </w:rPr>
          <w:t xml:space="preserve">Section 2.2.2</w:t>
        </w:r>
      </w:hyperlink>
      <w:r>
        <w:t xml:space="preserve">.</w:t>
      </w:r>
    </w:p>
    <w:p>
      <w:pPr>
        <w:pStyle w:val="BodyText"/>
      </w:pPr>
      <w:r>
        <w:t xml:space="preserve">The first plot shows observed versus simulated plasma concentration, the second weighted residuals versus time.</w:t>
      </w:r>
    </w:p>
    <w:br w:type="page"/>
    <w:p>
      <w:pPr>
        <w:pStyle w:val="BodyText"/>
      </w:pPr>
      <w:bookmarkStart w:id="table-3-1" w:name="table-3-1"/>
      <w:bookmarkEnd w:id="table-3-1"/>
    </w:p>
    <w:p>
      <w:pPr>
        <w:pStyle w:val="BodyText"/>
      </w:pPr>
      <w:r>
        <w:rPr>
          <w:bCs/>
          <w:b/>
        </w:rPr>
        <w:t xml:space="preserve">Table 3-1: GMFE for Tizanidine concentration in plasma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Group</w:t>
            </w:r>
          </w:p>
        </w:tc>
        <w:tc>
          <w:tcPr/>
          <w:p>
            <w:pPr>
              <w:pStyle w:val="Compact"/>
              <w:jc w:val="left"/>
            </w:pPr>
            <w:r>
              <w:t xml:space="preserve">GMFE</w:t>
            </w:r>
          </w:p>
        </w:tc>
      </w:tr>
      <w:tr>
        <w:tc>
          <w:tcPr/>
          <w:p>
            <w:pPr>
              <w:pStyle w:val="Compact"/>
              <w:jc w:val="left"/>
            </w:pPr>
            <w:r>
              <w:t xml:space="preserve">Oral administration (model building)</w:t>
            </w:r>
          </w:p>
        </w:tc>
        <w:tc>
          <w:tcPr/>
          <w:p>
            <w:pPr>
              <w:pStyle w:val="Compact"/>
              <w:jc w:val="left"/>
            </w:pPr>
            <w:r>
              <w:t xml:space="preserve">1.52</w:t>
            </w:r>
          </w:p>
        </w:tc>
      </w:tr>
      <w:tr>
        <w:tc>
          <w:tcPr/>
          <w:p>
            <w:pPr>
              <w:pStyle w:val="Compact"/>
              <w:jc w:val="left"/>
            </w:pPr>
            <w:r>
              <w:t xml:space="preserve">Oral administration (model validation)</w:t>
            </w:r>
          </w:p>
        </w:tc>
        <w:tc>
          <w:tcPr/>
          <w:p>
            <w:pPr>
              <w:pStyle w:val="Compact"/>
              <w:jc w:val="left"/>
            </w:pPr>
            <w:r>
              <w:t xml:space="preserve">1.77</w:t>
            </w:r>
          </w:p>
        </w:tc>
      </w:tr>
      <w:tr>
        <w:tc>
          <w:tcPr/>
          <w:p>
            <w:pPr>
              <w:pStyle w:val="Compact"/>
              <w:jc w:val="left"/>
            </w:pPr>
            <w:r>
              <w:t xml:space="preserve">All</w:t>
            </w:r>
          </w:p>
        </w:tc>
        <w:tc>
          <w:tcPr/>
          <w:p>
            <w:pPr>
              <w:pStyle w:val="Compact"/>
              <w:jc w:val="left"/>
            </w:pPr>
            <w:r>
              <w:t xml:space="preserve">1.65</w:t>
            </w:r>
          </w:p>
        </w:tc>
      </w:tr>
    </w:tbl>
    <w:p>
      <w:pPr>
        <w:pStyle w:val="BodyText"/>
      </w:pPr>
      <w:r>
        <w:t xml:space="preserve"> </w:t>
      </w:r>
    </w:p>
    <w:br w:type="page"/>
    <w:p>
      <w:pPr>
        <w:pStyle w:val="BodyText"/>
      </w:pPr>
      <w:bookmarkStart w:id="figure-3-1" w:name="figure-3-1"/>
      <w:bookmarkEnd w:id="figure-3-1"/>
    </w:p>
    <w:p>
      <w:pPr>
        <w:pStyle w:val="BodyText"/>
      </w:pPr>
      <w:r>
        <w:drawing>
          <wp:inline>
            <wp:extent cx="5969000" cy="6507536"/>
            <wp:effectExtent b="0" l="0" r="0" t="0"/>
            <wp:docPr descr="" title="" id="45" name="Picture"/>
            <a:graphic>
              <a:graphicData uri="http://schemas.openxmlformats.org/drawingml/2006/picture">
                <pic:pic>
                  <pic:nvPicPr>
                    <pic:cNvPr descr="images/006_section_results-and-discussion/008_section_diagnostics-plots/2_gof_plot_predictedVsObserved.png" id="46" name="Picture"/>
                    <pic:cNvPicPr>
                      <a:picLocks noChangeArrowheads="1" noChangeAspect="1"/>
                    </pic:cNvPicPr>
                  </pic:nvPicPr>
                  <pic:blipFill>
                    <a:blip r:embed="rId44"/>
                    <a:stretch>
                      <a:fillRect/>
                    </a:stretch>
                  </pic:blipFill>
                  <pic:spPr bwMode="auto">
                    <a:xfrm>
                      <a:off x="0" y="0"/>
                      <a:ext cx="5969000" cy="6507536"/>
                    </a:xfrm>
                    <a:prstGeom prst="rect">
                      <a:avLst/>
                    </a:prstGeom>
                    <a:noFill/>
                    <a:ln w="9525">
                      <a:noFill/>
                      <a:headEnd/>
                      <a:tailEnd/>
                    </a:ln>
                  </pic:spPr>
                </pic:pic>
              </a:graphicData>
            </a:graphic>
          </wp:inline>
        </w:drawing>
      </w:r>
    </w:p>
    <w:p>
      <w:pPr>
        <w:pStyle w:val="BodyText"/>
      </w:pPr>
      <w:r>
        <w:rPr>
          <w:bCs/>
          <w:b/>
        </w:rPr>
        <w:t xml:space="preserve">Figure 3-1: Tizanidine concentration in plasma</w:t>
      </w:r>
    </w:p>
    <w:p>
      <w:pPr>
        <w:pStyle w:val="BodyText"/>
      </w:pPr>
      <w:r>
        <w:t xml:space="preserve"> </w:t>
      </w:r>
    </w:p>
    <w:br w:type="page"/>
    <w:p>
      <w:pPr>
        <w:pStyle w:val="BodyText"/>
      </w:pPr>
      <w:bookmarkStart w:id="figure-3-2" w:name="figure-3-2"/>
      <w:bookmarkEnd w:id="figure-3-2"/>
    </w:p>
    <w:p>
      <w:pPr>
        <w:pStyle w:val="BodyText"/>
      </w:pPr>
      <w:r>
        <w:drawing>
          <wp:inline>
            <wp:extent cx="5969000" cy="4304842"/>
            <wp:effectExtent b="0" l="0" r="0" t="0"/>
            <wp:docPr descr="" title="" id="48" name="Picture"/>
            <a:graphic>
              <a:graphicData uri="http://schemas.openxmlformats.org/drawingml/2006/picture">
                <pic:pic>
                  <pic:nvPicPr>
                    <pic:cNvPr descr="images/006_section_results-and-discussion/008_section_diagnostics-plots/3_gof_plot_residualsOverTime.png" id="49" name="Picture"/>
                    <pic:cNvPicPr>
                      <a:picLocks noChangeArrowheads="1" noChangeAspect="1"/>
                    </pic:cNvPicPr>
                  </pic:nvPicPr>
                  <pic:blipFill>
                    <a:blip r:embed="rId47"/>
                    <a:stretch>
                      <a:fillRect/>
                    </a:stretch>
                  </pic:blipFill>
                  <pic:spPr bwMode="auto">
                    <a:xfrm>
                      <a:off x="0" y="0"/>
                      <a:ext cx="5969000" cy="4304842"/>
                    </a:xfrm>
                    <a:prstGeom prst="rect">
                      <a:avLst/>
                    </a:prstGeom>
                    <a:noFill/>
                    <a:ln w="9525">
                      <a:noFill/>
                      <a:headEnd/>
                      <a:tailEnd/>
                    </a:ln>
                  </pic:spPr>
                </pic:pic>
              </a:graphicData>
            </a:graphic>
          </wp:inline>
        </w:drawing>
      </w:r>
    </w:p>
    <w:p>
      <w:pPr>
        <w:pStyle w:val="BodyText"/>
      </w:pPr>
      <w:r>
        <w:rPr>
          <w:bCs/>
          <w:b/>
        </w:rPr>
        <w:t xml:space="preserve">Figure 3-2: Tizanidine concentration in plasma</w:t>
      </w:r>
    </w:p>
    <w:p>
      <w:pPr>
        <w:pStyle w:val="BodyText"/>
      </w:pPr>
      <w:r>
        <w:t xml:space="preserve"> </w:t>
      </w:r>
    </w:p>
    <w:bookmarkEnd w:id="50"/>
    <w:bookmarkStart w:id="86" w:name="concentration-time-profiles"/>
    <w:p>
      <w:pPr>
        <w:pStyle w:val="Heading2"/>
      </w:pPr>
      <w:r>
        <w:t xml:space="preserve">Concentration-Time Profiles</w:t>
      </w:r>
      <w:bookmarkStart w:id="ct-profiles" w:name="ct-profiles"/>
      <w:bookmarkEnd w:id="ct-profiles"/>
    </w:p>
    <w:p>
      <w:pPr>
        <w:pStyle w:val="FirstParagraph"/>
      </w:pPr>
      <w:r>
        <w:t xml:space="preserve">Simulated versus observed concentration-time profiles of all data listed in</w:t>
      </w:r>
      <w:r>
        <w:t xml:space="preserve"> </w:t>
      </w:r>
      <w:hyperlink w:anchor="X7ecbd1fd734a207de60ff9705c88346a68b0398">
        <w:r>
          <w:rPr>
            <w:rStyle w:val="Hyperlink"/>
          </w:rPr>
          <w:t xml:space="preserve">Section 2.2.2</w:t>
        </w:r>
      </w:hyperlink>
      <w:r>
        <w:t xml:space="preserve"> </w:t>
      </w:r>
      <w:r>
        <w:t xml:space="preserve">are presented below.</w:t>
      </w:r>
    </w:p>
    <w:bookmarkStart w:id="63" w:name="model-building"/>
    <w:p>
      <w:pPr>
        <w:pStyle w:val="Heading3"/>
      </w:pPr>
      <w:r>
        <w:t xml:space="preserve">Model Building</w:t>
      </w:r>
      <w:bookmarkStart w:id="model-building" w:name="model-building"/>
      <w:bookmarkEnd w:id="model-building"/>
    </w:p>
    <w:br w:type="page"/>
    <w:p>
      <w:pPr>
        <w:pStyle w:val="FirstParagraph"/>
      </w:pPr>
      <w:bookmarkStart w:id="figure-3-3" w:name="figure-3-3"/>
      <w:bookmarkEnd w:id="figure-3-3"/>
    </w:p>
    <w:p>
      <w:pPr>
        <w:pStyle w:val="BodyText"/>
      </w:pPr>
      <w:r>
        <w:drawing>
          <wp:inline>
            <wp:extent cx="5969000" cy="4290517"/>
            <wp:effectExtent b="0" l="0" r="0" t="0"/>
            <wp:docPr descr="" title="" id="52" name="Picture"/>
            <a:graphic>
              <a:graphicData uri="http://schemas.openxmlformats.org/drawingml/2006/picture">
                <pic:pic>
                  <pic:nvPicPr>
                    <pic:cNvPr descr="images/006_section_results-and-discussion/009_section_ct-profiles/010_section_model-building/1_time_profile_plot_Tizanidine_Tizanidine_2mg_po_tablet_fed.png" id="53" name="Picture"/>
                    <pic:cNvPicPr>
                      <a:picLocks noChangeArrowheads="1" noChangeAspect="1"/>
                    </pic:cNvPicPr>
                  </pic:nvPicPr>
                  <pic:blipFill>
                    <a:blip r:embed="rId51"/>
                    <a:stretch>
                      <a:fillRect/>
                    </a:stretch>
                  </pic:blipFill>
                  <pic:spPr bwMode="auto">
                    <a:xfrm>
                      <a:off x="0" y="0"/>
                      <a:ext cx="5969000" cy="4290517"/>
                    </a:xfrm>
                    <a:prstGeom prst="rect">
                      <a:avLst/>
                    </a:prstGeom>
                    <a:noFill/>
                    <a:ln w="9525">
                      <a:noFill/>
                      <a:headEnd/>
                      <a:tailEnd/>
                    </a:ln>
                  </pic:spPr>
                </pic:pic>
              </a:graphicData>
            </a:graphic>
          </wp:inline>
        </w:drawing>
      </w:r>
    </w:p>
    <w:p>
      <w:pPr>
        <w:pStyle w:val="BodyText"/>
      </w:pPr>
      <w:r>
        <w:rPr>
          <w:bCs/>
          <w:b/>
        </w:rPr>
        <w:t xml:space="preserve">Figure 3-3: Tizanidine 2mg po tablet fed</w:t>
      </w:r>
    </w:p>
    <w:p>
      <w:pPr>
        <w:pStyle w:val="BodyText"/>
      </w:pPr>
      <w:r>
        <w:t xml:space="preserve"> </w:t>
      </w:r>
    </w:p>
    <w:br w:type="page"/>
    <w:p>
      <w:pPr>
        <w:pStyle w:val="BodyText"/>
      </w:pPr>
      <w:bookmarkStart w:id="figure-3-4" w:name="figure-3-4"/>
      <w:bookmarkEnd w:id="figure-3-4"/>
    </w:p>
    <w:p>
      <w:pPr>
        <w:pStyle w:val="BodyText"/>
      </w:pPr>
      <w:r>
        <w:drawing>
          <wp:inline>
            <wp:extent cx="5969000" cy="5185867"/>
            <wp:effectExtent b="0" l="0" r="0" t="0"/>
            <wp:docPr descr="" title="" id="55" name="Picture"/>
            <a:graphic>
              <a:graphicData uri="http://schemas.openxmlformats.org/drawingml/2006/picture">
                <pic:pic>
                  <pic:nvPicPr>
                    <pic:cNvPr descr="images/006_section_results-and-discussion/009_section_ct-profiles/010_section_model-building/2_time_profile_plot_Tizanidine_Tizanidine_4mg_po_tablet_fasted.png" id="56" name="Picture"/>
                    <pic:cNvPicPr>
                      <a:picLocks noChangeArrowheads="1" noChangeAspect="1"/>
                    </pic:cNvPicPr>
                  </pic:nvPicPr>
                  <pic:blipFill>
                    <a:blip r:embed="rId54"/>
                    <a:stretch>
                      <a:fillRect/>
                    </a:stretch>
                  </pic:blipFill>
                  <pic:spPr bwMode="auto">
                    <a:xfrm>
                      <a:off x="0" y="0"/>
                      <a:ext cx="5969000" cy="5185867"/>
                    </a:xfrm>
                    <a:prstGeom prst="rect">
                      <a:avLst/>
                    </a:prstGeom>
                    <a:noFill/>
                    <a:ln w="9525">
                      <a:noFill/>
                      <a:headEnd/>
                      <a:tailEnd/>
                    </a:ln>
                  </pic:spPr>
                </pic:pic>
              </a:graphicData>
            </a:graphic>
          </wp:inline>
        </w:drawing>
      </w:r>
    </w:p>
    <w:p>
      <w:pPr>
        <w:pStyle w:val="BodyText"/>
      </w:pPr>
      <w:r>
        <w:rPr>
          <w:bCs/>
          <w:b/>
        </w:rPr>
        <w:t xml:space="preserve">Figure 3-4: Tizanidine 4mg po tablet fasted</w:t>
      </w:r>
    </w:p>
    <w:p>
      <w:pPr>
        <w:pStyle w:val="BodyText"/>
      </w:pPr>
      <w:r>
        <w:t xml:space="preserve"> </w:t>
      </w:r>
    </w:p>
    <w:br w:type="page"/>
    <w:p>
      <w:pPr>
        <w:pStyle w:val="BodyText"/>
      </w:pPr>
      <w:bookmarkStart w:id="figure-3-5" w:name="figure-3-5"/>
      <w:bookmarkEnd w:id="figure-3-5"/>
    </w:p>
    <w:p>
      <w:pPr>
        <w:pStyle w:val="BodyText"/>
      </w:pPr>
      <w:r>
        <w:drawing>
          <wp:inline>
            <wp:extent cx="5969000" cy="4290517"/>
            <wp:effectExtent b="0" l="0" r="0" t="0"/>
            <wp:docPr descr="" title="" id="58" name="Picture"/>
            <a:graphic>
              <a:graphicData uri="http://schemas.openxmlformats.org/drawingml/2006/picture">
                <pic:pic>
                  <pic:nvPicPr>
                    <pic:cNvPr descr="images/006_section_results-and-discussion/009_section_ct-profiles/010_section_model-building/3_time_profile_plot_Tizanidine_Tizanidine_4mg_po_capsule_fed.png" id="59" name="Picture"/>
                    <pic:cNvPicPr>
                      <a:picLocks noChangeArrowheads="1" noChangeAspect="1"/>
                    </pic:cNvPicPr>
                  </pic:nvPicPr>
                  <pic:blipFill>
                    <a:blip r:embed="rId57"/>
                    <a:stretch>
                      <a:fillRect/>
                    </a:stretch>
                  </pic:blipFill>
                  <pic:spPr bwMode="auto">
                    <a:xfrm>
                      <a:off x="0" y="0"/>
                      <a:ext cx="5969000" cy="4290517"/>
                    </a:xfrm>
                    <a:prstGeom prst="rect">
                      <a:avLst/>
                    </a:prstGeom>
                    <a:noFill/>
                    <a:ln w="9525">
                      <a:noFill/>
                      <a:headEnd/>
                      <a:tailEnd/>
                    </a:ln>
                  </pic:spPr>
                </pic:pic>
              </a:graphicData>
            </a:graphic>
          </wp:inline>
        </w:drawing>
      </w:r>
    </w:p>
    <w:p>
      <w:pPr>
        <w:pStyle w:val="BodyText"/>
      </w:pPr>
      <w:r>
        <w:rPr>
          <w:bCs/>
          <w:b/>
        </w:rPr>
        <w:t xml:space="preserve">Figure 3-5: Tizanidine 4mg po capsule fed</w:t>
      </w:r>
    </w:p>
    <w:p>
      <w:pPr>
        <w:pStyle w:val="BodyText"/>
      </w:pPr>
      <w:r>
        <w:t xml:space="preserve"> </w:t>
      </w:r>
    </w:p>
    <w:br w:type="page"/>
    <w:p>
      <w:pPr>
        <w:pStyle w:val="BodyText"/>
      </w:pPr>
      <w:bookmarkStart w:id="figure-3-6" w:name="figure-3-6"/>
      <w:bookmarkEnd w:id="figure-3-6"/>
    </w:p>
    <w:p>
      <w:pPr>
        <w:pStyle w:val="BodyText"/>
      </w:pPr>
      <w:r>
        <w:drawing>
          <wp:inline>
            <wp:extent cx="5969000" cy="4290517"/>
            <wp:effectExtent b="0" l="0" r="0" t="0"/>
            <wp:docPr descr="" title="" id="61" name="Picture"/>
            <a:graphic>
              <a:graphicData uri="http://schemas.openxmlformats.org/drawingml/2006/picture">
                <pic:pic>
                  <pic:nvPicPr>
                    <pic:cNvPr descr="images/006_section_results-and-discussion/009_section_ct-profiles/010_section_model-building/4_time_profile_plot_Tizanidine_Tizanidine_4mg_po_tablet_fed.png" id="62" name="Picture"/>
                    <pic:cNvPicPr>
                      <a:picLocks noChangeArrowheads="1" noChangeAspect="1"/>
                    </pic:cNvPicPr>
                  </pic:nvPicPr>
                  <pic:blipFill>
                    <a:blip r:embed="rId60"/>
                    <a:stretch>
                      <a:fillRect/>
                    </a:stretch>
                  </pic:blipFill>
                  <pic:spPr bwMode="auto">
                    <a:xfrm>
                      <a:off x="0" y="0"/>
                      <a:ext cx="5969000" cy="4290517"/>
                    </a:xfrm>
                    <a:prstGeom prst="rect">
                      <a:avLst/>
                    </a:prstGeom>
                    <a:noFill/>
                    <a:ln w="9525">
                      <a:noFill/>
                      <a:headEnd/>
                      <a:tailEnd/>
                    </a:ln>
                  </pic:spPr>
                </pic:pic>
              </a:graphicData>
            </a:graphic>
          </wp:inline>
        </w:drawing>
      </w:r>
    </w:p>
    <w:p>
      <w:pPr>
        <w:pStyle w:val="BodyText"/>
      </w:pPr>
      <w:r>
        <w:rPr>
          <w:bCs/>
          <w:b/>
        </w:rPr>
        <w:t xml:space="preserve">Figure 3-6: Tizanidine 4mg po tablet fed</w:t>
      </w:r>
    </w:p>
    <w:p>
      <w:pPr>
        <w:pStyle w:val="BodyText"/>
      </w:pPr>
      <w:r>
        <w:t xml:space="preserve"> </w:t>
      </w:r>
    </w:p>
    <w:bookmarkEnd w:id="63"/>
    <w:bookmarkStart w:id="85" w:name="model-verification"/>
    <w:p>
      <w:pPr>
        <w:pStyle w:val="Heading3"/>
      </w:pPr>
      <w:r>
        <w:t xml:space="preserve">Model Verification</w:t>
      </w:r>
      <w:bookmarkStart w:id="model-verification" w:name="model-verification"/>
      <w:bookmarkEnd w:id="model-verification"/>
    </w:p>
    <w:br w:type="page"/>
    <w:p>
      <w:pPr>
        <w:pStyle w:val="FirstParagraph"/>
      </w:pPr>
      <w:bookmarkStart w:id="figure-3-7" w:name="figure-3-7"/>
      <w:bookmarkEnd w:id="figure-3-7"/>
    </w:p>
    <w:p>
      <w:pPr>
        <w:pStyle w:val="BodyText"/>
      </w:pPr>
      <w:r>
        <w:drawing>
          <wp:inline>
            <wp:extent cx="5969000" cy="4471974"/>
            <wp:effectExtent b="0" l="0" r="0" t="0"/>
            <wp:docPr descr="" title="" id="65" name="Picture"/>
            <a:graphic>
              <a:graphicData uri="http://schemas.openxmlformats.org/drawingml/2006/picture">
                <pic:pic>
                  <pic:nvPicPr>
                    <pic:cNvPr descr="images/006_section_results-and-discussion/009_section_ct-profiles/011_section_model-verification/5_time_profile_plot_Tizanidine_Tizanidine_4mg_t_i_d__po_tablet_fasted.png" id="66" name="Picture"/>
                    <pic:cNvPicPr>
                      <a:picLocks noChangeArrowheads="1" noChangeAspect="1"/>
                    </pic:cNvPicPr>
                  </pic:nvPicPr>
                  <pic:blipFill>
                    <a:blip r:embed="rId64"/>
                    <a:stretch>
                      <a:fillRect/>
                    </a:stretch>
                  </pic:blipFill>
                  <pic:spPr bwMode="auto">
                    <a:xfrm>
                      <a:off x="0" y="0"/>
                      <a:ext cx="5969000" cy="4471974"/>
                    </a:xfrm>
                    <a:prstGeom prst="rect">
                      <a:avLst/>
                    </a:prstGeom>
                    <a:noFill/>
                    <a:ln w="9525">
                      <a:noFill/>
                      <a:headEnd/>
                      <a:tailEnd/>
                    </a:ln>
                  </pic:spPr>
                </pic:pic>
              </a:graphicData>
            </a:graphic>
          </wp:inline>
        </w:drawing>
      </w:r>
    </w:p>
    <w:p>
      <w:pPr>
        <w:pStyle w:val="BodyText"/>
      </w:pPr>
      <w:r>
        <w:rPr>
          <w:bCs/>
          <w:b/>
        </w:rPr>
        <w:t xml:space="preserve">Figure 3-7: Tizanidine 4mg tid po tablet fasted</w:t>
      </w:r>
    </w:p>
    <w:p>
      <w:pPr>
        <w:pStyle w:val="BodyText"/>
      </w:pPr>
      <w:r>
        <w:t xml:space="preserve"> </w:t>
      </w:r>
    </w:p>
    <w:br w:type="page"/>
    <w:p>
      <w:pPr>
        <w:pStyle w:val="BodyText"/>
      </w:pPr>
      <w:bookmarkStart w:id="figure-3-8" w:name="figure-3-8"/>
      <w:bookmarkEnd w:id="figure-3-8"/>
    </w:p>
    <w:p>
      <w:pPr>
        <w:pStyle w:val="BodyText"/>
      </w:pPr>
      <w:r>
        <w:drawing>
          <wp:inline>
            <wp:extent cx="5969000" cy="4290517"/>
            <wp:effectExtent b="0" l="0" r="0" t="0"/>
            <wp:docPr descr="" title="" id="68" name="Picture"/>
            <a:graphic>
              <a:graphicData uri="http://schemas.openxmlformats.org/drawingml/2006/picture">
                <pic:pic>
                  <pic:nvPicPr>
                    <pic:cNvPr descr="images/006_section_results-and-discussion/009_section_ct-profiles/011_section_model-verification/6_time_profile_plot_Tizanidine_Tizanidine_6mg_po_capsule_fasted.png" id="69" name="Picture"/>
                    <pic:cNvPicPr>
                      <a:picLocks noChangeArrowheads="1" noChangeAspect="1"/>
                    </pic:cNvPicPr>
                  </pic:nvPicPr>
                  <pic:blipFill>
                    <a:blip r:embed="rId67"/>
                    <a:stretch>
                      <a:fillRect/>
                    </a:stretch>
                  </pic:blipFill>
                  <pic:spPr bwMode="auto">
                    <a:xfrm>
                      <a:off x="0" y="0"/>
                      <a:ext cx="5969000" cy="4290517"/>
                    </a:xfrm>
                    <a:prstGeom prst="rect">
                      <a:avLst/>
                    </a:prstGeom>
                    <a:noFill/>
                    <a:ln w="9525">
                      <a:noFill/>
                      <a:headEnd/>
                      <a:tailEnd/>
                    </a:ln>
                  </pic:spPr>
                </pic:pic>
              </a:graphicData>
            </a:graphic>
          </wp:inline>
        </w:drawing>
      </w:r>
    </w:p>
    <w:p>
      <w:pPr>
        <w:pStyle w:val="BodyText"/>
      </w:pPr>
      <w:r>
        <w:rPr>
          <w:bCs/>
          <w:b/>
        </w:rPr>
        <w:t xml:space="preserve">Figure 3-8: Tizanidine 6mg po capsule fasted</w:t>
      </w:r>
    </w:p>
    <w:p>
      <w:pPr>
        <w:pStyle w:val="BodyText"/>
      </w:pPr>
      <w:r>
        <w:t xml:space="preserve"> </w:t>
      </w:r>
    </w:p>
    <w:br w:type="page"/>
    <w:p>
      <w:pPr>
        <w:pStyle w:val="BodyText"/>
      </w:pPr>
      <w:bookmarkStart w:id="figure-3-9" w:name="figure-3-9"/>
      <w:bookmarkEnd w:id="figure-3-9"/>
    </w:p>
    <w:p>
      <w:pPr>
        <w:pStyle w:val="BodyText"/>
      </w:pPr>
      <w:r>
        <w:drawing>
          <wp:inline>
            <wp:extent cx="5969000" cy="4290517"/>
            <wp:effectExtent b="0" l="0" r="0" t="0"/>
            <wp:docPr descr="" title="" id="71" name="Picture"/>
            <a:graphic>
              <a:graphicData uri="http://schemas.openxmlformats.org/drawingml/2006/picture">
                <pic:pic>
                  <pic:nvPicPr>
                    <pic:cNvPr descr="images/006_section_results-and-discussion/009_section_ct-profiles/011_section_model-verification/7_time_profile_plot_Tizanidine_Tizanidine_8mg_po_capsule_fasted.png" id="72" name="Picture"/>
                    <pic:cNvPicPr>
                      <a:picLocks noChangeArrowheads="1" noChangeAspect="1"/>
                    </pic:cNvPicPr>
                  </pic:nvPicPr>
                  <pic:blipFill>
                    <a:blip r:embed="rId70"/>
                    <a:stretch>
                      <a:fillRect/>
                    </a:stretch>
                  </pic:blipFill>
                  <pic:spPr bwMode="auto">
                    <a:xfrm>
                      <a:off x="0" y="0"/>
                      <a:ext cx="5969000" cy="4290517"/>
                    </a:xfrm>
                    <a:prstGeom prst="rect">
                      <a:avLst/>
                    </a:prstGeom>
                    <a:noFill/>
                    <a:ln w="9525">
                      <a:noFill/>
                      <a:headEnd/>
                      <a:tailEnd/>
                    </a:ln>
                  </pic:spPr>
                </pic:pic>
              </a:graphicData>
            </a:graphic>
          </wp:inline>
        </w:drawing>
      </w:r>
    </w:p>
    <w:p>
      <w:pPr>
        <w:pStyle w:val="BodyText"/>
      </w:pPr>
      <w:r>
        <w:rPr>
          <w:bCs/>
          <w:b/>
        </w:rPr>
        <w:t xml:space="preserve">Figure 3-9: Tizanidine 8mg po capsule fasted</w:t>
      </w:r>
    </w:p>
    <w:p>
      <w:pPr>
        <w:pStyle w:val="BodyText"/>
      </w:pPr>
      <w:r>
        <w:t xml:space="preserve"> </w:t>
      </w:r>
    </w:p>
    <w:br w:type="page"/>
    <w:p>
      <w:pPr>
        <w:pStyle w:val="BodyText"/>
      </w:pPr>
      <w:bookmarkStart w:id="figure-3-10" w:name="figure-3-10"/>
      <w:bookmarkEnd w:id="figure-3-10"/>
    </w:p>
    <w:p>
      <w:pPr>
        <w:pStyle w:val="BodyText"/>
      </w:pPr>
      <w:r>
        <w:drawing>
          <wp:inline>
            <wp:extent cx="5969000" cy="4290517"/>
            <wp:effectExtent b="0" l="0" r="0" t="0"/>
            <wp:docPr descr="" title="" id="74" name="Picture"/>
            <a:graphic>
              <a:graphicData uri="http://schemas.openxmlformats.org/drawingml/2006/picture">
                <pic:pic>
                  <pic:nvPicPr>
                    <pic:cNvPr descr="images/006_section_results-and-discussion/009_section_ct-profiles/011_section_model-verification/8_time_profile_plot_Tizanidine_Tizanidine_8mg_po_tablet_fasted.png" id="75" name="Picture"/>
                    <pic:cNvPicPr>
                      <a:picLocks noChangeArrowheads="1" noChangeAspect="1"/>
                    </pic:cNvPicPr>
                  </pic:nvPicPr>
                  <pic:blipFill>
                    <a:blip r:embed="rId73"/>
                    <a:stretch>
                      <a:fillRect/>
                    </a:stretch>
                  </pic:blipFill>
                  <pic:spPr bwMode="auto">
                    <a:xfrm>
                      <a:off x="0" y="0"/>
                      <a:ext cx="5969000" cy="4290517"/>
                    </a:xfrm>
                    <a:prstGeom prst="rect">
                      <a:avLst/>
                    </a:prstGeom>
                    <a:noFill/>
                    <a:ln w="9525">
                      <a:noFill/>
                      <a:headEnd/>
                      <a:tailEnd/>
                    </a:ln>
                  </pic:spPr>
                </pic:pic>
              </a:graphicData>
            </a:graphic>
          </wp:inline>
        </w:drawing>
      </w:r>
    </w:p>
    <w:p>
      <w:pPr>
        <w:pStyle w:val="BodyText"/>
      </w:pPr>
      <w:r>
        <w:rPr>
          <w:bCs/>
          <w:b/>
        </w:rPr>
        <w:t xml:space="preserve">Figure 3-10: Tizanidine 8mg po tablet fasted</w:t>
      </w:r>
    </w:p>
    <w:p>
      <w:pPr>
        <w:pStyle w:val="BodyText"/>
      </w:pPr>
      <w:r>
        <w:t xml:space="preserve"> </w:t>
      </w:r>
    </w:p>
    <w:br w:type="page"/>
    <w:p>
      <w:pPr>
        <w:pStyle w:val="BodyText"/>
      </w:pPr>
      <w:bookmarkStart w:id="figure-3-11" w:name="figure-3-11"/>
      <w:bookmarkEnd w:id="figure-3-11"/>
    </w:p>
    <w:p>
      <w:pPr>
        <w:pStyle w:val="BodyText"/>
      </w:pPr>
      <w:r>
        <w:drawing>
          <wp:inline>
            <wp:extent cx="5969000" cy="4290517"/>
            <wp:effectExtent b="0" l="0" r="0" t="0"/>
            <wp:docPr descr="" title="" id="77" name="Picture"/>
            <a:graphic>
              <a:graphicData uri="http://schemas.openxmlformats.org/drawingml/2006/picture">
                <pic:pic>
                  <pic:nvPicPr>
                    <pic:cNvPr descr="images/006_section_results-and-discussion/009_section_ct-profiles/011_section_model-verification/9_time_profile_plot_Tizanidine_Tizanidine_8mg_po_capsule_fed.png" id="78" name="Picture"/>
                    <pic:cNvPicPr>
                      <a:picLocks noChangeArrowheads="1" noChangeAspect="1"/>
                    </pic:cNvPicPr>
                  </pic:nvPicPr>
                  <pic:blipFill>
                    <a:blip r:embed="rId76"/>
                    <a:stretch>
                      <a:fillRect/>
                    </a:stretch>
                  </pic:blipFill>
                  <pic:spPr bwMode="auto">
                    <a:xfrm>
                      <a:off x="0" y="0"/>
                      <a:ext cx="5969000" cy="4290517"/>
                    </a:xfrm>
                    <a:prstGeom prst="rect">
                      <a:avLst/>
                    </a:prstGeom>
                    <a:noFill/>
                    <a:ln w="9525">
                      <a:noFill/>
                      <a:headEnd/>
                      <a:tailEnd/>
                    </a:ln>
                  </pic:spPr>
                </pic:pic>
              </a:graphicData>
            </a:graphic>
          </wp:inline>
        </w:drawing>
      </w:r>
    </w:p>
    <w:p>
      <w:pPr>
        <w:pStyle w:val="BodyText"/>
      </w:pPr>
      <w:r>
        <w:rPr>
          <w:bCs/>
          <w:b/>
        </w:rPr>
        <w:t xml:space="preserve">Figure 3-11: Tizanidine 8mg po capsule fed</w:t>
      </w:r>
    </w:p>
    <w:p>
      <w:pPr>
        <w:pStyle w:val="BodyText"/>
      </w:pPr>
      <w:r>
        <w:t xml:space="preserve"> </w:t>
      </w:r>
    </w:p>
    <w:br w:type="page"/>
    <w:p>
      <w:pPr>
        <w:pStyle w:val="BodyText"/>
      </w:pPr>
      <w:bookmarkStart w:id="figure-3-12" w:name="figure-3-12"/>
      <w:bookmarkEnd w:id="figure-3-12"/>
    </w:p>
    <w:p>
      <w:pPr>
        <w:pStyle w:val="BodyText"/>
      </w:pPr>
      <w:r>
        <w:drawing>
          <wp:inline>
            <wp:extent cx="5969000" cy="4290517"/>
            <wp:effectExtent b="0" l="0" r="0" t="0"/>
            <wp:docPr descr="" title="" id="80" name="Picture"/>
            <a:graphic>
              <a:graphicData uri="http://schemas.openxmlformats.org/drawingml/2006/picture">
                <pic:pic>
                  <pic:nvPicPr>
                    <pic:cNvPr descr="images/006_section_results-and-discussion/009_section_ct-profiles/011_section_model-verification/10_time_profile_plot_Tizanidine_Tizanidine_8mg_po_tablet_fed.png" id="81" name="Picture"/>
                    <pic:cNvPicPr>
                      <a:picLocks noChangeArrowheads="1" noChangeAspect="1"/>
                    </pic:cNvPicPr>
                  </pic:nvPicPr>
                  <pic:blipFill>
                    <a:blip r:embed="rId79"/>
                    <a:stretch>
                      <a:fillRect/>
                    </a:stretch>
                  </pic:blipFill>
                  <pic:spPr bwMode="auto">
                    <a:xfrm>
                      <a:off x="0" y="0"/>
                      <a:ext cx="5969000" cy="4290517"/>
                    </a:xfrm>
                    <a:prstGeom prst="rect">
                      <a:avLst/>
                    </a:prstGeom>
                    <a:noFill/>
                    <a:ln w="9525">
                      <a:noFill/>
                      <a:headEnd/>
                      <a:tailEnd/>
                    </a:ln>
                  </pic:spPr>
                </pic:pic>
              </a:graphicData>
            </a:graphic>
          </wp:inline>
        </w:drawing>
      </w:r>
    </w:p>
    <w:p>
      <w:pPr>
        <w:pStyle w:val="BodyText"/>
      </w:pPr>
      <w:r>
        <w:rPr>
          <w:bCs/>
          <w:b/>
        </w:rPr>
        <w:t xml:space="preserve">Figure 3-12: Tizanidine 8mg po tablet fed</w:t>
      </w:r>
    </w:p>
    <w:p>
      <w:pPr>
        <w:pStyle w:val="BodyText"/>
      </w:pPr>
      <w:r>
        <w:t xml:space="preserve"> </w:t>
      </w:r>
    </w:p>
    <w:br w:type="page"/>
    <w:p>
      <w:pPr>
        <w:pStyle w:val="BodyText"/>
      </w:pPr>
      <w:bookmarkStart w:id="figure-3-13" w:name="figure-3-13"/>
      <w:bookmarkEnd w:id="figure-3-13"/>
    </w:p>
    <w:p>
      <w:pPr>
        <w:pStyle w:val="BodyText"/>
      </w:pPr>
      <w:r>
        <w:drawing>
          <wp:inline>
            <wp:extent cx="5969000" cy="4471974"/>
            <wp:effectExtent b="0" l="0" r="0" t="0"/>
            <wp:docPr descr="" title="" id="83" name="Picture"/>
            <a:graphic>
              <a:graphicData uri="http://schemas.openxmlformats.org/drawingml/2006/picture">
                <pic:pic>
                  <pic:nvPicPr>
                    <pic:cNvPr descr="images/006_section_results-and-discussion/009_section_ct-profiles/011_section_model-verification/11_time_profile_plot_Tizanidine_Tizanidine_4mg_po_tablet_fasted_population.png" id="84" name="Picture"/>
                    <pic:cNvPicPr>
                      <a:picLocks noChangeArrowheads="1" noChangeAspect="1"/>
                    </pic:cNvPicPr>
                  </pic:nvPicPr>
                  <pic:blipFill>
                    <a:blip r:embed="rId82"/>
                    <a:stretch>
                      <a:fillRect/>
                    </a:stretch>
                  </pic:blipFill>
                  <pic:spPr bwMode="auto">
                    <a:xfrm>
                      <a:off x="0" y="0"/>
                      <a:ext cx="5969000" cy="4471974"/>
                    </a:xfrm>
                    <a:prstGeom prst="rect">
                      <a:avLst/>
                    </a:prstGeom>
                    <a:noFill/>
                    <a:ln w="9525">
                      <a:noFill/>
                      <a:headEnd/>
                      <a:tailEnd/>
                    </a:ln>
                  </pic:spPr>
                </pic:pic>
              </a:graphicData>
            </a:graphic>
          </wp:inline>
        </w:drawing>
      </w:r>
    </w:p>
    <w:p>
      <w:pPr>
        <w:pStyle w:val="BodyText"/>
      </w:pPr>
      <w:r>
        <w:rPr>
          <w:bCs/>
          <w:b/>
        </w:rPr>
        <w:t xml:space="preserve">Figure 3-13: Time Profile Analysis</w:t>
      </w:r>
    </w:p>
    <w:p>
      <w:pPr>
        <w:pStyle w:val="BodyText"/>
      </w:pPr>
      <w:r>
        <w:t xml:space="preserve"> </w:t>
      </w:r>
    </w:p>
    <w:bookmarkEnd w:id="85"/>
    <w:bookmarkEnd w:id="86"/>
    <w:bookmarkEnd w:id="87"/>
    <w:bookmarkStart w:id="88" w:name="conclusion"/>
    <w:p>
      <w:pPr>
        <w:pStyle w:val="Heading1"/>
      </w:pPr>
      <w:r>
        <w:t xml:space="preserve">Conclusion</w:t>
      </w:r>
      <w:bookmarkStart w:id="conclusion" w:name="conclusion"/>
      <w:bookmarkEnd w:id="conclusion"/>
    </w:p>
    <w:p>
      <w:pPr>
        <w:pStyle w:val="FirstParagraph"/>
      </w:pPr>
      <w:r>
        <w:t xml:space="preserve">The PBPK model developed for tizanidine accurately predicts the time-profiles following single and multiple dosing of tizanidine. Population simulations show that predicted PK variability is in accordance with the literature.</w:t>
      </w:r>
    </w:p>
    <w:p>
      <w:pPr>
        <w:pStyle w:val="BodyText"/>
      </w:pPr>
      <w:r>
        <w:t xml:space="preserve">The renal elimination is limited to glomerular filtration only. The predicted small fraction eliminated in Urine (~1%) is in line with literature reports (&lt;5%). Given the minor contribution of the renal pathway no further exploration of active secretion was considered as the impact on DDI predictions is likely small.</w:t>
      </w:r>
    </w:p>
    <w:p>
      <w:pPr>
        <w:pStyle w:val="BodyText"/>
      </w:pPr>
      <w:r>
        <w:t xml:space="preserve">Observed data suggests that administration of food accelerates the dissolution of tizanidine tablets, which is modeled through a separate set of parameter values. The effect of food on the capsule could not be described well in terms of peak concentrations. DDI predictions should be restricted to the tablet formulation. The fa estimated by PK-Sim was 1.0 in both fed and fasted condition, indicating that fa was not the limiting factor in this model.</w:t>
      </w:r>
    </w:p>
    <w:p>
      <w:pPr>
        <w:pStyle w:val="BodyText"/>
      </w:pPr>
      <w:r>
        <w:t xml:space="preserve">As the model was developed in non-smoking subjects, it cannot be used to predict tizanidine concentrations in smokers.</w:t>
      </w:r>
    </w:p>
    <w:bookmarkEnd w:id="88"/>
    <w:bookmarkStart w:id="89" w:name="references"/>
    <w:p>
      <w:pPr>
        <w:pStyle w:val="Heading1"/>
      </w:pPr>
      <w:r>
        <w:t xml:space="preserve">References</w:t>
      </w:r>
      <w:bookmarkStart w:id="main-references" w:name="main-references"/>
      <w:bookmarkEnd w:id="main-references"/>
    </w:p>
    <w:p>
      <w:pPr>
        <w:pStyle w:val="FirstParagraph"/>
      </w:pPr>
      <w:r>
        <w:rPr>
          <w:bCs/>
          <w:b/>
        </w:rPr>
        <w:t xml:space="preserve">Al-Ghazawi 2013</w:t>
      </w:r>
      <w:r>
        <w:t xml:space="preserve"> </w:t>
      </w:r>
      <w:r>
        <w:t xml:space="preserve">Al-Ghazawi M, Alzoubi M, Faidi B. Pharmacokinetic comparison of two 4 mg tablet formulations of tizanidine. Int Journal of Clinical Pharmacology and Therapeutics. 2013 Mar 1;51(03):255–63.</w:t>
      </w:r>
    </w:p>
    <w:p>
      <w:pPr>
        <w:pStyle w:val="BodyText"/>
      </w:pPr>
      <w:r>
        <w:rPr>
          <w:bCs/>
          <w:b/>
        </w:rPr>
        <w:t xml:space="preserve">Backman 2006</w:t>
      </w:r>
      <w:r>
        <w:t xml:space="preserve"> </w:t>
      </w:r>
      <w:r>
        <w:t xml:space="preserve">Backman JT, Granfors MT, Neuvonen PJ. Rifampicin is only a weak inducer of CYP1A2-mediated presystemic and systemic metabolism: Studies with tizanidine and caffeine. Eur J Clin Pharmacol. 2006;62(6):451-461.</w:t>
      </w:r>
    </w:p>
    <w:p>
      <w:pPr>
        <w:pStyle w:val="BodyText"/>
      </w:pPr>
      <w:r>
        <w:rPr>
          <w:bCs/>
          <w:b/>
        </w:rPr>
        <w:t xml:space="preserve">Backman 2008</w:t>
      </w:r>
      <w:r>
        <w:t xml:space="preserve"> </w:t>
      </w:r>
      <w:r>
        <w:t xml:space="preserve">Backman JT, Schröder MT, Neuvonen PJ. Effects of gender and moderate smoking on the pharmacokinetics and effects of the CYP1A2 substrate tizanidine. Eur J Clin Pharmacol. 2008;64(1):17-24.</w:t>
      </w:r>
    </w:p>
    <w:p>
      <w:pPr>
        <w:pStyle w:val="BodyText"/>
      </w:pPr>
      <w:r>
        <w:rPr>
          <w:bCs/>
          <w:b/>
        </w:rPr>
        <w:t xml:space="preserve">DrugBank DB00697</w:t>
      </w:r>
      <w:r>
        <w:t xml:space="preserve"> </w:t>
      </w:r>
      <w:r>
        <w:t xml:space="preserve">(https://www.drugbank.ca/drugs/DB00697)</w:t>
      </w:r>
    </w:p>
    <w:p>
      <w:pPr>
        <w:pStyle w:val="BodyText"/>
      </w:pPr>
      <w:r>
        <w:rPr>
          <w:bCs/>
          <w:b/>
        </w:rPr>
        <w:t xml:space="preserve">Granfors 2004</w:t>
      </w:r>
      <w:r>
        <w:t xml:space="preserve"> </w:t>
      </w:r>
      <w:r>
        <w:t xml:space="preserve">Granfors MT, Backman JT, Laitila J, Neuvonen PJ. Tizanidine is mainly metabolized by cytochrome P450 1A2 in vitro: Tizanidine is mainly metabolized by cytochrome P450 IA2 in vitro. British Journal of Clinical Pharmacology. 2004 Jan 8;57(3):349–53.</w:t>
      </w:r>
    </w:p>
    <w:p>
      <w:pPr>
        <w:pStyle w:val="BodyText"/>
      </w:pPr>
      <w:r>
        <w:rPr>
          <w:bCs/>
          <w:b/>
        </w:rPr>
        <w:t xml:space="preserve">Heazlewood 1983</w:t>
      </w:r>
      <w:r>
        <w:t xml:space="preserve"> </w:t>
      </w:r>
      <w:r>
        <w:t xml:space="preserve">Heazlewood V, Symoniw P, Maruff P, Eadie M. Tizanidine- Initial pharmacokinetic studies in patients with spasticity. Eur J Clin Pharmacol. 1983; 25:65-67.</w:t>
      </w:r>
    </w:p>
    <w:p>
      <w:pPr>
        <w:pStyle w:val="BodyText"/>
      </w:pPr>
      <w:r>
        <w:rPr>
          <w:bCs/>
          <w:b/>
        </w:rPr>
        <w:t xml:space="preserve">Henney 2007</w:t>
      </w:r>
      <w:r>
        <w:t xml:space="preserve"> </w:t>
      </w:r>
      <w:r>
        <w:t xml:space="preserve">Henney HR, Shah J. Relative bioavailability of tizanidine 4-mg capsule and tablet formulations after a standardized high-fat meal: A single-dose, randomized, open-label, crossover study in healthy subjects. Clin Ther. 2007;29(4):661-669.</w:t>
      </w:r>
    </w:p>
    <w:p>
      <w:pPr>
        <w:pStyle w:val="BodyText"/>
      </w:pPr>
      <w:r>
        <w:rPr>
          <w:bCs/>
          <w:b/>
        </w:rPr>
        <w:t xml:space="preserve">Henney 2008</w:t>
      </w:r>
      <w:r>
        <w:t xml:space="preserve"> </w:t>
      </w:r>
      <w:r>
        <w:t xml:space="preserve">Henney HR, Fitzpatrick A, Stewart J, Runyan JD. Relative bioavailability of tizanidine hydrochloride capsule formulation compared with capsule contents administered in applesauce: A single-dose, open-label, randomized, two-way, crossover study in fasted healthy adult subjects. Clinical Therapeutics. 2008 Dec;30(12):2263–71.</w:t>
      </w:r>
    </w:p>
    <w:p>
      <w:pPr>
        <w:pStyle w:val="BodyText"/>
      </w:pPr>
      <w:r>
        <w:rPr>
          <w:bCs/>
          <w:b/>
        </w:rPr>
        <w:t xml:space="preserve">Kuepfer 2016</w:t>
      </w:r>
      <w:r>
        <w:t xml:space="preserve"> </w:t>
      </w:r>
      <w:r>
        <w:t xml:space="preserve">Kuepfer L, Niederalt C, Wendl T, Schlender JF, Willmann S, Lippert J, Block M, Eissing T, Teutonico D. Applied Concepts in PBPK Modeling: How to Build a PBPK/PD Model.CPT Pharmacometrics Syst Pharmacol. 2016 Oct;5(10):516-531.</w:t>
      </w:r>
    </w:p>
    <w:p>
      <w:pPr>
        <w:pStyle w:val="BodyText"/>
      </w:pPr>
      <w:r>
        <w:rPr>
          <w:bCs/>
          <w:b/>
        </w:rPr>
        <w:t xml:space="preserve">Mathias 1989</w:t>
      </w:r>
      <w:r>
        <w:t xml:space="preserve"> </w:t>
      </w:r>
      <w:r>
        <w:t xml:space="preserve">Mathias C, Luckitt J, Desai P, Baker H, Masri W El, Hans I. Pharmacodynamics and pharmacokinetics of the oral antispastic agent tizanidine in patients with spinal cord injury. J Rehabil Res. 1989;26(4):9-16.</w:t>
      </w:r>
    </w:p>
    <w:p>
      <w:pPr>
        <w:pStyle w:val="BodyText"/>
      </w:pPr>
      <w:r>
        <w:rPr>
          <w:bCs/>
          <w:b/>
        </w:rPr>
        <w:t xml:space="preserve">Momo 2010</w:t>
      </w:r>
      <w:r>
        <w:t xml:space="preserve"> </w:t>
      </w:r>
      <w:r>
        <w:t xml:space="preserve">Momo K, Homma M, Osaka Y, Inomata SI, Tanaka M, Kohda Y. Effects of mexiletine, a CYP1A2 inhibitor, on tizanidine pharmacokinetics and pharmacodynamics. J Clin Pharmacol. 2010;50(3):331-337.</w:t>
      </w:r>
    </w:p>
    <w:p>
      <w:pPr>
        <w:pStyle w:val="BodyText"/>
      </w:pPr>
      <w:r>
        <w:rPr>
          <w:bCs/>
          <w:b/>
        </w:rPr>
        <w:t xml:space="preserve">PK-Sim Ontogeny Database Version 7.3</w:t>
      </w:r>
      <w:r>
        <w:t xml:space="preserve"> </w:t>
      </w:r>
      <w:r>
        <w:t xml:space="preserve">(https://github.com/Open-Systems-Pharmacology/OSPSuite.Documentation/blob/38cf71b384cfc25cfa0ce4d2f3addfd32757e13b/PK-Sim%20Ontogeny%20Database%20Version%207.3.pdf)</w:t>
      </w:r>
    </w:p>
    <w:p>
      <w:pPr>
        <w:pStyle w:val="BodyText"/>
      </w:pPr>
      <w:r>
        <w:rPr>
          <w:bCs/>
          <w:b/>
        </w:rPr>
        <w:t xml:space="preserve">Schellenberger 1999</w:t>
      </w:r>
      <w:r>
        <w:t xml:space="preserve"> </w:t>
      </w:r>
      <w:r>
        <w:t xml:space="preserve">Schellenberger MK, Groves L, Shah J, Novack GD. A controlled pharmacokinetic evaluation of tizanidine and baclofen at steady state. Drug Metabolism and Disposition.1999;2:201–4.</w:t>
      </w:r>
    </w:p>
    <w:p>
      <w:pPr>
        <w:pStyle w:val="BodyText"/>
      </w:pPr>
      <w:r>
        <w:rPr>
          <w:bCs/>
          <w:b/>
        </w:rPr>
        <w:t xml:space="preserve">Shah 2006</w:t>
      </w:r>
      <w:r>
        <w:t xml:space="preserve"> </w:t>
      </w:r>
      <w:r>
        <w:t xml:space="preserve">Shah J, Wesnes KA, Kovelesky RA, Henney HR. Effects of food on the single-dose pharmacokinetics/pharmacodynamics of tizanidine capsules and tablets in healthy volunteers. Clin Ther. 2006;28(9):1308-1317.</w:t>
      </w:r>
    </w:p>
    <w:p>
      <w:pPr>
        <w:pStyle w:val="BodyText"/>
      </w:pPr>
      <w:r>
        <w:rPr>
          <w:bCs/>
          <w:b/>
        </w:rPr>
        <w:t xml:space="preserve">SmPC tizanidine</w:t>
      </w:r>
      <w:r>
        <w:t xml:space="preserve"> </w:t>
      </w:r>
      <w:r>
        <w:t xml:space="preserve">Zanaflex prescribing information. Website: https://www.accessdata.fda.gov/drugsatfda_docs/label/2006/020397s021,021447s002lbl.pdf , 2006, Acorda Therapeutics Inc</w:t>
      </w:r>
    </w:p>
    <w:p>
      <w:pPr>
        <w:pStyle w:val="BodyText"/>
      </w:pPr>
      <w:r>
        <w:rPr>
          <w:bCs/>
          <w:b/>
        </w:rPr>
        <w:t xml:space="preserve">Tse 1987</w:t>
      </w:r>
      <w:r>
        <w:t xml:space="preserve"> </w:t>
      </w:r>
      <w:r>
        <w:t xml:space="preserve">Tse FLS, Jaffe JM, Bhuta S. Pharmacokinetics Of Orally Administered Tizanidine In Healthy Volunteers. Fundamental &amp; Clinical Pharmacology. 1987 Nov 12;1(6):479–88.</w:t>
      </w:r>
    </w:p>
    <w:p>
      <w:pPr>
        <w:pStyle w:val="BodyText"/>
      </w:pPr>
      <w:r>
        <w:rPr>
          <w:bCs/>
          <w:b/>
        </w:rPr>
        <w:t xml:space="preserve">Willmann 2007</w:t>
      </w:r>
      <w:r>
        <w:t xml:space="preserve"> </w:t>
      </w:r>
      <w:r>
        <w:t xml:space="preserve">Willmann S, Höhn K, Edginton A, Sevestre M, Solodenko J, Weiss W, Lippert J, Schmitt W. Development of a physiology-based whole-body population model for assessing the influence of individual variability on the pharmacokinetics of drugs.</w:t>
      </w:r>
      <w:r>
        <w:t xml:space="preserve"> </w:t>
      </w:r>
      <w:r>
        <w:rPr>
          <w:iCs/>
          <w:i/>
        </w:rPr>
        <w:t xml:space="preserve">J Pharmacokinet Pharmacodyn</w:t>
      </w:r>
      <w:r>
        <w:t xml:space="preserve"> </w:t>
      </w:r>
      <w:r>
        <w:t xml:space="preserve">2007, 34(3): 401-431.</w:t>
      </w:r>
    </w:p>
    <w:bookmarkEnd w:id="89"/>
    <w:bookmarkStart w:id="90" w:name="glossary"/>
    <w:p>
      <w:pPr>
        <w:pStyle w:val="Heading1"/>
      </w:pPr>
      <w:r>
        <w:t xml:space="preserve">Glossary</w:t>
      </w:r>
      <w:bookmarkStart w:id="glossary" w:name="glossary"/>
      <w:bookmarkEnd w:id="glossary"/>
    </w:p>
    <w:tbl>
      <w:tblPr>
        <w:tblStyle w:val="Table"/>
        <w:tblW w:type="pct" w:w="5000"/>
        <w:tblLook w:firstRow="1" w:lastRow="0" w:firstColumn="0" w:lastColumn="0" w:noHBand="0" w:noVBand="0" w:val="0020"/>
        <w:jc w:val="start"/>
      </w:tblPr>
      <w:tblGrid>
        <w:gridCol w:w="827"/>
        <w:gridCol w:w="7092"/>
      </w:tblGrid>
      <w:tr>
        <w:trPr>
          <w:tblHeader w:val="true"/>
        </w:trPr>
        <w:tc>
          <w:tcPr/>
          <w:p>
            <w:pPr>
              <w:pStyle w:val="Compact"/>
              <w:jc w:val="left"/>
            </w:pPr>
            <w:r>
              <w:t xml:space="preserve">ADME</w:t>
            </w:r>
          </w:p>
        </w:tc>
        <w:tc>
          <w:tcPr/>
          <w:p>
            <w:pPr>
              <w:pStyle w:val="Compact"/>
              <w:jc w:val="left"/>
            </w:pPr>
            <w:r>
              <w:t xml:space="preserve">Absorption, Distribution, Metabolism, Excretion</w:t>
            </w:r>
          </w:p>
        </w:tc>
      </w:tr>
      <w:tr>
        <w:tc>
          <w:tcPr/>
          <w:p>
            <w:pPr>
              <w:pStyle w:val="Compact"/>
              <w:jc w:val="left"/>
            </w:pPr>
            <w:r>
              <w:t xml:space="preserve">AUC</w:t>
            </w:r>
          </w:p>
        </w:tc>
        <w:tc>
          <w:tcPr/>
          <w:p>
            <w:pPr>
              <w:pStyle w:val="Compact"/>
              <w:jc w:val="left"/>
            </w:pPr>
            <w:r>
              <w:t xml:space="preserve">Area under the plasma concentration versus time curve</w:t>
            </w:r>
          </w:p>
        </w:tc>
      </w:tr>
      <w:tr>
        <w:tc>
          <w:tcPr/>
          <w:p>
            <w:pPr>
              <w:pStyle w:val="Compact"/>
              <w:jc w:val="left"/>
            </w:pPr>
            <w:r>
              <w:t xml:space="preserve">AUCinf</w:t>
            </w:r>
          </w:p>
        </w:tc>
        <w:tc>
          <w:tcPr/>
          <w:p>
            <w:pPr>
              <w:pStyle w:val="Compact"/>
              <w:jc w:val="left"/>
            </w:pPr>
            <w:r>
              <w:t xml:space="preserve">AUC until infinity</w:t>
            </w:r>
          </w:p>
        </w:tc>
      </w:tr>
      <w:tr>
        <w:tc>
          <w:tcPr/>
          <w:p>
            <w:pPr>
              <w:pStyle w:val="Compact"/>
              <w:jc w:val="left"/>
            </w:pPr>
            <w:r>
              <w:t xml:space="preserve">AUClast</w:t>
            </w:r>
          </w:p>
        </w:tc>
        <w:tc>
          <w:tcPr/>
          <w:p>
            <w:pPr>
              <w:pStyle w:val="Compact"/>
              <w:jc w:val="left"/>
            </w:pPr>
            <w:r>
              <w:t xml:space="preserve">AUC until last measurable sample</w:t>
            </w:r>
          </w:p>
        </w:tc>
      </w:tr>
      <w:tr>
        <w:tc>
          <w:tcPr/>
          <w:p>
            <w:pPr>
              <w:pStyle w:val="Compact"/>
              <w:jc w:val="left"/>
            </w:pPr>
            <w:r>
              <w:t xml:space="preserve">AUCR</w:t>
            </w:r>
          </w:p>
        </w:tc>
        <w:tc>
          <w:tcPr/>
          <w:p>
            <w:pPr>
              <w:pStyle w:val="Compact"/>
              <w:jc w:val="left"/>
            </w:pPr>
            <w:r>
              <w:t xml:space="preserve">Area under the plasma concentration versus time curve Ratio</w:t>
            </w:r>
          </w:p>
        </w:tc>
      </w:tr>
      <w:tr>
        <w:tc>
          <w:tcPr/>
          <w:p>
            <w:pPr>
              <w:pStyle w:val="Compact"/>
              <w:jc w:val="left"/>
            </w:pPr>
            <w:r>
              <w:t xml:space="preserve">b.i.d.</w:t>
            </w:r>
          </w:p>
        </w:tc>
        <w:tc>
          <w:tcPr/>
          <w:p>
            <w:pPr>
              <w:pStyle w:val="Compact"/>
              <w:jc w:val="left"/>
            </w:pPr>
            <w:r>
              <w:t xml:space="preserve">Twice daily (bis in diem)</w:t>
            </w:r>
          </w:p>
        </w:tc>
      </w:tr>
      <w:tr>
        <w:tc>
          <w:tcPr/>
          <w:p>
            <w:pPr>
              <w:pStyle w:val="Compact"/>
              <w:jc w:val="left"/>
            </w:pPr>
            <w:r>
              <w:t xml:space="preserve">CL</w:t>
            </w:r>
          </w:p>
        </w:tc>
        <w:tc>
          <w:tcPr/>
          <w:p>
            <w:pPr>
              <w:pStyle w:val="Compact"/>
              <w:jc w:val="left"/>
            </w:pPr>
            <w:r>
              <w:t xml:space="preserve">Clearance</w:t>
            </w:r>
          </w:p>
        </w:tc>
      </w:tr>
      <w:tr>
        <w:tc>
          <w:tcPr/>
          <w:p>
            <w:pPr>
              <w:pStyle w:val="Compact"/>
              <w:jc w:val="left"/>
            </w:pPr>
            <w:r>
              <w:t xml:space="preserve">Clint</w:t>
            </w:r>
          </w:p>
        </w:tc>
        <w:tc>
          <w:tcPr/>
          <w:p>
            <w:pPr>
              <w:pStyle w:val="Compact"/>
              <w:jc w:val="left"/>
            </w:pPr>
            <w:r>
              <w:t xml:space="preserve">Intrinsic liver clearance</w:t>
            </w:r>
          </w:p>
        </w:tc>
      </w:tr>
      <w:tr>
        <w:tc>
          <w:tcPr/>
          <w:p>
            <w:pPr>
              <w:pStyle w:val="Compact"/>
              <w:jc w:val="left"/>
            </w:pPr>
            <w:r>
              <w:t xml:space="preserve">Cmax</w:t>
            </w:r>
          </w:p>
        </w:tc>
        <w:tc>
          <w:tcPr/>
          <w:p>
            <w:pPr>
              <w:pStyle w:val="Compact"/>
              <w:jc w:val="left"/>
            </w:pPr>
            <w:r>
              <w:t xml:space="preserve">Maximum concentration</w:t>
            </w:r>
          </w:p>
        </w:tc>
      </w:tr>
      <w:tr>
        <w:tc>
          <w:tcPr/>
          <w:p>
            <w:pPr>
              <w:pStyle w:val="Compact"/>
              <w:jc w:val="left"/>
            </w:pPr>
            <w:r>
              <w:t xml:space="preserve">CmaxR</w:t>
            </w:r>
          </w:p>
        </w:tc>
        <w:tc>
          <w:tcPr/>
          <w:p>
            <w:pPr>
              <w:pStyle w:val="Compact"/>
              <w:jc w:val="left"/>
            </w:pPr>
            <w:r>
              <w:t xml:space="preserve">Maximum concentration Ratio</w:t>
            </w:r>
          </w:p>
        </w:tc>
      </w:tr>
      <w:tr>
        <w:tc>
          <w:tcPr/>
          <w:p>
            <w:pPr>
              <w:pStyle w:val="Compact"/>
              <w:jc w:val="left"/>
            </w:pPr>
            <w:r>
              <w:t xml:space="preserve">CYP</w:t>
            </w:r>
          </w:p>
        </w:tc>
        <w:tc>
          <w:tcPr/>
          <w:p>
            <w:pPr>
              <w:pStyle w:val="Compact"/>
              <w:jc w:val="left"/>
            </w:pPr>
            <w:r>
              <w:t xml:space="preserve">Cytochrome P450 oxidase</w:t>
            </w:r>
          </w:p>
        </w:tc>
      </w:tr>
      <w:tr>
        <w:tc>
          <w:tcPr/>
          <w:p>
            <w:pPr>
              <w:pStyle w:val="Compact"/>
              <w:jc w:val="left"/>
            </w:pPr>
            <w:r>
              <w:t xml:space="preserve">CYP1A2</w:t>
            </w:r>
          </w:p>
        </w:tc>
        <w:tc>
          <w:tcPr/>
          <w:p>
            <w:pPr>
              <w:pStyle w:val="Compact"/>
              <w:jc w:val="left"/>
            </w:pPr>
            <w:r>
              <w:t xml:space="preserve">Cytochrome P450 1A2 oxidase</w:t>
            </w:r>
          </w:p>
        </w:tc>
      </w:tr>
      <w:tr>
        <w:tc>
          <w:tcPr/>
          <w:p>
            <w:pPr>
              <w:pStyle w:val="Compact"/>
              <w:jc w:val="left"/>
            </w:pPr>
            <w:r>
              <w:t xml:space="preserve">CYP2C19</w:t>
            </w:r>
          </w:p>
        </w:tc>
        <w:tc>
          <w:tcPr/>
          <w:p>
            <w:pPr>
              <w:pStyle w:val="Compact"/>
              <w:jc w:val="left"/>
            </w:pPr>
            <w:r>
              <w:t xml:space="preserve">Cytochrome P450 2C19 oxidase</w:t>
            </w:r>
          </w:p>
        </w:tc>
      </w:tr>
      <w:tr>
        <w:tc>
          <w:tcPr/>
          <w:p>
            <w:pPr>
              <w:pStyle w:val="Compact"/>
              <w:jc w:val="left"/>
            </w:pPr>
            <w:r>
              <w:t xml:space="preserve">CYP3A4</w:t>
            </w:r>
          </w:p>
        </w:tc>
        <w:tc>
          <w:tcPr/>
          <w:p>
            <w:pPr>
              <w:pStyle w:val="Compact"/>
              <w:jc w:val="left"/>
            </w:pPr>
            <w:r>
              <w:t xml:space="preserve">Cytochrome P450 3A4 oxidase</w:t>
            </w:r>
          </w:p>
        </w:tc>
      </w:tr>
      <w:tr>
        <w:tc>
          <w:tcPr/>
          <w:p>
            <w:pPr>
              <w:pStyle w:val="Compact"/>
              <w:jc w:val="left"/>
            </w:pPr>
            <w:r>
              <w:t xml:space="preserve">DDI</w:t>
            </w:r>
          </w:p>
        </w:tc>
        <w:tc>
          <w:tcPr/>
          <w:p>
            <w:pPr>
              <w:pStyle w:val="Compact"/>
              <w:jc w:val="left"/>
            </w:pPr>
            <w:r>
              <w:t xml:space="preserve">Drug-drug interaction</w:t>
            </w:r>
          </w:p>
        </w:tc>
      </w:tr>
      <w:tr>
        <w:tc>
          <w:tcPr/>
          <w:p>
            <w:pPr>
              <w:pStyle w:val="Compact"/>
              <w:jc w:val="left"/>
            </w:pPr>
            <w:r>
              <w:t xml:space="preserve">e.c.</w:t>
            </w:r>
          </w:p>
        </w:tc>
        <w:tc>
          <w:tcPr/>
          <w:p>
            <w:pPr>
              <w:pStyle w:val="Compact"/>
              <w:jc w:val="left"/>
            </w:pPr>
            <w:r>
              <w:t xml:space="preserve">Enteric coated</w:t>
            </w:r>
          </w:p>
        </w:tc>
      </w:tr>
      <w:tr>
        <w:tc>
          <w:tcPr/>
          <w:p>
            <w:pPr>
              <w:pStyle w:val="Compact"/>
              <w:jc w:val="left"/>
            </w:pPr>
            <w:r>
              <w:t xml:space="preserve">EE</w:t>
            </w:r>
          </w:p>
        </w:tc>
        <w:tc>
          <w:tcPr/>
          <w:p>
            <w:pPr>
              <w:pStyle w:val="Compact"/>
              <w:jc w:val="left"/>
            </w:pPr>
            <w:r>
              <w:t xml:space="preserve">Ethinylestradiol</w:t>
            </w:r>
          </w:p>
        </w:tc>
      </w:tr>
      <w:tr>
        <w:tc>
          <w:tcPr/>
          <w:p>
            <w:pPr>
              <w:pStyle w:val="Compact"/>
              <w:jc w:val="left"/>
            </w:pPr>
            <w:r>
              <w:t xml:space="preserve">EM</w:t>
            </w:r>
          </w:p>
        </w:tc>
        <w:tc>
          <w:tcPr/>
          <w:p>
            <w:pPr>
              <w:pStyle w:val="Compact"/>
              <w:jc w:val="left"/>
            </w:pPr>
            <w:r>
              <w:t xml:space="preserve">Extensive metabolizers</w:t>
            </w:r>
          </w:p>
        </w:tc>
      </w:tr>
      <w:tr>
        <w:tc>
          <w:tcPr/>
          <w:p>
            <w:pPr>
              <w:pStyle w:val="Compact"/>
              <w:jc w:val="left"/>
            </w:pPr>
            <w:r>
              <w:t xml:space="preserve">fm</w:t>
            </w:r>
          </w:p>
        </w:tc>
        <w:tc>
          <w:tcPr/>
          <w:p>
            <w:pPr>
              <w:pStyle w:val="Compact"/>
              <w:jc w:val="left"/>
            </w:pPr>
            <w:r>
              <w:t xml:space="preserve">Fraction metabolized</w:t>
            </w:r>
          </w:p>
        </w:tc>
      </w:tr>
      <w:tr>
        <w:tc>
          <w:tcPr/>
          <w:p>
            <w:pPr>
              <w:pStyle w:val="Compact"/>
              <w:jc w:val="left"/>
            </w:pPr>
            <w:r>
              <w:t xml:space="preserve">FMO</w:t>
            </w:r>
          </w:p>
        </w:tc>
        <w:tc>
          <w:tcPr/>
          <w:p>
            <w:pPr>
              <w:pStyle w:val="Compact"/>
              <w:jc w:val="left"/>
            </w:pPr>
            <w:r>
              <w:t xml:space="preserve">Flavin-containing monooxygenase</w:t>
            </w:r>
          </w:p>
        </w:tc>
      </w:tr>
      <w:tr>
        <w:tc>
          <w:tcPr/>
          <w:p>
            <w:pPr>
              <w:pStyle w:val="Compact"/>
              <w:jc w:val="left"/>
            </w:pPr>
            <w:r>
              <w:t xml:space="preserve">fu</w:t>
            </w:r>
          </w:p>
        </w:tc>
        <w:tc>
          <w:tcPr/>
          <w:p>
            <w:pPr>
              <w:pStyle w:val="Compact"/>
              <w:jc w:val="left"/>
            </w:pPr>
            <w:r>
              <w:t xml:space="preserve">Fraction unbound</w:t>
            </w:r>
          </w:p>
        </w:tc>
      </w:tr>
      <w:tr>
        <w:tc>
          <w:tcPr/>
          <w:p>
            <w:pPr>
              <w:pStyle w:val="Compact"/>
              <w:jc w:val="left"/>
            </w:pPr>
            <w:r>
              <w:t xml:space="preserve">FDA</w:t>
            </w:r>
          </w:p>
        </w:tc>
        <w:tc>
          <w:tcPr/>
          <w:p>
            <w:pPr>
              <w:pStyle w:val="Compact"/>
              <w:jc w:val="left"/>
            </w:pPr>
            <w:r>
              <w:t xml:space="preserve">Food and Drug administration</w:t>
            </w:r>
          </w:p>
        </w:tc>
      </w:tr>
      <w:tr>
        <w:tc>
          <w:tcPr/>
          <w:p>
            <w:pPr>
              <w:pStyle w:val="Compact"/>
              <w:jc w:val="left"/>
            </w:pPr>
            <w:r>
              <w:t xml:space="preserve">GFR</w:t>
            </w:r>
          </w:p>
        </w:tc>
        <w:tc>
          <w:tcPr/>
          <w:p>
            <w:pPr>
              <w:pStyle w:val="Compact"/>
              <w:jc w:val="left"/>
            </w:pPr>
            <w:r>
              <w:t xml:space="preserve">Glomerular filtration rate</w:t>
            </w:r>
          </w:p>
        </w:tc>
      </w:tr>
      <w:tr>
        <w:tc>
          <w:tcPr/>
          <w:p>
            <w:pPr>
              <w:pStyle w:val="Compact"/>
              <w:jc w:val="left"/>
            </w:pPr>
            <w:r>
              <w:t xml:space="preserve">HLM</w:t>
            </w:r>
          </w:p>
        </w:tc>
        <w:tc>
          <w:tcPr/>
          <w:p>
            <w:pPr>
              <w:pStyle w:val="Compact"/>
              <w:jc w:val="left"/>
            </w:pPr>
            <w:r>
              <w:t xml:space="preserve">Human liver microsomes</w:t>
            </w:r>
          </w:p>
        </w:tc>
      </w:tr>
      <w:tr>
        <w:tc>
          <w:tcPr/>
          <w:p>
            <w:pPr>
              <w:pStyle w:val="Compact"/>
              <w:jc w:val="left"/>
            </w:pPr>
            <w:r>
              <w:t xml:space="preserve">hm</w:t>
            </w:r>
          </w:p>
        </w:tc>
        <w:tc>
          <w:tcPr/>
          <w:p>
            <w:pPr>
              <w:pStyle w:val="Compact"/>
              <w:jc w:val="left"/>
            </w:pPr>
            <w:r>
              <w:t xml:space="preserve">homozygous</w:t>
            </w:r>
          </w:p>
        </w:tc>
      </w:tr>
      <w:tr>
        <w:tc>
          <w:tcPr/>
          <w:p>
            <w:pPr>
              <w:pStyle w:val="Compact"/>
              <w:jc w:val="left"/>
            </w:pPr>
            <w:r>
              <w:t xml:space="preserve">ht</w:t>
            </w:r>
          </w:p>
        </w:tc>
        <w:tc>
          <w:tcPr/>
          <w:p>
            <w:pPr>
              <w:pStyle w:val="Compact"/>
              <w:jc w:val="left"/>
            </w:pPr>
            <w:r>
              <w:t xml:space="preserve">heterozygous</w:t>
            </w:r>
          </w:p>
        </w:tc>
      </w:tr>
      <w:tr>
        <w:tc>
          <w:tcPr/>
          <w:p>
            <w:pPr>
              <w:pStyle w:val="Compact"/>
              <w:jc w:val="left"/>
            </w:pPr>
            <w:r>
              <w:t xml:space="preserve">IM</w:t>
            </w:r>
          </w:p>
        </w:tc>
        <w:tc>
          <w:tcPr/>
          <w:p>
            <w:pPr>
              <w:pStyle w:val="Compact"/>
              <w:jc w:val="left"/>
            </w:pPr>
            <w:r>
              <w:t xml:space="preserve">Intermediate metabolizers</w:t>
            </w:r>
          </w:p>
        </w:tc>
      </w:tr>
      <w:tr>
        <w:tc>
          <w:tcPr/>
          <w:p>
            <w:pPr>
              <w:pStyle w:val="Compact"/>
              <w:jc w:val="left"/>
            </w:pPr>
            <w:r>
              <w:t xml:space="preserve">i.v.</w:t>
            </w:r>
          </w:p>
        </w:tc>
        <w:tc>
          <w:tcPr/>
          <w:p>
            <w:pPr>
              <w:pStyle w:val="Compact"/>
              <w:jc w:val="left"/>
            </w:pPr>
            <w:r>
              <w:t xml:space="preserve">Intravenous</w:t>
            </w:r>
          </w:p>
        </w:tc>
      </w:tr>
      <w:tr>
        <w:tc>
          <w:tcPr/>
          <w:p>
            <w:pPr>
              <w:pStyle w:val="Compact"/>
              <w:jc w:val="left"/>
            </w:pPr>
            <w:r>
              <w:t xml:space="preserve">IVIVE</w:t>
            </w:r>
          </w:p>
        </w:tc>
        <w:tc>
          <w:tcPr/>
          <w:p>
            <w:pPr>
              <w:pStyle w:val="Compact"/>
              <w:jc w:val="left"/>
            </w:pPr>
            <w:r>
              <w:t xml:space="preserve">In Vitro to In Vivo Extrapolation</w:t>
            </w:r>
          </w:p>
        </w:tc>
      </w:tr>
      <w:tr>
        <w:tc>
          <w:tcPr/>
          <w:p>
            <w:pPr>
              <w:pStyle w:val="Compact"/>
              <w:jc w:val="left"/>
            </w:pPr>
            <w:r>
              <w:t xml:space="preserve">Ka</w:t>
            </w:r>
          </w:p>
        </w:tc>
        <w:tc>
          <w:tcPr/>
          <w:p>
            <w:pPr>
              <w:pStyle w:val="Compact"/>
              <w:jc w:val="left"/>
            </w:pPr>
            <w:r>
              <w:t xml:space="preserve">Absorption rate constant</w:t>
            </w:r>
          </w:p>
        </w:tc>
      </w:tr>
      <w:tr>
        <w:tc>
          <w:tcPr/>
          <w:p>
            <w:pPr>
              <w:pStyle w:val="Compact"/>
              <w:jc w:val="left"/>
            </w:pPr>
            <w:r>
              <w:t xml:space="preserve">kcat</w:t>
            </w:r>
          </w:p>
        </w:tc>
        <w:tc>
          <w:tcPr/>
          <w:p>
            <w:pPr>
              <w:pStyle w:val="Compact"/>
              <w:jc w:val="left"/>
            </w:pPr>
            <w:r>
              <w:t xml:space="preserve">Catalyst rate constant</w:t>
            </w:r>
          </w:p>
        </w:tc>
      </w:tr>
      <w:tr>
        <w:tc>
          <w:tcPr/>
          <w:p>
            <w:pPr>
              <w:pStyle w:val="Compact"/>
              <w:jc w:val="left"/>
            </w:pPr>
            <w:r>
              <w:t xml:space="preserve">Ki</w:t>
            </w:r>
          </w:p>
        </w:tc>
        <w:tc>
          <w:tcPr/>
          <w:p>
            <w:pPr>
              <w:pStyle w:val="Compact"/>
              <w:jc w:val="left"/>
            </w:pPr>
            <w:r>
              <w:t xml:space="preserve">Inhibitor constant</w:t>
            </w:r>
          </w:p>
        </w:tc>
      </w:tr>
      <w:tr>
        <w:tc>
          <w:tcPr/>
          <w:p>
            <w:pPr>
              <w:pStyle w:val="Compact"/>
              <w:jc w:val="left"/>
            </w:pPr>
            <w:r>
              <w:t xml:space="preserve">Kinact</w:t>
            </w:r>
          </w:p>
        </w:tc>
        <w:tc>
          <w:tcPr/>
          <w:p>
            <w:pPr>
              <w:pStyle w:val="Compact"/>
              <w:jc w:val="left"/>
            </w:pPr>
            <w:r>
              <w:t xml:space="preserve">Rate of enzyme inactivation</w:t>
            </w:r>
          </w:p>
        </w:tc>
      </w:tr>
      <w:tr>
        <w:tc>
          <w:tcPr/>
          <w:p>
            <w:pPr>
              <w:pStyle w:val="Compact"/>
              <w:jc w:val="left"/>
            </w:pPr>
            <w:r>
              <w:t xml:space="preserve">Km</w:t>
            </w:r>
          </w:p>
        </w:tc>
        <w:tc>
          <w:tcPr/>
          <w:p>
            <w:pPr>
              <w:pStyle w:val="Compact"/>
              <w:jc w:val="left"/>
            </w:pPr>
            <w:r>
              <w:t xml:space="preserve">Michaelis Menten constant</w:t>
            </w:r>
          </w:p>
        </w:tc>
      </w:tr>
      <w:tr>
        <w:tc>
          <w:tcPr/>
          <w:p>
            <w:pPr>
              <w:pStyle w:val="Compact"/>
              <w:jc w:val="left"/>
            </w:pPr>
            <w:r>
              <w:t xml:space="preserve">m.d.</w:t>
            </w:r>
          </w:p>
        </w:tc>
        <w:tc>
          <w:tcPr/>
          <w:p>
            <w:pPr>
              <w:pStyle w:val="Compact"/>
              <w:jc w:val="left"/>
            </w:pPr>
            <w:r>
              <w:t xml:space="preserve">Multiple dose</w:t>
            </w:r>
          </w:p>
        </w:tc>
      </w:tr>
      <w:tr>
        <w:tc>
          <w:tcPr/>
          <w:p>
            <w:pPr>
              <w:pStyle w:val="Compact"/>
              <w:jc w:val="left"/>
            </w:pPr>
            <w:r>
              <w:t xml:space="preserve">OSP</w:t>
            </w:r>
          </w:p>
        </w:tc>
        <w:tc>
          <w:tcPr/>
          <w:p>
            <w:pPr>
              <w:pStyle w:val="Compact"/>
              <w:jc w:val="left"/>
            </w:pPr>
            <w:r>
              <w:t xml:space="preserve">Open Systems Pharmacology</w:t>
            </w:r>
          </w:p>
        </w:tc>
      </w:tr>
      <w:tr>
        <w:tc>
          <w:tcPr/>
          <w:p>
            <w:pPr>
              <w:pStyle w:val="Compact"/>
              <w:jc w:val="left"/>
            </w:pPr>
            <w:r>
              <w:t xml:space="preserve">PBPK</w:t>
            </w:r>
          </w:p>
        </w:tc>
        <w:tc>
          <w:tcPr/>
          <w:p>
            <w:pPr>
              <w:pStyle w:val="Compact"/>
              <w:jc w:val="left"/>
            </w:pPr>
            <w:r>
              <w:t xml:space="preserve">Physiologically-based pharmacokinetics</w:t>
            </w:r>
          </w:p>
        </w:tc>
      </w:tr>
      <w:tr>
        <w:tc>
          <w:tcPr/>
          <w:p>
            <w:pPr>
              <w:pStyle w:val="Compact"/>
              <w:jc w:val="left"/>
            </w:pPr>
            <w:r>
              <w:t xml:space="preserve">PK</w:t>
            </w:r>
          </w:p>
        </w:tc>
        <w:tc>
          <w:tcPr/>
          <w:p>
            <w:pPr>
              <w:pStyle w:val="Compact"/>
              <w:jc w:val="left"/>
            </w:pPr>
            <w:r>
              <w:t xml:space="preserve">Pharmacokinetics</w:t>
            </w:r>
          </w:p>
        </w:tc>
      </w:tr>
      <w:tr>
        <w:tc>
          <w:tcPr/>
          <w:p>
            <w:pPr>
              <w:pStyle w:val="Compact"/>
              <w:jc w:val="left"/>
            </w:pPr>
            <w:r>
              <w:t xml:space="preserve">PI</w:t>
            </w:r>
          </w:p>
        </w:tc>
        <w:tc>
          <w:tcPr/>
          <w:p>
            <w:pPr>
              <w:pStyle w:val="Compact"/>
              <w:jc w:val="left"/>
            </w:pPr>
            <w:r>
              <w:t xml:space="preserve">Parameter identification</w:t>
            </w:r>
          </w:p>
        </w:tc>
      </w:tr>
      <w:tr>
        <w:tc>
          <w:tcPr/>
          <w:p>
            <w:pPr>
              <w:pStyle w:val="Compact"/>
              <w:jc w:val="left"/>
            </w:pPr>
            <w:r>
              <w:t xml:space="preserve">PM</w:t>
            </w:r>
          </w:p>
        </w:tc>
        <w:tc>
          <w:tcPr/>
          <w:p>
            <w:pPr>
              <w:pStyle w:val="Compact"/>
              <w:jc w:val="left"/>
            </w:pPr>
            <w:r>
              <w:t xml:space="preserve">Poor metabolizers</w:t>
            </w:r>
          </w:p>
        </w:tc>
      </w:tr>
      <w:tr>
        <w:tc>
          <w:tcPr/>
          <w:p>
            <w:pPr>
              <w:pStyle w:val="Compact"/>
              <w:jc w:val="left"/>
            </w:pPr>
            <w:r>
              <w:t xml:space="preserve">RT-PCR</w:t>
            </w:r>
          </w:p>
        </w:tc>
        <w:tc>
          <w:tcPr/>
          <w:p>
            <w:pPr>
              <w:pStyle w:val="Compact"/>
              <w:jc w:val="left"/>
            </w:pPr>
            <w:r>
              <w:t xml:space="preserve">Reverse transcription polymerase chain reaction</w:t>
            </w:r>
          </w:p>
        </w:tc>
      </w:tr>
      <w:tr>
        <w:tc>
          <w:tcPr/>
          <w:p>
            <w:pPr>
              <w:pStyle w:val="Compact"/>
              <w:jc w:val="left"/>
            </w:pPr>
            <w:r>
              <w:t xml:space="preserve">p.o.</w:t>
            </w:r>
          </w:p>
        </w:tc>
        <w:tc>
          <w:tcPr/>
          <w:p>
            <w:pPr>
              <w:pStyle w:val="Compact"/>
              <w:jc w:val="left"/>
            </w:pPr>
            <w:r>
              <w:t xml:space="preserve">Per os</w:t>
            </w:r>
          </w:p>
        </w:tc>
      </w:tr>
      <w:tr>
        <w:tc>
          <w:tcPr/>
          <w:p>
            <w:pPr>
              <w:pStyle w:val="Compact"/>
              <w:jc w:val="left"/>
            </w:pPr>
            <w:r>
              <w:t xml:space="preserve">q.d.</w:t>
            </w:r>
          </w:p>
        </w:tc>
        <w:tc>
          <w:tcPr/>
          <w:p>
            <w:pPr>
              <w:pStyle w:val="Compact"/>
              <w:jc w:val="left"/>
            </w:pPr>
            <w:r>
              <w:t xml:space="preserve">Once daily (quaque diem)</w:t>
            </w:r>
          </w:p>
        </w:tc>
      </w:tr>
      <w:tr>
        <w:tc>
          <w:tcPr/>
          <w:p>
            <w:pPr>
              <w:pStyle w:val="Compact"/>
              <w:jc w:val="left"/>
            </w:pPr>
            <w:r>
              <w:t xml:space="preserve">SD</w:t>
            </w:r>
          </w:p>
        </w:tc>
        <w:tc>
          <w:tcPr/>
          <w:p>
            <w:pPr>
              <w:pStyle w:val="Compact"/>
              <w:jc w:val="left"/>
            </w:pPr>
            <w:r>
              <w:t xml:space="preserve">Single Dose</w:t>
            </w:r>
          </w:p>
        </w:tc>
      </w:tr>
      <w:tr>
        <w:tc>
          <w:tcPr/>
          <w:p>
            <w:pPr>
              <w:pStyle w:val="Compact"/>
              <w:jc w:val="left"/>
            </w:pPr>
            <w:r>
              <w:t xml:space="preserve">SE</w:t>
            </w:r>
          </w:p>
        </w:tc>
        <w:tc>
          <w:tcPr/>
          <w:p>
            <w:pPr>
              <w:pStyle w:val="Compact"/>
              <w:jc w:val="left"/>
            </w:pPr>
            <w:r>
              <w:t xml:space="preserve">Standard error</w:t>
            </w:r>
          </w:p>
        </w:tc>
      </w:tr>
      <w:tr>
        <w:tc>
          <w:tcPr/>
          <w:p>
            <w:pPr>
              <w:pStyle w:val="Compact"/>
              <w:jc w:val="left"/>
            </w:pPr>
            <w:r>
              <w:t xml:space="preserve">s.d.SPC</w:t>
            </w:r>
          </w:p>
        </w:tc>
        <w:tc>
          <w:tcPr/>
          <w:p>
            <w:pPr>
              <w:pStyle w:val="Compact"/>
              <w:jc w:val="left"/>
            </w:pPr>
            <w:r>
              <w:t xml:space="preserve">Single dose Summary of Product Characteristics</w:t>
            </w:r>
          </w:p>
        </w:tc>
      </w:tr>
      <w:tr>
        <w:tc>
          <w:tcPr/>
          <w:p>
            <w:pPr>
              <w:pStyle w:val="Compact"/>
              <w:jc w:val="left"/>
            </w:pPr>
            <w:r>
              <w:t xml:space="preserve">SD</w:t>
            </w:r>
          </w:p>
        </w:tc>
        <w:tc>
          <w:tcPr/>
          <w:p>
            <w:pPr>
              <w:pStyle w:val="Compact"/>
              <w:jc w:val="left"/>
            </w:pPr>
            <w:r>
              <w:t xml:space="preserve">Standard deviation</w:t>
            </w:r>
          </w:p>
        </w:tc>
      </w:tr>
      <w:tr>
        <w:tc>
          <w:tcPr/>
          <w:p>
            <w:pPr>
              <w:pStyle w:val="Compact"/>
              <w:jc w:val="left"/>
            </w:pPr>
            <w:r>
              <w:t xml:space="preserve">TDI</w:t>
            </w:r>
          </w:p>
        </w:tc>
        <w:tc>
          <w:tcPr/>
          <w:p>
            <w:pPr>
              <w:pStyle w:val="Compact"/>
              <w:jc w:val="left"/>
            </w:pPr>
            <w:r>
              <w:t xml:space="preserve">Time dependent inhibition</w:t>
            </w:r>
          </w:p>
        </w:tc>
      </w:tr>
      <w:tr>
        <w:tc>
          <w:tcPr/>
          <w:p>
            <w:pPr>
              <w:pStyle w:val="Compact"/>
              <w:jc w:val="left"/>
            </w:pPr>
            <w:r>
              <w:t xml:space="preserve">t.i.d</w:t>
            </w:r>
          </w:p>
        </w:tc>
        <w:tc>
          <w:tcPr/>
          <w:p>
            <w:pPr>
              <w:pStyle w:val="Compact"/>
              <w:jc w:val="left"/>
            </w:pPr>
            <w:r>
              <w:t xml:space="preserve">Three times a day (ter in die)</w:t>
            </w:r>
          </w:p>
        </w:tc>
      </w:tr>
      <w:tr>
        <w:tc>
          <w:tcPr/>
          <w:p>
            <w:pPr>
              <w:pStyle w:val="Compact"/>
              <w:jc w:val="left"/>
            </w:pPr>
            <w:r>
              <w:t xml:space="preserve">UGT</w:t>
            </w:r>
          </w:p>
        </w:tc>
        <w:tc>
          <w:tcPr/>
          <w:p>
            <w:pPr>
              <w:pStyle w:val="Compact"/>
              <w:jc w:val="left"/>
            </w:pPr>
            <w:r>
              <w:t xml:space="preserve">Uridine 5’-diphospho-glucuronosyltransferase</w:t>
            </w:r>
          </w:p>
        </w:tc>
      </w:tr>
      <w:tr>
        <w:tc>
          <w:tcPr/>
          <w:p>
            <w:pPr>
              <w:pStyle w:val="Compact"/>
              <w:jc w:val="left"/>
            </w:pPr>
            <w:r>
              <w:t xml:space="preserve">UM</w:t>
            </w:r>
          </w:p>
        </w:tc>
        <w:tc>
          <w:tcPr/>
          <w:p>
            <w:pPr>
              <w:pStyle w:val="Compact"/>
              <w:jc w:val="left"/>
            </w:pPr>
            <w:r>
              <w:t xml:space="preserve">Ultra-rapid metabolizers</w:t>
            </w:r>
          </w:p>
        </w:tc>
      </w:tr>
    </w:tbl>
    <w:bookmarkEnd w:id="90"/>
    <w:sectPr w:rsidR="00B470D9">
      <w:headerReference r:id="rId9" w:type="default"/>
      <w:footerReference r:id="rId10" w:type="default"/>
      <w:pgSz w:h="15840" w:w="12240"/>
      <w:pgMar w:bottom="1134"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720" w:rsidRDefault="00237720">
    <w:pPr>
      <w:pStyle w:val="Footer"/>
      <w:jc w:val="center"/>
    </w:pPr>
  </w:p>
  <w:p w:rsidR="00237720" w:rsidRDefault="0023772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620381891"/>
      <w:docPartObj>
        <w:docPartGallery w:val="Page Numbers (Top of Page)"/>
        <w:docPartUnique/>
      </w:docPartObj>
    </w:sdtPr>
    <w:sdtEndPr/>
    <w:sdtContent>
      <w:p w:rsidR="000F07F1" w:rsidRPr="007E2361" w:rsidRDefault="000F07F1" w:rsidP="000F07F1">
        <w:pPr>
          <w:pStyle w:val="Header"/>
          <w:jc w:val="right"/>
          <w:rPr>
            <w:rFonts w:ascii="Times New Roman" w:hAnsi="Times New Roman" w:cs="Times New Roman"/>
          </w:rPr>
        </w:pPr>
        <w:r w:rsidRPr="007E2361">
          <w:rPr>
            <w:rFonts w:ascii="Times New Roman" w:hAnsi="Times New Roman" w:cs="Times New Roman"/>
            <w:lang w:val="de-DE"/>
          </w:rPr>
          <w:t xml:space="preserve">Page </w:t>
        </w:r>
        <w:r w:rsidRPr="007E2361">
          <w:rPr>
            <w:rFonts w:ascii="Times New Roman" w:hAnsi="Times New Roman" w:cs="Times New Roman"/>
          </w:rPr>
          <w:fldChar w:fldCharType="begin"/>
        </w:r>
        <w:r w:rsidRPr="007E2361">
          <w:rPr>
            <w:rFonts w:ascii="Times New Roman" w:hAnsi="Times New Roman" w:cs="Times New Roman"/>
          </w:rPr>
          <w:instrText>PAGE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rPr>
          <w:fldChar w:fldCharType="end"/>
        </w:r>
        <w:r w:rsidRPr="007E2361">
          <w:rPr>
            <w:rFonts w:ascii="Times New Roman" w:hAnsi="Times New Roman" w:cs="Times New Roman"/>
            <w:lang w:val="de-DE"/>
          </w:rPr>
          <w:t xml:space="preserve"> of </w:t>
        </w:r>
        <w:r w:rsidRPr="007E2361">
          <w:rPr>
            <w:rFonts w:ascii="Times New Roman" w:hAnsi="Times New Roman" w:cs="Times New Roman"/>
          </w:rPr>
          <w:fldChar w:fldCharType="begin"/>
        </w:r>
        <w:r w:rsidRPr="007E2361">
          <w:rPr>
            <w:rFonts w:ascii="Times New Roman" w:hAnsi="Times New Roman" w:cs="Times New Roman"/>
          </w:rPr>
          <w:instrText>NUMPAGES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lang w:val="de-DE"/>
          </w:rPr>
          <w:fldChar w:fldCharType="end"/>
        </w:r>
      </w:p>
    </w:sdtContent>
  </w:sdt>
  <w:p w:rsidR="000F07F1" w:rsidRDefault="000F07F1">
    <w:pPr>
      <w:pStyle w:val="Header"/>
    </w:pPr>
  </w:p>
</w:hdr>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52D2BCA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AD6823F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FD149514"/>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EB28122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966F83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9746C57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51D6116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6DCFC3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8EB43C6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3B06E4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E7ACBA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E6E7027"/>
    <w:multiLevelType w:val="multilevel"/>
    <w:tmpl w:val="CFB603AE"/>
    <w:styleLink w:val="REVersuch2"/>
    <w:lvl w:ilvl="0">
      <w:start w:val="1"/>
      <w:numFmt w:val="decimal"/>
      <w:lvlText w:val="%1"/>
      <w:lvlJc w:val="left"/>
      <w:pPr>
        <w:ind w:hanging="360" w:left="360"/>
      </w:pPr>
      <w:rPr>
        <w:rFonts w:hint="default"/>
      </w:rPr>
    </w:lvl>
    <w:lvl w:ilvl="1">
      <w:start w:val="1"/>
      <w:numFmt w:val="decimal"/>
      <w:lvlText w:val="%1.%2"/>
      <w:lvlJc w:val="left"/>
      <w:pPr>
        <w:ind w:hanging="360" w:left="720"/>
      </w:pPr>
      <w:rPr>
        <w:rFonts w:hint="default"/>
      </w:rPr>
    </w:lvl>
    <w:lvl w:ilvl="2">
      <w:start w:val="1"/>
      <w:numFmt w:val="decimal"/>
      <w:lvlText w:val="%1.%2.%3"/>
      <w:lvlJc w:val="left"/>
      <w:pPr>
        <w:ind w:hanging="360" w:left="1080"/>
      </w:pPr>
      <w:rPr>
        <w:rFonts w:hint="default"/>
      </w:rPr>
    </w:lvl>
    <w:lvl w:ilvl="3">
      <w:start w:val="1"/>
      <w:numFmt w:val="decimal"/>
      <w:lvlText w:val="%1.%2.%3.%4"/>
      <w:lvlJc w:val="left"/>
      <w:pPr>
        <w:ind w:hanging="360" w:left="1440"/>
      </w:pPr>
      <w:rPr>
        <w:rFonts w:hint="default"/>
      </w:rPr>
    </w:lvl>
    <w:lvl w:ilvl="4">
      <w:start w:val="1"/>
      <w:numFmt w:val="decimal"/>
      <w:lvlText w:val="%1.%2.%3.%4.%5"/>
      <w:lvlJc w:val="left"/>
      <w:pPr>
        <w:ind w:hanging="360" w:left="1800"/>
      </w:pPr>
      <w:rPr>
        <w:rFonts w:hint="default"/>
      </w:rPr>
    </w:lvl>
    <w:lvl w:ilvl="5">
      <w:start w:val="1"/>
      <w:numFmt w:val="decimal"/>
      <w:lvlText w:val="%1.%2.%3.%4.%5.%6"/>
      <w:lvlJc w:val="left"/>
      <w:pPr>
        <w:ind w:hanging="360" w:left="2160"/>
      </w:pPr>
      <w:rPr>
        <w:rFonts w:hint="default"/>
      </w:rPr>
    </w:lvl>
    <w:lvl w:ilvl="6">
      <w:start w:val="1"/>
      <w:numFmt w:val="decimal"/>
      <w:lvlText w:val="%1.%2.%3.%4.%5.%6.%7"/>
      <w:lvlJc w:val="left"/>
      <w:pPr>
        <w:ind w:hanging="360" w:left="2520"/>
      </w:pPr>
      <w:rPr>
        <w:rFonts w:hint="default"/>
      </w:rPr>
    </w:lvl>
    <w:lvl w:ilvl="7">
      <w:start w:val="1"/>
      <w:numFmt w:val="decimal"/>
      <w:lvlText w:val="%1.%2.%3.%4.%5.%6.%7.%8"/>
      <w:lvlJc w:val="left"/>
      <w:pPr>
        <w:ind w:hanging="360" w:left="2880"/>
      </w:pPr>
      <w:rPr>
        <w:rFonts w:hint="default"/>
      </w:rPr>
    </w:lvl>
    <w:lvl w:ilvl="8">
      <w:start w:val="1"/>
      <w:numFmt w:val="decimal"/>
      <w:lvlText w:val="%1.%2.%3.%4.%5.%6.%7.%8.%9"/>
      <w:lvlJc w:val="left"/>
      <w:pPr>
        <w:ind w:hanging="360" w:left="3240"/>
      </w:pPr>
      <w:rPr>
        <w:rFonts w:hint="default"/>
      </w:rPr>
    </w:lvl>
  </w:abstractNum>
  <w:abstractNum w15:restartNumberingAfterBreak="0" w:abstractNumId="12">
    <w:nsid w:val="2F4367A2"/>
    <w:multiLevelType w:val="hybridMultilevel"/>
    <w:tmpl w:val="0E94A3F2"/>
    <w:lvl w:ilvl="0" w:tplc="6FFEDB94">
      <w:start w:val="1"/>
      <w:numFmt w:val="decimal"/>
      <w:lvlText w:val="Figure %1: "/>
      <w:lvlJc w:val="left"/>
      <w:pPr>
        <w:ind w:hanging="360" w:left="720"/>
      </w:pPr>
      <w:rPr>
        <w:rFonts w:hint="default"/>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3">
    <w:nsid w:val="439D272C"/>
    <w:multiLevelType w:val="multilevel"/>
    <w:tmpl w:val="5E8A4980"/>
    <w:lvl w:ilvl="0">
      <w:start w:val="1"/>
      <w:numFmt w:val="decimal"/>
      <w:pStyle w:val="Heading1"/>
      <w:lvlText w:val="%1"/>
      <w:lvlJc w:val="left"/>
      <w:pPr>
        <w:ind w:hanging="1134" w:left="1134"/>
      </w:pPr>
      <w:rPr>
        <w:rFonts w:hint="default"/>
      </w:rPr>
    </w:lvl>
    <w:lvl w:ilvl="1">
      <w:start w:val="1"/>
      <w:numFmt w:val="decimal"/>
      <w:pStyle w:val="Heading2"/>
      <w:lvlText w:val="%1.%2"/>
      <w:lvlJc w:val="left"/>
      <w:pPr>
        <w:ind w:hanging="1134" w:left="1134"/>
      </w:pPr>
      <w:rPr>
        <w:rFonts w:hint="default"/>
      </w:rPr>
    </w:lvl>
    <w:lvl w:ilvl="2">
      <w:start w:val="1"/>
      <w:numFmt w:val="decimal"/>
      <w:pStyle w:val="Heading3"/>
      <w:lvlText w:val="%1.%2.%3"/>
      <w:lvlJc w:val="left"/>
      <w:pPr>
        <w:ind w:hanging="1134" w:left="1134"/>
      </w:pPr>
      <w:rPr>
        <w:rFonts w:hint="default"/>
      </w:rPr>
    </w:lvl>
    <w:lvl w:ilvl="3">
      <w:start w:val="1"/>
      <w:numFmt w:val="decimal"/>
      <w:pStyle w:val="Heading4"/>
      <w:lvlText w:val="%1.%2.%3.%4"/>
      <w:lvlJc w:val="left"/>
      <w:pPr>
        <w:ind w:hanging="1134" w:left="1134"/>
      </w:pPr>
      <w:rPr>
        <w:rFonts w:hint="default"/>
      </w:rPr>
    </w:lvl>
    <w:lvl w:ilvl="4">
      <w:start w:val="1"/>
      <w:numFmt w:val="decimal"/>
      <w:pStyle w:val="Heading5"/>
      <w:lvlText w:val="%1.%2.%3.%4.%5"/>
      <w:lvlJc w:val="left"/>
      <w:pPr>
        <w:ind w:hanging="1134" w:left="1134"/>
      </w:pPr>
      <w:rPr>
        <w:rFonts w:hint="default"/>
      </w:rPr>
    </w:lvl>
    <w:lvl w:ilvl="5">
      <w:start w:val="1"/>
      <w:numFmt w:val="decimal"/>
      <w:pStyle w:val="Heading6"/>
      <w:lvlText w:val="%1.%2.%3.%4.%5.%6"/>
      <w:lvlJc w:val="left"/>
      <w:pPr>
        <w:ind w:hanging="1134" w:left="1134"/>
      </w:pPr>
      <w:rPr>
        <w:rFonts w:hint="default"/>
      </w:rPr>
    </w:lvl>
    <w:lvl w:ilvl="6">
      <w:start w:val="1"/>
      <w:numFmt w:val="decimal"/>
      <w:pStyle w:val="Heading7"/>
      <w:lvlText w:val="%1.%2.%3.%4.%5.%6.%7"/>
      <w:lvlJc w:val="left"/>
      <w:pPr>
        <w:ind w:hanging="1134" w:left="1134"/>
      </w:pPr>
      <w:rPr>
        <w:rFonts w:hint="default"/>
      </w:rPr>
    </w:lvl>
    <w:lvl w:ilvl="7">
      <w:start w:val="1"/>
      <w:numFmt w:val="decimal"/>
      <w:pStyle w:val="Heading8"/>
      <w:lvlText w:val="%1.%2.%3.%4.%5.%6.%7.%8"/>
      <w:lvlJc w:val="left"/>
      <w:pPr>
        <w:ind w:hanging="1134" w:left="1134"/>
      </w:pPr>
      <w:rPr>
        <w:rFonts w:hint="default"/>
      </w:rPr>
    </w:lvl>
    <w:lvl w:ilvl="8">
      <w:start w:val="1"/>
      <w:numFmt w:val="decimal"/>
      <w:pStyle w:val="Heading9"/>
      <w:lvlText w:val="%1.%2.%3.%4.%5.%6.%7.%8.%9"/>
      <w:lvlJc w:val="left"/>
      <w:pPr>
        <w:ind w:hanging="1134" w:left="1134"/>
      </w:pPr>
      <w:rPr>
        <w:rFonts w:hint="default"/>
      </w:rPr>
    </w:lvl>
  </w:abstractNum>
  <w:abstractNum w15:restartNumberingAfterBreak="0" w:abstractNumId="14">
    <w:nsid w:val="4E027060"/>
    <w:multiLevelType w:val="hybridMultilevel"/>
    <w:tmpl w:val="BDE6AA42"/>
    <w:lvl w:ilvl="0" w:tplc="9976DFBA">
      <w:start w:val="1"/>
      <w:numFmt w:val="decimal"/>
      <w:lvlText w:val="Table %1: "/>
      <w:lvlJc w:val="left"/>
      <w:pPr>
        <w:ind w:hanging="360" w:left="720"/>
      </w:pPr>
      <w:rPr>
        <w:rFonts w:hint="default"/>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5">
    <w:nsid w:val="57675838"/>
    <w:multiLevelType w:val="multilevel"/>
    <w:tmpl w:val="CFB603AE"/>
    <w:numStyleLink w:val="REVersuch2"/>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5"/>
  </w:num>
  <w:num w:numId="14">
    <w:abstractNumId w:val="13"/>
  </w:num>
  <w:num w:numId="15">
    <w:abstractNumId w:val="12"/>
  </w:num>
  <w:num w:numId="16">
    <w:abstractNumId w:val="14"/>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style>
  <w:style w:styleId="Heading1" w:type="paragraph">
    <w:name w:val="heading 1"/>
    <w:basedOn w:val="Normal"/>
    <w:next w:val="BodyText"/>
    <w:uiPriority w:val="9"/>
    <w:qFormat/>
    <w:rsid w:val="00DF4C3C"/>
    <w:pPr>
      <w:keepNext/>
      <w:keepLines/>
      <w:pageBreakBefore/>
      <w:numPr>
        <w:numId w:val="14"/>
      </w:numPr>
      <w:spacing w:after="0" w:before="480"/>
      <w:outlineLvl w:val="0"/>
    </w:pPr>
    <w:rPr>
      <w:rFonts w:ascii="Times New Roman" w:cstheme="majorBidi" w:eastAsiaTheme="majorEastAsia" w:hAnsi="Times New Roman"/>
      <w:b/>
      <w:bCs/>
      <w:sz w:val="28"/>
      <w:szCs w:val="32"/>
    </w:rPr>
  </w:style>
  <w:style w:styleId="Heading2" w:type="paragraph">
    <w:name w:val="heading 2"/>
    <w:basedOn w:val="Normal"/>
    <w:next w:val="BodyText"/>
    <w:uiPriority w:val="9"/>
    <w:unhideWhenUsed/>
    <w:qFormat/>
    <w:rsid w:val="00D500C1"/>
    <w:pPr>
      <w:keepNext/>
      <w:keepLines/>
      <w:numPr>
        <w:ilvl w:val="1"/>
        <w:numId w:val="14"/>
      </w:numPr>
      <w:spacing w:after="0" w:before="200"/>
      <w:outlineLvl w:val="1"/>
    </w:pPr>
    <w:rPr>
      <w:rFonts w:ascii="Times New Roman" w:cstheme="majorBidi" w:eastAsiaTheme="majorEastAsia" w:hAnsi="Times New Roman"/>
      <w:b/>
      <w:bCs/>
      <w:sz w:val="26"/>
      <w:szCs w:val="28"/>
    </w:rPr>
  </w:style>
  <w:style w:styleId="Heading3" w:type="paragraph">
    <w:name w:val="heading 3"/>
    <w:basedOn w:val="Normal"/>
    <w:next w:val="BodyText"/>
    <w:uiPriority w:val="9"/>
    <w:unhideWhenUsed/>
    <w:qFormat/>
    <w:rsid w:val="00D500C1"/>
    <w:pPr>
      <w:keepNext/>
      <w:keepLines/>
      <w:numPr>
        <w:ilvl w:val="2"/>
        <w:numId w:val="14"/>
      </w:numPr>
      <w:spacing w:after="0" w:before="200"/>
      <w:outlineLvl w:val="2"/>
    </w:pPr>
    <w:rPr>
      <w:rFonts w:ascii="Times New Roman" w:cstheme="majorBidi" w:eastAsiaTheme="majorEastAsia" w:hAnsi="Times New Roman"/>
      <w:b/>
      <w:bCs/>
      <w:sz w:val="26"/>
    </w:rPr>
  </w:style>
  <w:style w:styleId="Heading4" w:type="paragraph">
    <w:name w:val="heading 4"/>
    <w:basedOn w:val="Normal"/>
    <w:next w:val="BodyText"/>
    <w:uiPriority w:val="9"/>
    <w:unhideWhenUsed/>
    <w:qFormat/>
    <w:rsid w:val="00D500C1"/>
    <w:pPr>
      <w:keepNext/>
      <w:keepLines/>
      <w:numPr>
        <w:ilvl w:val="3"/>
        <w:numId w:val="14"/>
      </w:numPr>
      <w:spacing w:after="0" w:before="200"/>
      <w:outlineLvl w:val="3"/>
    </w:pPr>
    <w:rPr>
      <w:rFonts w:ascii="Times New Roman" w:cstheme="majorBidi" w:eastAsiaTheme="majorEastAsia" w:hAnsi="Times New Roman"/>
      <w:b/>
      <w:bCs/>
      <w:sz w:val="26"/>
    </w:rPr>
  </w:style>
  <w:style w:styleId="Heading5" w:type="paragraph">
    <w:name w:val="heading 5"/>
    <w:basedOn w:val="Normal"/>
    <w:next w:val="BodyText"/>
    <w:uiPriority w:val="9"/>
    <w:unhideWhenUsed/>
    <w:qFormat/>
    <w:rsid w:val="00D500C1"/>
    <w:pPr>
      <w:keepNext/>
      <w:keepLines/>
      <w:numPr>
        <w:ilvl w:val="4"/>
        <w:numId w:val="14"/>
      </w:numPr>
      <w:spacing w:after="0" w:before="200"/>
      <w:outlineLvl w:val="4"/>
    </w:pPr>
    <w:rPr>
      <w:rFonts w:ascii="Times New Roman" w:cstheme="majorBidi" w:eastAsiaTheme="majorEastAsia" w:hAnsi="Times New Roman"/>
      <w:b/>
      <w:iCs/>
      <w:sz w:val="26"/>
    </w:rPr>
  </w:style>
  <w:style w:styleId="Heading6" w:type="paragraph">
    <w:name w:val="heading 6"/>
    <w:basedOn w:val="Normal"/>
    <w:next w:val="BodyText"/>
    <w:uiPriority w:val="9"/>
    <w:unhideWhenUsed/>
    <w:qFormat/>
    <w:rsid w:val="00D500C1"/>
    <w:pPr>
      <w:keepNext/>
      <w:keepLines/>
      <w:numPr>
        <w:ilvl w:val="5"/>
        <w:numId w:val="14"/>
      </w:numPr>
      <w:spacing w:after="0" w:before="200"/>
      <w:outlineLvl w:val="5"/>
    </w:pPr>
    <w:rPr>
      <w:rFonts w:ascii="Times New Roman" w:cstheme="majorBidi" w:eastAsiaTheme="majorEastAsia" w:hAnsi="Times New Roman"/>
      <w:b/>
      <w:sz w:val="26"/>
    </w:rPr>
  </w:style>
  <w:style w:styleId="Heading7" w:type="paragraph">
    <w:name w:val="heading 7"/>
    <w:basedOn w:val="Normal"/>
    <w:next w:val="BodyText"/>
    <w:uiPriority w:val="9"/>
    <w:unhideWhenUsed/>
    <w:qFormat/>
    <w:rsid w:val="00D500C1"/>
    <w:pPr>
      <w:keepNext/>
      <w:keepLines/>
      <w:numPr>
        <w:ilvl w:val="6"/>
        <w:numId w:val="14"/>
      </w:numPr>
      <w:spacing w:after="0" w:before="200"/>
      <w:outlineLvl w:val="6"/>
    </w:pPr>
    <w:rPr>
      <w:rFonts w:ascii="Times New Roman" w:cstheme="majorBidi" w:eastAsiaTheme="majorEastAsia" w:hAnsi="Times New Roman"/>
      <w:b/>
      <w:sz w:val="26"/>
    </w:rPr>
  </w:style>
  <w:style w:styleId="Heading8" w:type="paragraph">
    <w:name w:val="heading 8"/>
    <w:basedOn w:val="Normal"/>
    <w:next w:val="BodyText"/>
    <w:uiPriority w:val="9"/>
    <w:unhideWhenUsed/>
    <w:qFormat/>
    <w:rsid w:val="00D500C1"/>
    <w:pPr>
      <w:keepNext/>
      <w:keepLines/>
      <w:numPr>
        <w:ilvl w:val="7"/>
        <w:numId w:val="14"/>
      </w:numPr>
      <w:spacing w:after="0" w:before="200"/>
      <w:outlineLvl w:val="7"/>
    </w:pPr>
    <w:rPr>
      <w:rFonts w:ascii="Times New Roman" w:cstheme="majorBidi" w:eastAsiaTheme="majorEastAsia" w:hAnsi="Times New Roman"/>
      <w:b/>
      <w:sz w:val="26"/>
    </w:rPr>
  </w:style>
  <w:style w:styleId="Heading9" w:type="paragraph">
    <w:name w:val="heading 9"/>
    <w:basedOn w:val="Normal"/>
    <w:next w:val="BodyText"/>
    <w:uiPriority w:val="9"/>
    <w:unhideWhenUsed/>
    <w:qFormat/>
    <w:rsid w:val="00D500C1"/>
    <w:pPr>
      <w:keepNext/>
      <w:keepLines/>
      <w:numPr>
        <w:ilvl w:val="8"/>
        <w:numId w:val="14"/>
      </w:numPr>
      <w:spacing w:after="0" w:before="200"/>
      <w:outlineLvl w:val="8"/>
    </w:pPr>
    <w:rPr>
      <w:rFonts w:ascii="Times New Roman" w:cstheme="majorBidi" w:eastAsiaTheme="majorEastAsia" w:hAnsi="Times New Roman"/>
      <w:b/>
      <w:sz w:val="26"/>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B034F3"/>
    <w:pPr>
      <w:spacing w:after="180" w:before="180" w:line="360" w:lineRule="auto"/>
    </w:pPr>
    <w:rPr>
      <w:rFonts w:ascii="Arial" w:hAnsi="Arial"/>
      <w:sz w:val="20"/>
    </w:rPr>
  </w:style>
  <w:style w:customStyle="1" w:styleId="FirstParagraph" w:type="paragraph">
    <w:name w:val="First Paragraph"/>
    <w:basedOn w:val="BodyText"/>
    <w:next w:val="BodyText"/>
    <w:autoRedefine/>
    <w:qFormat/>
    <w:rsid w:val="008D31A4"/>
  </w:style>
  <w:style w:customStyle="1" w:styleId="Compact" w:type="paragraph">
    <w:name w:val="Compact"/>
    <w:basedOn w:val="BodyText"/>
    <w:autoRedefine/>
    <w:qFormat/>
    <w:rsid w:val="008D31A4"/>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8D31A4"/>
    <w:pPr>
      <w:keepNext/>
      <w:keepLines/>
      <w:jc w:val="center"/>
    </w:pPr>
    <w:rPr>
      <w:rFonts w:ascii="Arial" w:hAnsi="Arial"/>
    </w:rPr>
  </w:style>
  <w:style w:styleId="Date" w:type="paragraph">
    <w:name w:val="Date"/>
    <w:next w:val="BodyText"/>
    <w:autoRedefine/>
    <w:qFormat/>
    <w:rsid w:val="008D31A4"/>
    <w:pPr>
      <w:keepNext/>
      <w:keepLines/>
      <w:jc w:val="center"/>
    </w:pPr>
    <w:rPr>
      <w:rFonts w:ascii="Arial" w:hAnsi="Arial"/>
    </w:rPr>
  </w:style>
  <w:style w:customStyle="1" w:styleId="Abstract" w:type="paragraph">
    <w:name w:val="Abstract"/>
    <w:basedOn w:val="Normal"/>
    <w:next w:val="BodyText"/>
    <w:autoRedefine/>
    <w:qFormat/>
    <w:rsid w:val="008D31A4"/>
    <w:pPr>
      <w:keepNext/>
      <w:keepLines/>
      <w:spacing w:after="300" w:before="300"/>
      <w:jc w:val="both"/>
    </w:pPr>
    <w:rPr>
      <w:rFonts w:ascii="Arial" w:hAnsi="Arial"/>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basedOn w:val="GridTable1Light"/>
    <w:semiHidden/>
    <w:unhideWhenUsed/>
    <w:qFormat/>
    <w:rsid w:val="008F3A26"/>
    <w:rPr>
      <w:rFonts w:ascii="Arial" w:hAnsi="Arial"/>
      <w:sz w:val="20"/>
      <w:szCs w:val="20"/>
      <w:lang w:eastAsia="en-CA" w:val="en-CA"/>
    </w:rPr>
    <w:tblPr/>
    <w:tcPr>
      <w:vAlign w:val="center"/>
    </w:tcPr>
    <w:tblStylePr w:type="firstRow">
      <w:rPr>
        <w:b/>
        <w:bCs/>
      </w:rPr>
      <w:tblPr/>
      <w:tcPr>
        <w:tcBorders>
          <w:bottom w:color="666666" w:space="0" w:sz="12" w:themeColor="text1" w:themeTint="99" w:val="single"/>
        </w:tcBorders>
      </w:tcPr>
    </w:tblStylePr>
    <w:tblStylePr w:type="lastRow">
      <w:rPr>
        <w:b w:val="0"/>
        <w:bCs/>
      </w:rPr>
      <w:tblPr/>
      <w:tcPr>
        <w:tcBorders>
          <w:top w:color="BFBFBF" w:space="0" w:sz="4" w:themeColor="background1" w:themeShade="BF" w:val="single"/>
        </w:tcBorders>
      </w:tcPr>
    </w:tblStylePr>
    <w:tblStylePr w:type="firstCol">
      <w:rPr>
        <w:b/>
        <w:bCs/>
      </w:rPr>
    </w:tblStylePr>
    <w:tblStylePr w:type="lastCol">
      <w:rPr>
        <w:b w:val="0"/>
        <w:bCs/>
      </w:rPr>
    </w:tblStylePr>
    <w:tblStylePr w:type="swCell">
      <w:rPr>
        <w:b/>
      </w:r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CB69FF"/>
    <w:pPr>
      <w:keepNext/>
      <w:spacing w:before="120"/>
    </w:pPr>
    <w:rPr>
      <w:rFonts w:ascii="Arial" w:hAnsi="Arial"/>
      <w:b/>
      <w:i w:val="0"/>
      <w:sz w:val="20"/>
    </w:rPr>
  </w:style>
  <w:style w:customStyle="1" w:styleId="ImageCaption" w:type="paragraph">
    <w:name w:val="Image Caption"/>
    <w:basedOn w:val="Caption"/>
    <w:rsid w:val="00CB69FF"/>
    <w:rPr>
      <w:rFonts w:ascii="Arial" w:hAnsi="Arial"/>
      <w:b/>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styleId="FootnoteReference" w:type="character">
    <w:name w:val="footnote reference"/>
    <w:basedOn w:val="CaptionChar"/>
    <w:rPr>
      <w:vertAlign w:val="superscript"/>
    </w:rPr>
  </w:style>
  <w:style w:styleId="Hyperlink" w:type="character">
    <w:name w:val="Hyperlink"/>
    <w:uiPriority w:val="99"/>
    <w:rsid w:val="007E2361"/>
    <w:rPr>
      <w:color w:val="0000FF"/>
    </w:rPr>
  </w:style>
  <w:style w:styleId="TOCHeading" w:type="paragraph">
    <w:name w:val="TOC Heading"/>
    <w:aliases w:val="RE_TableOfContent"/>
    <w:next w:val="BodyText"/>
    <w:uiPriority w:val="39"/>
    <w:unhideWhenUsed/>
    <w:qFormat/>
    <w:rsid w:val="00D500C1"/>
    <w:pPr>
      <w:spacing w:before="240" w:line="259" w:lineRule="auto"/>
    </w:pPr>
    <w:rPr>
      <w:rFonts w:ascii="Times New Roman" w:cstheme="majorBidi" w:eastAsiaTheme="majorEastAsia" w:hAnsi="Times New Roman"/>
      <w:b/>
      <w:szCs w:val="32"/>
    </w:rPr>
  </w:style>
  <w:style w:styleId="Header" w:type="paragraph">
    <w:name w:val="header"/>
    <w:basedOn w:val="Normal"/>
    <w:link w:val="HeaderChar"/>
    <w:unhideWhenUsed/>
    <w:rsid w:val="00237720"/>
    <w:pPr>
      <w:tabs>
        <w:tab w:pos="4536" w:val="center"/>
        <w:tab w:pos="9072" w:val="right"/>
      </w:tabs>
      <w:spacing w:after="0"/>
    </w:pPr>
  </w:style>
  <w:style w:customStyle="1" w:styleId="HeaderChar" w:type="character">
    <w:name w:val="Header Char"/>
    <w:basedOn w:val="DefaultParagraphFont"/>
    <w:link w:val="Header"/>
    <w:rsid w:val="00237720"/>
  </w:style>
  <w:style w:styleId="Footer" w:type="paragraph">
    <w:name w:val="footer"/>
    <w:basedOn w:val="Normal"/>
    <w:link w:val="FooterChar"/>
    <w:uiPriority w:val="99"/>
    <w:unhideWhenUsed/>
    <w:rsid w:val="00237720"/>
    <w:pPr>
      <w:tabs>
        <w:tab w:pos="4536" w:val="center"/>
        <w:tab w:pos="9072" w:val="right"/>
      </w:tabs>
      <w:spacing w:after="0"/>
    </w:pPr>
  </w:style>
  <w:style w:customStyle="1" w:styleId="FooterChar" w:type="character">
    <w:name w:val="Footer Char"/>
    <w:basedOn w:val="DefaultParagraphFont"/>
    <w:link w:val="Footer"/>
    <w:uiPriority w:val="99"/>
    <w:rsid w:val="00237720"/>
  </w:style>
  <w:style w:customStyle="1" w:styleId="REVersuch2" w:type="numbering">
    <w:name w:val="RE_Versuch_2"/>
    <w:uiPriority w:val="99"/>
    <w:rsid w:val="00F5435A"/>
    <w:pPr>
      <w:numPr>
        <w:numId w:val="12"/>
      </w:numPr>
    </w:pPr>
  </w:style>
  <w:style w:customStyle="1" w:styleId="BodyTextChar" w:type="character">
    <w:name w:val="Body Text Char"/>
    <w:basedOn w:val="DefaultParagraphFont"/>
    <w:link w:val="BodyText"/>
    <w:rsid w:val="00B034F3"/>
    <w:rPr>
      <w:rFonts w:ascii="Arial" w:hAnsi="Arial"/>
      <w:sz w:val="20"/>
    </w:rPr>
  </w:style>
  <w:style w:styleId="TOC2" w:type="paragraph">
    <w:name w:val="toc 2"/>
    <w:basedOn w:val="Normal"/>
    <w:next w:val="Normal"/>
    <w:autoRedefine/>
    <w:uiPriority w:val="39"/>
    <w:unhideWhenUsed/>
    <w:rsid w:val="00F45D3A"/>
    <w:pPr>
      <w:tabs>
        <w:tab w:pos="880" w:val="left"/>
        <w:tab w:leader="dot" w:pos="9396" w:val="right"/>
      </w:tabs>
      <w:spacing w:after="0"/>
      <w:ind w:hanging="624" w:left="624" w:right="284"/>
    </w:pPr>
    <w:rPr>
      <w:rFonts w:ascii="Times New Roman" w:hAnsi="Times New Roman"/>
      <w:color w:val="0000FF"/>
    </w:rPr>
  </w:style>
  <w:style w:styleId="TOC1" w:type="paragraph">
    <w:name w:val="toc 1"/>
    <w:basedOn w:val="Normal"/>
    <w:next w:val="Normal"/>
    <w:autoRedefine/>
    <w:uiPriority w:val="39"/>
    <w:unhideWhenUsed/>
    <w:rsid w:val="00F45D3A"/>
    <w:pPr>
      <w:spacing w:after="0" w:before="120"/>
      <w:ind w:hanging="425" w:left="425" w:right="284"/>
    </w:pPr>
    <w:rPr>
      <w:rFonts w:ascii="Times New Roman" w:hAnsi="Times New Roman"/>
      <w:b/>
      <w:color w:val="0000FF"/>
    </w:rPr>
  </w:style>
  <w:style w:styleId="TOC3" w:type="paragraph">
    <w:name w:val="toc 3"/>
    <w:basedOn w:val="Normal"/>
    <w:next w:val="Normal"/>
    <w:autoRedefine/>
    <w:uiPriority w:val="39"/>
    <w:unhideWhenUsed/>
    <w:rsid w:val="00F45D3A"/>
    <w:pPr>
      <w:tabs>
        <w:tab w:pos="1320" w:val="left"/>
        <w:tab w:leader="dot" w:pos="9396" w:val="right"/>
      </w:tabs>
      <w:spacing w:after="0"/>
      <w:ind w:hanging="822" w:left="822" w:right="284"/>
    </w:pPr>
    <w:rPr>
      <w:rFonts w:ascii="Times New Roman" w:hAnsi="Times New Roman"/>
      <w:color w:val="0000FF"/>
    </w:rPr>
  </w:style>
  <w:style w:styleId="TOC4" w:type="paragraph">
    <w:name w:val="toc 4"/>
    <w:basedOn w:val="Normal"/>
    <w:next w:val="Normal"/>
    <w:autoRedefine/>
    <w:uiPriority w:val="39"/>
    <w:unhideWhenUsed/>
    <w:rsid w:val="00F45D3A"/>
    <w:pPr>
      <w:tabs>
        <w:tab w:pos="1540" w:val="left"/>
        <w:tab w:leader="dot" w:pos="9396" w:val="right"/>
      </w:tabs>
      <w:spacing w:after="0"/>
      <w:ind w:hanging="1021" w:left="1021" w:right="284"/>
    </w:pPr>
    <w:rPr>
      <w:rFonts w:ascii="Times New Roman" w:hAnsi="Times New Roman"/>
      <w:color w:val="0000FF"/>
    </w:rPr>
  </w:style>
  <w:style w:styleId="TOC5" w:type="paragraph">
    <w:name w:val="toc 5"/>
    <w:basedOn w:val="Normal"/>
    <w:next w:val="Normal"/>
    <w:autoRedefine/>
    <w:uiPriority w:val="39"/>
    <w:unhideWhenUsed/>
    <w:rsid w:val="00F45D3A"/>
    <w:pPr>
      <w:tabs>
        <w:tab w:pos="1880" w:val="left"/>
        <w:tab w:leader="dot" w:pos="9396" w:val="right"/>
      </w:tabs>
      <w:spacing w:after="0"/>
      <w:ind w:hanging="1219" w:left="1219" w:right="284"/>
    </w:pPr>
    <w:rPr>
      <w:rFonts w:ascii="Times New Roman" w:hAnsi="Times New Roman"/>
      <w:color w:val="0000FF"/>
    </w:rPr>
  </w:style>
  <w:style w:styleId="Index1" w:type="paragraph">
    <w:name w:val="index 1"/>
    <w:basedOn w:val="Normal"/>
    <w:next w:val="Normal"/>
    <w:autoRedefine/>
    <w:rsid w:val="00830389"/>
    <w:pPr>
      <w:spacing w:after="0"/>
      <w:ind w:hanging="240" w:left="240"/>
    </w:pPr>
  </w:style>
  <w:style w:styleId="TableofFigures" w:type="paragraph">
    <w:name w:val="table of figures"/>
    <w:basedOn w:val="Normal"/>
    <w:next w:val="Normal"/>
    <w:uiPriority w:val="99"/>
    <w:unhideWhenUsed/>
    <w:rsid w:val="00162E8B"/>
    <w:pPr>
      <w:spacing w:after="0"/>
    </w:pPr>
    <w:rPr>
      <w:rFonts w:ascii="Times New Roman" w:hAnsi="Times New Roman"/>
      <w:color w:val="0000FF"/>
    </w:rPr>
  </w:style>
  <w:style w:styleId="GridTable1Light" w:type="table">
    <w:name w:val="Grid Table 1 Light"/>
    <w:basedOn w:val="TableNormal"/>
    <w:rsid w:val="008D31A4"/>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2</Pages>
  <Words>118</Words>
  <Characters>679</Characters>
  <Application>Microsoft Office Word</Application>
  <DocSecurity>0</DocSecurity>
  <Lines>5</Lines>
  <Paragraphs>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
  <LinksUpToDate>false</LinksUpToDate>
  <CharactersWithSpaces>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and evaluation of a PBPK model for tizanidine in adults</dc:title>
  <dc:creator/>
  <cp:keywords/>
  <dcterms:created xsi:type="dcterms:W3CDTF">2025-05-14T17:10:23Z</dcterms:created>
  <dcterms:modified xsi:type="dcterms:W3CDTF">2025-05-14T17:10:23Z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Version1.0-OSP12.0based on Model Snapshot and Evaluation Planhttps://github.com/Open-Systems-Pharmacology/Tizanidine-Model/releases/tag/v1.0OSP Version12.0Qualification Framework Version3.3This evaluation report and the corresponding PK-Sim project file are filed at:https://github.com/Open-Systems-Pharmacology/OSP-PBPK-Model-Library/</vt:lpwstr>
  </property>
  <property fmtid="{D5CDD505-2E9C-101B-9397-08002B2CF9AE}" pid="3" name="subtitle">
    <vt:lpwstr/>
  </property>
</Properties>
</file>