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0.png" ContentType="image/png"/>
  <Override PartName="/word/media/rId43.png" ContentType="image/png"/>
  <Override PartName="/word/media/rId74.png" ContentType="image/png"/>
  <Override PartName="/word/media/rId77.png" ContentType="image/png"/>
  <Override PartName="/word/media/rId80.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w:t>
      </w:r>
      <w:r>
        <w:t xml:space="preserve"> </w:t>
      </w:r>
      <w:r>
        <w:t xml:space="preserve">and</w:t>
      </w:r>
      <w:r>
        <w:t xml:space="preserve"> </w:t>
      </w:r>
      <w:r>
        <w:t xml:space="preserve">evaluation</w:t>
      </w:r>
      <w:r>
        <w:t xml:space="preserve"> </w:t>
      </w:r>
      <w:r>
        <w:t xml:space="preserve">of</w:t>
      </w:r>
      <w:r>
        <w:t xml:space="preserve"> </w:t>
      </w:r>
      <w:r>
        <w:t xml:space="preserve">a</w:t>
      </w:r>
      <w:r>
        <w:t xml:space="preserve"> </w:t>
      </w:r>
      <w:r>
        <w:t xml:space="preserve">PBPK</w:t>
      </w:r>
      <w:r>
        <w:t xml:space="preserve"> </w:t>
      </w:r>
      <w:r>
        <w:t xml:space="preserve">model</w:t>
      </w:r>
      <w:r>
        <w:t xml:space="preserve"> </w:t>
      </w:r>
      <w:r>
        <w:t xml:space="preserve">for</w:t>
      </w:r>
      <w:r>
        <w:t xml:space="preserve"> </w:t>
      </w:r>
      <w:r>
        <w:t xml:space="preserve">triazolam</w:t>
      </w:r>
      <w:r>
        <w:t xml:space="preserve"> </w:t>
      </w:r>
      <w:r>
        <w:t xml:space="preserve">in</w:t>
      </w:r>
      <w:r>
        <w:t xml:space="preserve"> </w:t>
      </w:r>
      <w:r>
        <w:t xml:space="preserve">healthy</w:t>
      </w:r>
      <w:r>
        <w:t xml:space="preserve"> </w:t>
      </w:r>
      <w:r>
        <w:t xml:space="preserve">adults</w:t>
      </w:r>
    </w:p>
    <w:p>
      <w:pPr>
        <w:pStyle w:val="AbstractTitle"/>
      </w:pPr>
      <w:r>
        <w:t xml:space="preserve">Abstract</w:t>
      </w:r>
    </w:p>
    <w:tbl>
      <w:tblPr>
        <w:tblStyle w:val="Table"/>
        <w:tblW w:type="pct" w:w="5000"/>
        <w:tblLook w:firstRow="1" w:lastRow="0" w:firstColumn="0" w:lastColumn="0" w:noHBand="0" w:noVBand="0" w:val="0020"/>
        <w:jc w:val="start"/>
      </w:tblPr>
      <w:tblGrid>
        <w:gridCol w:w="3478"/>
        <w:gridCol w:w="4441"/>
      </w:tblGrid>
      <w:tr>
        <w:trPr>
          <w:tblHeader w:val="true"/>
        </w:trPr>
        <w:tc>
          <w:tcPr/>
          <w:p>
            <w:pPr>
              <w:pStyle w:val="Compact"/>
              <w:jc w:val="left"/>
            </w:pPr>
            <w:r>
              <w:t xml:space="preserve">Version</w:t>
            </w:r>
          </w:p>
        </w:tc>
        <w:tc>
          <w:tcPr/>
          <w:p>
            <w:pPr>
              <w:pStyle w:val="Compact"/>
              <w:jc w:val="left"/>
            </w:pPr>
            <w:r>
              <w:t xml:space="preserve">1.0-OSP12.0</w:t>
            </w:r>
          </w:p>
        </w:tc>
      </w:tr>
      <w:tr>
        <w:tc>
          <w:tcPr/>
          <w:p>
            <w:pPr>
              <w:pStyle w:val="Compact"/>
              <w:jc w:val="left"/>
            </w:pPr>
            <w:r>
              <w:t xml:space="preserve">based</w:t>
            </w:r>
            <w:r>
              <w:t xml:space="preserve"> </w:t>
            </w:r>
            <w:r>
              <w:t xml:space="preserve">on</w:t>
            </w:r>
            <w:r>
              <w:t xml:space="preserve"> </w:t>
            </w:r>
            <w:r>
              <w:rPr>
                <w:iCs/>
                <w:i/>
              </w:rPr>
              <w:t xml:space="preserve">Model</w:t>
            </w:r>
            <w:r>
              <w:rPr>
                <w:iCs/>
                <w:i/>
              </w:rPr>
              <w:t xml:space="preserve"> </w:t>
            </w:r>
            <w:r>
              <w:rPr>
                <w:iCs/>
                <w:i/>
              </w:rPr>
              <w:t xml:space="preserve">Snapshot</w:t>
            </w:r>
            <w:r>
              <w:t xml:space="preserve"> </w:t>
            </w:r>
            <w:r>
              <w:t xml:space="preserve">and</w:t>
            </w:r>
            <w:r>
              <w:t xml:space="preserve"> </w:t>
            </w:r>
            <w:r>
              <w:rPr>
                <w:iCs/>
                <w:i/>
              </w:rPr>
              <w:t xml:space="preserve">Evaluation</w:t>
            </w:r>
            <w:r>
              <w:rPr>
                <w:iCs/>
                <w:i/>
              </w:rPr>
              <w:t xml:space="preserve"> </w:t>
            </w:r>
            <w:r>
              <w:rPr>
                <w:iCs/>
                <w:i/>
              </w:rPr>
              <w:t xml:space="preserve">Plan</w:t>
            </w:r>
          </w:p>
        </w:tc>
        <w:tc>
          <w:tcPr/>
          <w:p>
            <w:pPr>
              <w:pStyle w:val="Compact"/>
              <w:jc w:val="left"/>
            </w:pPr>
            <w:r>
              <w:t xml:space="preserve">https://github.com/Open-Systems-Pharmacology/Triazolam-Model/releases/tag/v1.0</w:t>
            </w:r>
          </w:p>
        </w:tc>
      </w:tr>
      <w:tr>
        <w:tc>
          <w:tcPr/>
          <w:p>
            <w:pPr>
              <w:pStyle w:val="Compact"/>
              <w:jc w:val="left"/>
            </w:pPr>
            <w:r>
              <w:t xml:space="preserve">OSP</w:t>
            </w:r>
            <w:r>
              <w:t xml:space="preserve"> </w:t>
            </w:r>
            <w:r>
              <w:t xml:space="preserve">Version</w:t>
            </w:r>
          </w:p>
        </w:tc>
        <w:tc>
          <w:tcPr/>
          <w:p>
            <w:pPr>
              <w:pStyle w:val="Compact"/>
              <w:jc w:val="left"/>
            </w:pPr>
            <w:r>
              <w:t xml:space="preserve">12.0</w:t>
            </w:r>
          </w:p>
        </w:tc>
      </w:tr>
      <w:tr>
        <w:tc>
          <w:tcPr/>
          <w:p>
            <w:pPr>
              <w:pStyle w:val="Compact"/>
              <w:jc w:val="left"/>
            </w:pPr>
            <w:r>
              <w:t xml:space="preserve">Qualification</w:t>
            </w:r>
            <w:r>
              <w:t xml:space="preserve"> </w:t>
            </w:r>
            <w:r>
              <w:t xml:space="preserve">Framework</w:t>
            </w:r>
            <w:r>
              <w:t xml:space="preserve"> </w:t>
            </w:r>
            <w:r>
              <w:t xml:space="preserve">Version</w:t>
            </w:r>
          </w:p>
        </w:tc>
        <w:tc>
          <w:tcPr/>
          <w:p>
            <w:pPr>
              <w:pStyle w:val="Compact"/>
              <w:jc w:val="left"/>
            </w:pPr>
            <w:r>
              <w:t xml:space="preserve">3.3</w:t>
            </w:r>
          </w:p>
        </w:tc>
      </w:tr>
    </w:tbl>
    <w:p>
      <w:pPr>
        <w:pStyle w:val="Abstract"/>
      </w:pPr>
      <w:r>
        <w:t xml:space="preserve">This</w:t>
      </w:r>
      <w:r>
        <w:t xml:space="preserve"> </w:t>
      </w:r>
      <w:r>
        <w:t xml:space="preserve">evaluation</w:t>
      </w:r>
      <w:r>
        <w:t xml:space="preserve"> </w:t>
      </w:r>
      <w:r>
        <w:t xml:space="preserve">report</w:t>
      </w:r>
      <w:r>
        <w:t xml:space="preserve"> </w:t>
      </w:r>
      <w:r>
        <w:t xml:space="preserve">and</w:t>
      </w:r>
      <w:r>
        <w:t xml:space="preserve"> </w:t>
      </w:r>
      <w:r>
        <w:t xml:space="preserve">the</w:t>
      </w:r>
      <w:r>
        <w:t xml:space="preserve"> </w:t>
      </w:r>
      <w:r>
        <w:t xml:space="preserve">corresponding</w:t>
      </w:r>
      <w:r>
        <w:t xml:space="preserve"> </w:t>
      </w:r>
      <w:r>
        <w:t xml:space="preserve">PK-Sim</w:t>
      </w:r>
      <w:r>
        <w:t xml:space="preserve"> </w:t>
      </w:r>
      <w:r>
        <w:t xml:space="preserve">project</w:t>
      </w:r>
      <w:r>
        <w:t xml:space="preserve"> </w:t>
      </w:r>
      <w:r>
        <w:t xml:space="preserve">file</w:t>
      </w:r>
      <w:r>
        <w:t xml:space="preserve"> </w:t>
      </w:r>
      <w:r>
        <w:t xml:space="preserve">are</w:t>
      </w:r>
      <w:r>
        <w:t xml:space="preserve"> </w:t>
      </w:r>
      <w:r>
        <w:t xml:space="preserve">filed</w:t>
      </w:r>
      <w:r>
        <w:t xml:space="preserve"> </w:t>
      </w:r>
      <w:r>
        <w:t xml:space="preserve">at:</w:t>
      </w:r>
    </w:p>
    <w:p>
      <w:pPr>
        <w:pStyle w:val="Abstract"/>
      </w:pPr>
      <w:r>
        <w:t xml:space="preserve">https://github.com/Open-Systems-Pharmacology/OSP-PBPK-Model-Library/</w:t>
      </w:r>
    </w:p>
    <w:p>
      <w:pPr>
        <w:pStyle w:val="Abstract"/>
      </w:pPr>
      <w:br w:type="page"/>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bookmarkStart w:id="introduction" w:name="introduction"/>
      <w:bookmarkEnd w:id="introduction"/>
    </w:p>
    <w:p>
      <w:pPr>
        <w:pStyle w:val="FirstParagraph"/>
      </w:pPr>
      <w:r>
        <w:t xml:space="preserve">The presented model building and evaluation report evaluates the performance of a PBPK model for triazolam in healthy adults.</w:t>
      </w:r>
    </w:p>
    <w:p>
      <w:pPr>
        <w:pStyle w:val="BodyText"/>
      </w:pPr>
      <w:r>
        <w:t xml:space="preserve">Triazolam, sold under the trade name Halcion, among others, belongs to the group of benzodiazepines and is used for short-term treatment of insomnia and circadian rhythm sleep disorders. It is generally administered orally as immediate release tablet, but other forms of administrations, e.g. intravenously or as sublingual tablet, exist as well.</w:t>
      </w:r>
    </w:p>
    <w:p>
      <w:pPr>
        <w:pStyle w:val="BodyText"/>
      </w:pPr>
      <w:r>
        <w:t xml:space="preserve">Following oral administration, triazolam is rapidly absorbed with an absolute bioavailability of 44 ± 24% (mean ± standard deviation,</w:t>
      </w:r>
      <w:r>
        <w:t xml:space="preserve"> </w:t>
      </w:r>
      <w:hyperlink w:anchor="Xa559bd5247f9128e74e6edcc17de37648e8cde6">
        <w:r>
          <w:rPr>
            <w:rStyle w:val="Hyperlink"/>
          </w:rPr>
          <w:t xml:space="preserve">Kroboth 1995</w:t>
        </w:r>
      </w:hyperlink>
      <w:r>
        <w:t xml:space="preserve">). Triazolam is widely distributed throughout the body. Its fraction unbound in human plasma averages around 17% and is, within the range of 20 to 1000 ng/mL, not influenced by total triazolam concentrations (</w:t>
      </w:r>
      <w:hyperlink w:anchor="Xa559bd5247f9128e74e6edcc17de37648e8cde6">
        <w:r>
          <w:rPr>
            <w:rStyle w:val="Hyperlink"/>
          </w:rPr>
          <w:t xml:space="preserve">Eberts 1981</w:t>
        </w:r>
      </w:hyperlink>
      <w:r>
        <w:t xml:space="preserve">). Triazolam is extensively metabolized via CYP3A4 to α-hydroxy-alprazolam and 4-hydroxy-alprazolam (</w:t>
      </w:r>
      <w:hyperlink w:anchor="Xa559bd5247f9128e74e6edcc17de37648e8cde6">
        <w:r>
          <w:rPr>
            <w:rStyle w:val="Hyperlink"/>
          </w:rPr>
          <w:t xml:space="preserve">Eberts 1981</w:t>
        </w:r>
      </w:hyperlink>
      <w:r>
        <w:t xml:space="preserve">,</w:t>
      </w:r>
      <w:r>
        <w:t xml:space="preserve"> </w:t>
      </w:r>
      <w:hyperlink w:anchor="Xa559bd5247f9128e74e6edcc17de37648e8cde6">
        <w:r>
          <w:rPr>
            <w:rStyle w:val="Hyperlink"/>
          </w:rPr>
          <w:t xml:space="preserve">Kronbach 1989</w:t>
        </w:r>
      </w:hyperlink>
      <w:r>
        <w:t xml:space="preserve">) and is therefore often used as victim compound in drug-drug interaction (DDI) studies.</w:t>
      </w:r>
    </w:p>
    <w:p>
      <w:pPr>
        <w:pStyle w:val="BodyText"/>
      </w:pPr>
      <w:r>
        <w:t xml:space="preserve">The presented triazolam PBPK model was developed for intravenous (IV) administration and oral (PO) administration of the immediate release tablet given in fasted state in healthy, non-obese adults.</w:t>
      </w:r>
    </w:p>
    <w:bookmarkEnd w:id="20"/>
    <w:bookmarkStart w:id="28" w:name="methods"/>
    <w:p>
      <w:pPr>
        <w:pStyle w:val="Heading1"/>
      </w:pPr>
      <w:r>
        <w:t xml:space="preserve">Methods</w:t>
      </w:r>
      <w:bookmarkStart w:id="methods" w:name="methods"/>
      <w:bookmarkEnd w:id="methods"/>
    </w:p>
    <w:bookmarkStart w:id="21" w:name="modeling-strategy"/>
    <w:p>
      <w:pPr>
        <w:pStyle w:val="Heading2"/>
      </w:pPr>
      <w:r>
        <w:t xml:space="preserve">Modeling Strategy</w:t>
      </w:r>
      <w:bookmarkStart w:id="modeling-strategy" w:name="modeling-strategy"/>
      <w:bookmarkEnd w:id="modeling-strategy"/>
    </w:p>
    <w:p>
      <w:pPr>
        <w:pStyle w:val="FirstParagraph"/>
      </w:pPr>
      <w:r>
        <w:t xml:space="preserve">The general workflow for building an adult PBPK model has been described by Kuepfer et al. (</w:t>
      </w:r>
      <w:hyperlink w:anchor="Xa559bd5247f9128e74e6edcc17de37648e8cde6">
        <w:r>
          <w:rPr>
            <w:rStyle w:val="Hyperlink"/>
          </w:rPr>
          <w:t xml:space="preserve">Kuepfer 2016</w:t>
        </w:r>
      </w:hyperlink>
      <w:r>
        <w:t xml:space="preserve">). Relevant information on the anthropometry (height, weight) was gathered from the respective clinical study, if reported. Information on physiological parameters (e.g. blood flows, organ volumes, hematocrit) in adults was gathered from the literature and has been incorporated in PK-Sim</w:t>
      </w:r>
      <w:r>
        <w:rPr>
          <w:vertAlign w:val="superscript"/>
        </w:rPr>
        <w:t xml:space="preserve">®</w:t>
      </w:r>
      <w:r>
        <w:t xml:space="preserve">) as described previously (</w:t>
      </w:r>
      <w:hyperlink w:anchor="Xa559bd5247f9128e74e6edcc17de37648e8cde6">
        <w:r>
          <w:rPr>
            <w:rStyle w:val="Hyperlink"/>
          </w:rPr>
          <w:t xml:space="preserve">Willmann 2007</w:t>
        </w:r>
      </w:hyperlink>
      <w:r>
        <w:t xml:space="preserve">). The applied activity and variability of plasma proteins and active processes that are integrated into PK-Sim® are described in the publicly available</w:t>
      </w:r>
      <w:r>
        <w:t xml:space="preserve"> </w:t>
      </w:r>
      <w:r>
        <w:t xml:space="preserve">‘</w:t>
      </w:r>
      <w:r>
        <w:t xml:space="preserve">PK-Sim</w:t>
      </w:r>
      <w:r>
        <w:rPr>
          <w:vertAlign w:val="superscript"/>
        </w:rPr>
        <w:t xml:space="preserve">®</w:t>
      </w:r>
      <w:r>
        <w:t xml:space="preserve"> </w:t>
      </w:r>
      <w:r>
        <w:t xml:space="preserve">Ontogeny Database Version 7.3</w:t>
      </w:r>
      <w:r>
        <w:t xml:space="preserve">’</w:t>
      </w:r>
      <w:r>
        <w:t xml:space="preserve"> </w:t>
      </w:r>
      <w:r>
        <w:t xml:space="preserve">(</w:t>
      </w:r>
      <w:hyperlink w:anchor="Xa559bd5247f9128e74e6edcc17de37648e8cde6">
        <w:r>
          <w:rPr>
            <w:rStyle w:val="Hyperlink"/>
          </w:rPr>
          <w:t xml:space="preserve">PK-Sim Ontogeny Database Version 7.3</w:t>
        </w:r>
      </w:hyperlink>
      <w:r>
        <w:t xml:space="preserve">).</w:t>
      </w:r>
    </w:p>
    <w:p>
      <w:pPr>
        <w:pStyle w:val="BodyText"/>
      </w:pPr>
      <w:r>
        <w:t xml:space="preserve">The PBPK model was developed based on clinical data of healthy, non-obese, adult subjects obtained from the literature, covering different single doses of triazolam administered intravenously or orally as immediate release tablet in the fasted state.</w:t>
      </w:r>
    </w:p>
    <w:p>
      <w:pPr>
        <w:pStyle w:val="BodyText"/>
      </w:pPr>
      <w:r>
        <w:t xml:space="preserve">Unknown parameters were simultaneously optimized using all available PK data, in particular:</w:t>
      </w:r>
    </w:p>
    <w:p>
      <w:pPr>
        <w:numPr>
          <w:ilvl w:val="0"/>
          <w:numId w:val="1001"/>
        </w:numPr>
        <w:pStyle w:val="Compact"/>
      </w:pPr>
      <w:r>
        <w:t xml:space="preserve">6 data sets following single IV administration of 5 different doses of triazolam (0.125 mg, 0.25 mg, 0.5 mg, 0.75 mg, 1 mg)</w:t>
      </w:r>
    </w:p>
    <w:p>
      <w:pPr>
        <w:numPr>
          <w:ilvl w:val="0"/>
          <w:numId w:val="1001"/>
        </w:numPr>
        <w:pStyle w:val="Compact"/>
      </w:pPr>
      <w:r>
        <w:t xml:space="preserve">22 data sets following single PO administration of 3 different doses of triazolam as immediate release tablet (0.125 mg, 0.25 mg, 0.5 mg)</w:t>
      </w:r>
    </w:p>
    <w:p>
      <w:pPr>
        <w:pStyle w:val="FirstParagraph"/>
      </w:pPr>
      <w:r>
        <w:t xml:space="preserve">Structural model selection was mainly guided by visual inspection of the resulting description of data and biological plausibility. The following parameters were identified using the Parameter Identification module provided in PK-Sim</w:t>
      </w:r>
      <w:r>
        <w:rPr>
          <w:vertAlign w:val="superscript"/>
        </w:rPr>
        <w:t xml:space="preserve">®</w:t>
      </w:r>
      <w:r>
        <w:t xml:space="preserve"> </w:t>
      </w:r>
      <w:r>
        <w:t xml:space="preserve">and MoBi</w:t>
      </w:r>
      <w:r>
        <w:rPr>
          <w:vertAlign w:val="superscript"/>
        </w:rPr>
        <w:t xml:space="preserve">®</w:t>
      </w:r>
      <w:r>
        <w:t xml:space="preserve"> </w:t>
      </w:r>
      <w:r>
        <w:t xml:space="preserve">(</w:t>
      </w:r>
      <w:hyperlink w:anchor="Xa559bd5247f9128e74e6edcc17de37648e8cde6">
        <w:r>
          <w:rPr>
            <w:rStyle w:val="Hyperlink"/>
          </w:rPr>
          <w:t xml:space="preserve">Open Systems Pharmacology Documentation</w:t>
        </w:r>
      </w:hyperlink>
      <w:r>
        <w:t xml:space="preserve">):</w:t>
      </w:r>
    </w:p>
    <w:p>
      <w:pPr>
        <w:numPr>
          <w:ilvl w:val="0"/>
          <w:numId w:val="1002"/>
        </w:numPr>
        <w:pStyle w:val="Compact"/>
      </w:pPr>
      <w:r>
        <w:rPr>
          <w:rStyle w:val="VerbatimChar"/>
        </w:rPr>
        <w:t xml:space="preserve">Dissolution time (50% dissolved)</w:t>
      </w:r>
    </w:p>
    <w:p>
      <w:pPr>
        <w:numPr>
          <w:ilvl w:val="0"/>
          <w:numId w:val="1002"/>
        </w:numPr>
        <w:pStyle w:val="Compact"/>
      </w:pPr>
      <w:r>
        <w:rPr>
          <w:rStyle w:val="VerbatimChar"/>
        </w:rPr>
        <w:t xml:space="preserve">Dissolution shape</w:t>
      </w:r>
    </w:p>
    <w:p>
      <w:pPr>
        <w:numPr>
          <w:ilvl w:val="0"/>
          <w:numId w:val="1002"/>
        </w:numPr>
        <w:pStyle w:val="Compact"/>
      </w:pPr>
      <w:r>
        <w:rPr>
          <w:rStyle w:val="VerbatimChar"/>
        </w:rPr>
        <w:t xml:space="preserve">Specific intestinal permeability</w:t>
      </w:r>
    </w:p>
    <w:p>
      <w:pPr>
        <w:numPr>
          <w:ilvl w:val="0"/>
          <w:numId w:val="1002"/>
        </w:numPr>
        <w:pStyle w:val="Compact"/>
      </w:pPr>
      <w:r>
        <w:rPr>
          <w:rStyle w:val="VerbatimChar"/>
        </w:rPr>
        <w:t xml:space="preserve">Mucosa permeability (interstitial&lt;-&gt;intracellular)</w:t>
      </w:r>
    </w:p>
    <w:p>
      <w:pPr>
        <w:numPr>
          <w:ilvl w:val="0"/>
          <w:numId w:val="1002"/>
        </w:numPr>
        <w:pStyle w:val="Compact"/>
      </w:pPr>
      <w:r>
        <w:rPr>
          <w:rStyle w:val="VerbatimChar"/>
        </w:rPr>
        <w:t xml:space="preserve">Lipophilicity</w:t>
      </w:r>
    </w:p>
    <w:p>
      <w:pPr>
        <w:numPr>
          <w:ilvl w:val="0"/>
          <w:numId w:val="1002"/>
        </w:numPr>
        <w:pStyle w:val="Compact"/>
      </w:pPr>
      <w:r>
        <w:rPr>
          <w:rStyle w:val="VerbatimChar"/>
        </w:rPr>
        <w:t xml:space="preserve">Metabolizing Enzyme - CYP3A4 - kcat</w:t>
      </w:r>
    </w:p>
    <w:p>
      <w:pPr>
        <w:pStyle w:val="FirstParagraph"/>
      </w:pPr>
      <w:r>
        <w:t xml:space="preserve">Details about input data (physicochemical,</w:t>
      </w:r>
      <w:r>
        <w:t xml:space="preserve"> </w:t>
      </w:r>
      <w:r>
        <w:rPr>
          <w:iCs/>
          <w:i/>
        </w:rPr>
        <w:t xml:space="preserve">in vitro</w:t>
      </w:r>
      <w:r>
        <w:t xml:space="preserve"> </w:t>
      </w:r>
      <w:r>
        <w:t xml:space="preserve">and clinical) can be found in</w:t>
      </w:r>
      <w:r>
        <w:t xml:space="preserve"> </w:t>
      </w:r>
      <w:hyperlink w:anchor="X681d1fae3f233cf07e1ee33c73d775b8586b96f">
        <w:r>
          <w:rPr>
            <w:rStyle w:val="Hyperlink"/>
          </w:rPr>
          <w:t xml:space="preserve">Section 2.2</w:t>
        </w:r>
      </w:hyperlink>
      <w:r>
        <w:t xml:space="preserve">.</w:t>
      </w:r>
    </w:p>
    <w:p>
      <w:pPr>
        <w:pStyle w:val="BodyText"/>
      </w:pPr>
      <w:r>
        <w:t xml:space="preserve">Details about the structural model and its parameters can be found in</w:t>
      </w:r>
      <w:r>
        <w:t xml:space="preserve"> </w:t>
      </w:r>
      <w:hyperlink w:anchor="X920e58f6eb345d17092abc826058b6950015cf7">
        <w:r>
          <w:rPr>
            <w:rStyle w:val="Hyperlink"/>
          </w:rPr>
          <w:t xml:space="preserve">Section 2.3</w:t>
        </w:r>
      </w:hyperlink>
      <w:r>
        <w:t xml:space="preserve">.</w:t>
      </w:r>
    </w:p>
    <w:bookmarkEnd w:id="21"/>
    <w:bookmarkStart w:id="24" w:name="data"/>
    <w:p>
      <w:pPr>
        <w:pStyle w:val="Heading2"/>
      </w:pPr>
      <w:r>
        <w:t xml:space="preserve">Data</w:t>
      </w:r>
      <w:bookmarkStart w:id="data" w:name="data"/>
      <w:bookmarkEnd w:id="data"/>
    </w:p>
    <w:bookmarkStart w:id="22" w:name="in-vitro-physicochemical-data"/>
    <w:p>
      <w:pPr>
        <w:pStyle w:val="Heading3"/>
      </w:pPr>
      <w:r>
        <w:t xml:space="preserve">2.2.1 In vitro / physicochemical data</w:t>
      </w:r>
    </w:p>
    <w:p>
      <w:pPr>
        <w:pStyle w:val="FirstParagraph"/>
      </w:pPr>
      <w:r>
        <w:t xml:space="preserve">A literature search was carried out to collect available information on physicochemical properties of triazolam. The obtained information from the literature is summarized in the table below and is used for model building.</w:t>
      </w:r>
    </w:p>
    <w:tbl>
      <w:tblPr>
        <w:tblStyle w:val="Table"/>
        <w:tblW w:type="pct" w:w="5000"/>
        <w:tblLook w:firstRow="1" w:lastRow="0" w:firstColumn="0" w:lastColumn="0" w:noHBand="0" w:noVBand="0" w:val="0020"/>
        <w:jc w:val="start"/>
      </w:tblPr>
      <w:tblGrid>
        <w:gridCol w:w="1161"/>
        <w:gridCol w:w="422"/>
        <w:gridCol w:w="3168"/>
        <w:gridCol w:w="3168"/>
      </w:tblGrid>
      <w:tr>
        <w:trPr>
          <w:tblHeader w:val="true"/>
        </w:trPr>
        <w:tc>
          <w:tcPr/>
          <w:p>
            <w:pPr>
              <w:pStyle w:val="Compact"/>
              <w:jc w:val="left"/>
            </w:pPr>
            <w:r>
              <w:rPr>
                <w:bCs/>
                <w:b/>
              </w:rPr>
              <w:t xml:space="preserve">Parameter</w:t>
            </w:r>
          </w:p>
        </w:tc>
        <w:tc>
          <w:tcPr/>
          <w:p>
            <w:pPr>
              <w:pStyle w:val="Compact"/>
              <w:jc w:val="left"/>
            </w:pPr>
            <w:r>
              <w:rPr>
                <w:bCs/>
                <w:b/>
              </w:rPr>
              <w:t xml:space="preserve">Unit</w:t>
            </w:r>
          </w:p>
        </w:tc>
        <w:tc>
          <w:tcPr/>
          <w:p>
            <w:pPr>
              <w:pStyle w:val="Compact"/>
              <w:jc w:val="left"/>
            </w:pPr>
            <w:r>
              <w:rPr>
                <w:bCs/>
                <w:b/>
              </w:rPr>
              <w:t xml:space="preserve">Literature</w:t>
            </w:r>
          </w:p>
        </w:tc>
        <w:tc>
          <w:tcPr/>
          <w:p>
            <w:pPr>
              <w:pStyle w:val="Compact"/>
              <w:jc w:val="left"/>
            </w:pPr>
            <w:r>
              <w:rPr>
                <w:bCs/>
                <w:b/>
              </w:rPr>
              <w:t xml:space="preserve">Description</w:t>
            </w:r>
          </w:p>
        </w:tc>
      </w:tr>
      <w:tr>
        <w:tc>
          <w:tcPr/>
          <w:p>
            <w:pPr>
              <w:pStyle w:val="Compact"/>
              <w:jc w:val="left"/>
            </w:pPr>
            <w:r>
              <w:t xml:space="preserve">Molecular weight</w:t>
            </w:r>
          </w:p>
        </w:tc>
        <w:tc>
          <w:tcPr/>
          <w:p>
            <w:pPr>
              <w:pStyle w:val="Compact"/>
              <w:jc w:val="left"/>
            </w:pPr>
            <w:r>
              <w:t xml:space="preserve">g/mol</w:t>
            </w:r>
          </w:p>
        </w:tc>
        <w:tc>
          <w:tcPr/>
          <w:p>
            <w:pPr>
              <w:pStyle w:val="Compact"/>
              <w:jc w:val="left"/>
            </w:pPr>
            <w:r>
              <w:t xml:space="preserve">343.21 (</w:t>
            </w:r>
            <w:hyperlink w:anchor="Xa559bd5247f9128e74e6edcc17de37648e8cde6">
              <w:r>
                <w:rPr>
                  <w:rStyle w:val="Hyperlink"/>
                </w:rPr>
                <w:t xml:space="preserve">drugbank.ca</w:t>
              </w:r>
            </w:hyperlink>
            <w:r>
              <w:t xml:space="preserve">)</w:t>
            </w:r>
          </w:p>
        </w:tc>
        <w:tc>
          <w:tcPr/>
          <w:p>
            <w:pPr>
              <w:pStyle w:val="Compact"/>
              <w:jc w:val="left"/>
            </w:pPr>
            <w:r>
              <w:t xml:space="preserve">Molecular weight</w:t>
            </w:r>
          </w:p>
        </w:tc>
      </w:tr>
      <w:tr>
        <w:tc>
          <w:tcPr/>
          <w:p>
            <w:pPr>
              <w:pStyle w:val="Compact"/>
              <w:jc w:val="left"/>
            </w:pPr>
            <w:r>
              <w:t xml:space="preserve">pK</w:t>
            </w:r>
            <w:r>
              <w:rPr>
                <w:vertAlign w:val="subscript"/>
              </w:rPr>
              <w:t xml:space="preserve">a</w:t>
            </w:r>
            <w:r>
              <w:t xml:space="preserve"> </w:t>
            </w:r>
            <w:r>
              <w:t xml:space="preserve">(basic)</w:t>
            </w:r>
          </w:p>
        </w:tc>
        <w:tc>
          <w:tcPr/>
          <w:p>
            <w:pPr>
              <w:pStyle w:val="Compact"/>
            </w:pPr>
          </w:p>
        </w:tc>
        <w:tc>
          <w:tcPr/>
          <w:p>
            <w:pPr>
              <w:pStyle w:val="Compact"/>
              <w:jc w:val="left"/>
            </w:pPr>
            <w:r>
              <w:t xml:space="preserve">1.52 (</w:t>
            </w:r>
            <w:hyperlink w:anchor="Xa559bd5247f9128e74e6edcc17de37648e8cde6">
              <w:r>
                <w:rPr>
                  <w:rStyle w:val="Hyperlink"/>
                </w:rPr>
                <w:t xml:space="preserve">Konishi 1982</w:t>
              </w:r>
            </w:hyperlink>
            <w:r>
              <w:t xml:space="preserve">)</w:t>
            </w:r>
          </w:p>
        </w:tc>
        <w:tc>
          <w:tcPr/>
          <w:p>
            <w:pPr>
              <w:pStyle w:val="Compact"/>
              <w:jc w:val="left"/>
            </w:pPr>
            <w:r>
              <w:t xml:space="preserve">Acid dissociation constant</w:t>
            </w:r>
          </w:p>
        </w:tc>
      </w:tr>
      <w:tr>
        <w:tc>
          <w:tcPr/>
          <w:p>
            <w:pPr>
              <w:pStyle w:val="Compact"/>
              <w:jc w:val="left"/>
            </w:pPr>
            <w:r>
              <w:t xml:space="preserve">logP</w:t>
            </w:r>
          </w:p>
        </w:tc>
        <w:tc>
          <w:tcPr/>
          <w:p>
            <w:pPr>
              <w:pStyle w:val="Compact"/>
            </w:pPr>
          </w:p>
        </w:tc>
        <w:tc>
          <w:tcPr/>
          <w:p>
            <w:pPr>
              <w:pStyle w:val="Compact"/>
              <w:jc w:val="left"/>
            </w:pPr>
            <w:r>
              <w:t xml:space="preserve">2.42 (</w:t>
            </w:r>
            <w:hyperlink w:anchor="Xa559bd5247f9128e74e6edcc17de37648e8cde6">
              <w:r>
                <w:rPr>
                  <w:rStyle w:val="Hyperlink"/>
                </w:rPr>
                <w:t xml:space="preserve">drugbank.ca</w:t>
              </w:r>
            </w:hyperlink>
            <w:r>
              <w:t xml:space="preserve">)</w:t>
            </w:r>
          </w:p>
        </w:tc>
        <w:tc>
          <w:tcPr/>
          <w:p>
            <w:pPr>
              <w:pStyle w:val="Compact"/>
              <w:jc w:val="left"/>
            </w:pPr>
            <w:r>
              <w:t xml:space="preserve">Partition coefficient between octanol and water</w:t>
            </w:r>
          </w:p>
        </w:tc>
      </w:tr>
      <w:tr>
        <w:tc>
          <w:tcPr/>
          <w:p>
            <w:pPr>
              <w:pStyle w:val="Compact"/>
              <w:jc w:val="left"/>
            </w:pPr>
            <w:r>
              <w:t xml:space="preserve">logD</w:t>
            </w:r>
          </w:p>
        </w:tc>
        <w:tc>
          <w:tcPr/>
          <w:p>
            <w:pPr>
              <w:pStyle w:val="Compact"/>
            </w:pPr>
          </w:p>
        </w:tc>
        <w:tc>
          <w:tcPr/>
          <w:p>
            <w:pPr>
              <w:pStyle w:val="Compact"/>
              <w:jc w:val="left"/>
            </w:pPr>
            <w:r>
              <w:t xml:space="preserve">1.63 (</w:t>
            </w:r>
            <w:hyperlink w:anchor="Xa559bd5247f9128e74e6edcc17de37648e8cde6">
              <w:r>
                <w:rPr>
                  <w:rStyle w:val="Hyperlink"/>
                </w:rPr>
                <w:t xml:space="preserve">Greenblatt 1983a</w:t>
              </w:r>
            </w:hyperlink>
            <w:r>
              <w:t xml:space="preserve">)</w:t>
            </w:r>
          </w:p>
        </w:tc>
        <w:tc>
          <w:tcPr/>
          <w:p>
            <w:pPr>
              <w:pStyle w:val="Compact"/>
              <w:jc w:val="left"/>
            </w:pPr>
            <w:r>
              <w:t xml:space="preserve">Partition coefficient between octanol and water at physiological pH</w:t>
            </w:r>
          </w:p>
        </w:tc>
      </w:tr>
      <w:tr>
        <w:tc>
          <w:tcPr/>
          <w:p>
            <w:pPr>
              <w:pStyle w:val="Compact"/>
              <w:jc w:val="left"/>
            </w:pPr>
            <w:r>
              <w:t xml:space="preserve">f</w:t>
            </w:r>
            <w:r>
              <w:rPr>
                <w:vertAlign w:val="subscript"/>
              </w:rPr>
              <w:t xml:space="preserve">u</w:t>
            </w:r>
          </w:p>
        </w:tc>
        <w:tc>
          <w:tcPr/>
          <w:p>
            <w:pPr>
              <w:pStyle w:val="Compact"/>
            </w:pPr>
          </w:p>
        </w:tc>
        <w:tc>
          <w:tcPr/>
          <w:p>
            <w:pPr>
              <w:pStyle w:val="Compact"/>
              <w:jc w:val="left"/>
            </w:pPr>
            <w:r>
              <w:t xml:space="preserve">0.099 ± 0.015</w:t>
            </w:r>
            <w:r>
              <w:rPr>
                <w:vertAlign w:val="superscript"/>
              </w:rPr>
              <w:t xml:space="preserve">a</w:t>
            </w:r>
            <w:r>
              <w:t xml:space="preserve"> </w:t>
            </w:r>
            <w:r>
              <w:t xml:space="preserve">(</w:t>
            </w:r>
            <w:hyperlink w:anchor="Xa559bd5247f9128e74e6edcc17de37648e8cde6">
              <w:r>
                <w:rPr>
                  <w:rStyle w:val="Hyperlink"/>
                </w:rPr>
                <w:t xml:space="preserve">Jochemsen 1983</w:t>
              </w:r>
            </w:hyperlink>
            <w:r>
              <w:t xml:space="preserve">); 0.11 (</w:t>
            </w:r>
            <w:hyperlink w:anchor="Xa559bd5247f9128e74e6edcc17de37648e8cde6">
              <w:r>
                <w:rPr>
                  <w:rStyle w:val="Hyperlink"/>
                </w:rPr>
                <w:t xml:space="preserve">Eberts 1981</w:t>
              </w:r>
            </w:hyperlink>
            <w:r>
              <w:t xml:space="preserve">); 0.174 ± 0.020</w:t>
            </w:r>
            <w:r>
              <w:rPr>
                <w:vertAlign w:val="superscript"/>
              </w:rPr>
              <w:t xml:space="preserve">a</w:t>
            </w:r>
            <w:r>
              <w:t xml:space="preserve"> </w:t>
            </w:r>
            <w:r>
              <w:t xml:space="preserve">(</w:t>
            </w:r>
            <w:hyperlink w:anchor="Xa559bd5247f9128e74e6edcc17de37648e8cde6">
              <w:r>
                <w:rPr>
                  <w:rStyle w:val="Hyperlink"/>
                </w:rPr>
                <w:t xml:space="preserve">Friedman 1988</w:t>
              </w:r>
            </w:hyperlink>
            <w:r>
              <w:t xml:space="preserve">); 0.188 ± 0.139</w:t>
            </w:r>
            <w:r>
              <w:rPr>
                <w:vertAlign w:val="superscript"/>
              </w:rPr>
              <w:t xml:space="preserve">a</w:t>
            </w:r>
            <w:r>
              <w:t xml:space="preserve"> </w:t>
            </w:r>
            <w:r>
              <w:t xml:space="preserve">(</w:t>
            </w:r>
            <w:hyperlink w:anchor="Xa559bd5247f9128e74e6edcc17de37648e8cde6">
              <w:r>
                <w:rPr>
                  <w:rStyle w:val="Hyperlink"/>
                </w:rPr>
                <w:t xml:space="preserve">Ochs 1987</w:t>
              </w:r>
            </w:hyperlink>
            <w:r>
              <w:t xml:space="preserve">); 0.213 [0.193 - 0.264]</w:t>
            </w:r>
            <w:r>
              <w:rPr>
                <w:vertAlign w:val="superscript"/>
              </w:rPr>
              <w:t xml:space="preserve">b</w:t>
            </w:r>
            <w:r>
              <w:t xml:space="preserve"> </w:t>
            </w:r>
            <w:r>
              <w:t xml:space="preserve">(</w:t>
            </w:r>
            <w:hyperlink w:anchor="Xa559bd5247f9128e74e6edcc17de37648e8cde6">
              <w:r>
                <w:rPr>
                  <w:rStyle w:val="Hyperlink"/>
                </w:rPr>
                <w:t xml:space="preserve">Greenblatt 1983b</w:t>
              </w:r>
            </w:hyperlink>
            <w:r>
              <w:t xml:space="preserve">); 0.229 [0.204 - 0.259]</w:t>
            </w:r>
            <w:r>
              <w:rPr>
                <w:vertAlign w:val="superscript"/>
              </w:rPr>
              <w:t xml:space="preserve">c</w:t>
            </w:r>
            <w:r>
              <w:t xml:space="preserve"> </w:t>
            </w:r>
            <w:r>
              <w:t xml:space="preserve">(</w:t>
            </w:r>
            <w:hyperlink w:anchor="Xa559bd5247f9128e74e6edcc17de37648e8cde6">
              <w:r>
                <w:rPr>
                  <w:rStyle w:val="Hyperlink"/>
                </w:rPr>
                <w:t xml:space="preserve">Greenblatt 1983b</w:t>
              </w:r>
            </w:hyperlink>
            <w:r>
              <w:t xml:space="preserve">)</w:t>
            </w:r>
          </w:p>
        </w:tc>
        <w:tc>
          <w:tcPr/>
          <w:p>
            <w:pPr>
              <w:pStyle w:val="Compact"/>
              <w:jc w:val="left"/>
            </w:pPr>
            <w:r>
              <w:t xml:space="preserve">Fraction unbound in human plasma of healthy adults</w:t>
            </w:r>
          </w:p>
        </w:tc>
      </w:tr>
      <w:tr>
        <w:tc>
          <w:tcPr/>
          <w:p>
            <w:pPr>
              <w:pStyle w:val="Compact"/>
              <w:jc w:val="left"/>
            </w:pPr>
            <w:r>
              <w:t xml:space="preserve">Water solubility</w:t>
            </w:r>
          </w:p>
        </w:tc>
        <w:tc>
          <w:tcPr/>
          <w:p>
            <w:pPr>
              <w:pStyle w:val="Compact"/>
              <w:jc w:val="left"/>
            </w:pPr>
            <w:r>
              <w:t xml:space="preserve">mg/L</w:t>
            </w:r>
          </w:p>
        </w:tc>
        <w:tc>
          <w:tcPr/>
          <w:p>
            <w:pPr>
              <w:pStyle w:val="Compact"/>
              <w:jc w:val="left"/>
            </w:pPr>
            <w:r>
              <w:t xml:space="preserve">4.53 (</w:t>
            </w:r>
            <w:hyperlink w:anchor="Xa559bd5247f9128e74e6edcc17de37648e8cde6">
              <w:r>
                <w:rPr>
                  <w:rStyle w:val="Hyperlink"/>
                </w:rPr>
                <w:t xml:space="preserve">drugbank.ca</w:t>
              </w:r>
            </w:hyperlink>
            <w:r>
              <w:t xml:space="preserve">)</w:t>
            </w:r>
          </w:p>
        </w:tc>
        <w:tc>
          <w:tcPr/>
          <w:p>
            <w:pPr>
              <w:pStyle w:val="Compact"/>
              <w:jc w:val="left"/>
            </w:pPr>
            <w:r>
              <w:t xml:space="preserve">Estimated solubility in water</w:t>
            </w:r>
          </w:p>
        </w:tc>
      </w:tr>
    </w:tbl>
    <w:p>
      <w:pPr>
        <w:pStyle w:val="BodyText"/>
      </w:pPr>
      <w:r>
        <w:rPr>
          <w:vertAlign w:val="superscript"/>
        </w:rPr>
        <w:t xml:space="preserve">a</w:t>
      </w:r>
      <w:r>
        <w:t xml:space="preserve"> </w:t>
      </w:r>
      <w:r>
        <w:t xml:space="preserve">mean ± standard deviation</w:t>
      </w:r>
    </w:p>
    <w:p>
      <w:pPr>
        <w:pStyle w:val="BodyText"/>
      </w:pPr>
      <w:r>
        <w:rPr>
          <w:vertAlign w:val="superscript"/>
        </w:rPr>
        <w:t xml:space="preserve">b</w:t>
      </w:r>
      <w:r>
        <w:t xml:space="preserve"> </w:t>
      </w:r>
      <w:r>
        <w:t xml:space="preserve">mean [range] in young males</w:t>
      </w:r>
    </w:p>
    <w:p>
      <w:pPr>
        <w:pStyle w:val="BodyText"/>
      </w:pPr>
      <w:r>
        <w:rPr>
          <w:vertAlign w:val="superscript"/>
        </w:rPr>
        <w:t xml:space="preserve">c</w:t>
      </w:r>
      <w:r>
        <w:t xml:space="preserve"> </w:t>
      </w:r>
      <w:r>
        <w:t xml:space="preserve">mean [range] in young females</w:t>
      </w:r>
    </w:p>
    <w:bookmarkEnd w:id="22"/>
    <w:bookmarkStart w:id="23" w:name="clinical-data"/>
    <w:p>
      <w:pPr>
        <w:pStyle w:val="Heading3"/>
      </w:pPr>
      <w:r>
        <w:t xml:space="preserve">2.2.2 Clinical data</w:t>
      </w:r>
    </w:p>
    <w:p>
      <w:pPr>
        <w:pStyle w:val="FirstParagraph"/>
      </w:pPr>
      <w:r>
        <w:t xml:space="preserve">A literature search was carried out to collect triazolam PK data in healthy adults.</w:t>
      </w:r>
    </w:p>
    <w:p>
      <w:pPr>
        <w:pStyle w:val="BodyText"/>
      </w:pPr>
      <w:r>
        <w:t xml:space="preserve">The following publications were found and used for model building and evaluation:</w:t>
      </w:r>
    </w:p>
    <w:tbl>
      <w:tblPr>
        <w:tblStyle w:val="Table"/>
        <w:tblW w:type="pct" w:w="5000"/>
        <w:tblLook w:firstRow="1" w:lastRow="0" w:firstColumn="0" w:lastColumn="0" w:noHBand="0" w:noVBand="0" w:val="0020"/>
        <w:jc w:val="start"/>
      </w:tblPr>
      <w:tblGrid>
        <w:gridCol w:w="3071"/>
        <w:gridCol w:w="4848"/>
      </w:tblGrid>
      <w:tr>
        <w:trPr>
          <w:tblHeader w:val="true"/>
        </w:trPr>
        <w:tc>
          <w:tcPr/>
          <w:p>
            <w:pPr>
              <w:pStyle w:val="Compact"/>
              <w:jc w:val="left"/>
            </w:pPr>
            <w:r>
              <w:t xml:space="preserve">Publication</w:t>
            </w:r>
          </w:p>
        </w:tc>
        <w:tc>
          <w:tcPr/>
          <w:p>
            <w:pPr>
              <w:pStyle w:val="Compact"/>
              <w:jc w:val="left"/>
            </w:pPr>
            <w:r>
              <w:t xml:space="preserve">Study description</w:t>
            </w:r>
          </w:p>
        </w:tc>
      </w:tr>
      <w:tr>
        <w:tc>
          <w:tcPr/>
          <w:p>
            <w:pPr>
              <w:pStyle w:val="Compact"/>
              <w:jc w:val="left"/>
            </w:pPr>
            <w:hyperlink w:anchor="Xa559bd5247f9128e74e6edcc17de37648e8cde6">
              <w:r>
                <w:rPr>
                  <w:rStyle w:val="Hyperlink"/>
                </w:rPr>
                <w:t xml:space="preserve">Friedman 1986</w:t>
              </w:r>
            </w:hyperlink>
          </w:p>
        </w:tc>
        <w:tc>
          <w:tcPr/>
          <w:p>
            <w:pPr>
              <w:pStyle w:val="Compact"/>
              <w:jc w:val="left"/>
            </w:pPr>
            <w:r>
              <w:t xml:space="preserve">PO single dose administration of 0.5 mg</w:t>
            </w:r>
          </w:p>
        </w:tc>
      </w:tr>
      <w:tr>
        <w:tc>
          <w:tcPr/>
          <w:p>
            <w:pPr>
              <w:pStyle w:val="Compact"/>
              <w:jc w:val="left"/>
            </w:pPr>
            <w:hyperlink w:anchor="Xa559bd5247f9128e74e6edcc17de37648e8cde6">
              <w:r>
                <w:rPr>
                  <w:rStyle w:val="Hyperlink"/>
                </w:rPr>
                <w:t xml:space="preserve">Friedman 1988</w:t>
              </w:r>
            </w:hyperlink>
          </w:p>
        </w:tc>
        <w:tc>
          <w:tcPr/>
          <w:p>
            <w:pPr>
              <w:pStyle w:val="Compact"/>
              <w:jc w:val="left"/>
            </w:pPr>
            <w:r>
              <w:t xml:space="preserve">PO single dose administration of 0.5 mg</w:t>
            </w:r>
          </w:p>
        </w:tc>
      </w:tr>
      <w:tr>
        <w:tc>
          <w:tcPr/>
          <w:p>
            <w:pPr>
              <w:pStyle w:val="Compact"/>
              <w:jc w:val="left"/>
            </w:pPr>
            <w:hyperlink w:anchor="Xa559bd5247f9128e74e6edcc17de37648e8cde6">
              <w:r>
                <w:rPr>
                  <w:rStyle w:val="Hyperlink"/>
                </w:rPr>
                <w:t xml:space="preserve">Greenblatt 1989</w:t>
              </w:r>
            </w:hyperlink>
          </w:p>
        </w:tc>
        <w:tc>
          <w:tcPr/>
          <w:p>
            <w:pPr>
              <w:pStyle w:val="Compact"/>
              <w:jc w:val="left"/>
            </w:pPr>
            <w:r>
              <w:t xml:space="preserve">PO single dose administration of 0.25 mg</w:t>
            </w:r>
          </w:p>
        </w:tc>
      </w:tr>
      <w:tr>
        <w:tc>
          <w:tcPr/>
          <w:p>
            <w:pPr>
              <w:pStyle w:val="Compact"/>
              <w:jc w:val="left"/>
            </w:pPr>
            <w:hyperlink w:anchor="Xa559bd5247f9128e74e6edcc17de37648e8cde6">
              <w:r>
                <w:rPr>
                  <w:rStyle w:val="Hyperlink"/>
                </w:rPr>
                <w:t xml:space="preserve">Greenblatt 1991</w:t>
              </w:r>
            </w:hyperlink>
          </w:p>
        </w:tc>
        <w:tc>
          <w:tcPr/>
          <w:p>
            <w:pPr>
              <w:pStyle w:val="Compact"/>
              <w:jc w:val="left"/>
            </w:pPr>
            <w:r>
              <w:t xml:space="preserve">PO single dose administration of 0.125 mg</w:t>
            </w:r>
          </w:p>
        </w:tc>
      </w:tr>
      <w:tr>
        <w:tc>
          <w:tcPr/>
          <w:p>
            <w:pPr>
              <w:pStyle w:val="Compact"/>
              <w:jc w:val="left"/>
            </w:pPr>
            <w:hyperlink w:anchor="Xa559bd5247f9128e74e6edcc17de37648e8cde6">
              <w:r>
                <w:rPr>
                  <w:rStyle w:val="Hyperlink"/>
                </w:rPr>
                <w:t xml:space="preserve">Greenblatt 2000</w:t>
              </w:r>
            </w:hyperlink>
          </w:p>
        </w:tc>
        <w:tc>
          <w:tcPr/>
          <w:p>
            <w:pPr>
              <w:pStyle w:val="Compact"/>
              <w:jc w:val="left"/>
            </w:pPr>
            <w:r>
              <w:t xml:space="preserve">PO single dose administration of 0.25 mg</w:t>
            </w:r>
          </w:p>
        </w:tc>
      </w:tr>
      <w:tr>
        <w:tc>
          <w:tcPr/>
          <w:p>
            <w:pPr>
              <w:pStyle w:val="Compact"/>
              <w:jc w:val="left"/>
            </w:pPr>
            <w:hyperlink w:anchor="Xa559bd5247f9128e74e6edcc17de37648e8cde6">
              <w:r>
                <w:rPr>
                  <w:rStyle w:val="Hyperlink"/>
                </w:rPr>
                <w:t xml:space="preserve">Greenblatt 2004</w:t>
              </w:r>
            </w:hyperlink>
          </w:p>
        </w:tc>
        <w:tc>
          <w:tcPr/>
          <w:p>
            <w:pPr>
              <w:pStyle w:val="Compact"/>
              <w:jc w:val="left"/>
            </w:pPr>
            <w:r>
              <w:t xml:space="preserve">PO single dose administration of 0.25 mg</w:t>
            </w:r>
          </w:p>
        </w:tc>
      </w:tr>
      <w:tr>
        <w:tc>
          <w:tcPr/>
          <w:p>
            <w:pPr>
              <w:pStyle w:val="Compact"/>
              <w:jc w:val="left"/>
            </w:pPr>
            <w:hyperlink w:anchor="Xa559bd5247f9128e74e6edcc17de37648e8cde6">
              <w:r>
                <w:rPr>
                  <w:rStyle w:val="Hyperlink"/>
                </w:rPr>
                <w:t xml:space="preserve">Hukkinen 1995</w:t>
              </w:r>
            </w:hyperlink>
          </w:p>
        </w:tc>
        <w:tc>
          <w:tcPr/>
          <w:p>
            <w:pPr>
              <w:pStyle w:val="Compact"/>
              <w:jc w:val="left"/>
            </w:pPr>
            <w:r>
              <w:t xml:space="preserve">PO single dose administration of 0.25 mg</w:t>
            </w:r>
          </w:p>
        </w:tc>
      </w:tr>
      <w:tr>
        <w:tc>
          <w:tcPr/>
          <w:p>
            <w:pPr>
              <w:pStyle w:val="Compact"/>
              <w:jc w:val="left"/>
            </w:pPr>
            <w:hyperlink w:anchor="Xa559bd5247f9128e74e6edcc17de37648e8cde6">
              <w:r>
                <w:rPr>
                  <w:rStyle w:val="Hyperlink"/>
                </w:rPr>
                <w:t xml:space="preserve">Lilja 2000</w:t>
              </w:r>
            </w:hyperlink>
          </w:p>
        </w:tc>
        <w:tc>
          <w:tcPr/>
          <w:p>
            <w:pPr>
              <w:pStyle w:val="Compact"/>
              <w:jc w:val="left"/>
            </w:pPr>
            <w:r>
              <w:t xml:space="preserve">PO single dose administration of 0.25 mg</w:t>
            </w:r>
          </w:p>
        </w:tc>
      </w:tr>
      <w:tr>
        <w:tc>
          <w:tcPr/>
          <w:p>
            <w:pPr>
              <w:pStyle w:val="Compact"/>
              <w:jc w:val="left"/>
            </w:pPr>
            <w:hyperlink w:anchor="Xa559bd5247f9128e74e6edcc17de37648e8cde6">
              <w:r>
                <w:rPr>
                  <w:rStyle w:val="Hyperlink"/>
                </w:rPr>
                <w:t xml:space="preserve">Kroboth 1985</w:t>
              </w:r>
            </w:hyperlink>
          </w:p>
        </w:tc>
        <w:tc>
          <w:tcPr/>
          <w:p>
            <w:pPr>
              <w:pStyle w:val="Compact"/>
              <w:jc w:val="left"/>
            </w:pPr>
            <w:r>
              <w:t xml:space="preserve">IV single dose administration of 0.25 mg and PO single dose administration of 0.25 mg</w:t>
            </w:r>
          </w:p>
        </w:tc>
      </w:tr>
      <w:tr>
        <w:tc>
          <w:tcPr/>
          <w:p>
            <w:pPr>
              <w:pStyle w:val="Compact"/>
              <w:jc w:val="left"/>
            </w:pPr>
            <w:hyperlink w:anchor="Xa559bd5247f9128e74e6edcc17de37648e8cde6">
              <w:r>
                <w:rPr>
                  <w:rStyle w:val="Hyperlink"/>
                </w:rPr>
                <w:t xml:space="preserve">O’Connor-Semmes 2001</w:t>
              </w:r>
            </w:hyperlink>
          </w:p>
        </w:tc>
        <w:tc>
          <w:tcPr/>
          <w:p>
            <w:pPr>
              <w:pStyle w:val="Compact"/>
              <w:jc w:val="left"/>
            </w:pPr>
            <w:r>
              <w:t xml:space="preserve">PO single dose administration of 0.25 mg</w:t>
            </w:r>
          </w:p>
        </w:tc>
      </w:tr>
      <w:tr>
        <w:tc>
          <w:tcPr/>
          <w:p>
            <w:pPr>
              <w:pStyle w:val="Compact"/>
              <w:jc w:val="left"/>
            </w:pPr>
            <w:hyperlink w:anchor="Xa559bd5247f9128e74e6edcc17de37648e8cde6">
              <w:r>
                <w:rPr>
                  <w:rStyle w:val="Hyperlink"/>
                </w:rPr>
                <w:t xml:space="preserve">Ochs 1984</w:t>
              </w:r>
            </w:hyperlink>
          </w:p>
        </w:tc>
        <w:tc>
          <w:tcPr/>
          <w:p>
            <w:pPr>
              <w:pStyle w:val="Compact"/>
              <w:jc w:val="left"/>
            </w:pPr>
            <w:r>
              <w:t xml:space="preserve">PO single dose administration of 0.5 mg</w:t>
            </w:r>
          </w:p>
        </w:tc>
      </w:tr>
      <w:tr>
        <w:tc>
          <w:tcPr/>
          <w:p>
            <w:pPr>
              <w:pStyle w:val="Compact"/>
              <w:jc w:val="left"/>
            </w:pPr>
            <w:hyperlink w:anchor="Xa559bd5247f9128e74e6edcc17de37648e8cde6">
              <w:r>
                <w:rPr>
                  <w:rStyle w:val="Hyperlink"/>
                </w:rPr>
                <w:t xml:space="preserve">Phillips 1986</w:t>
              </w:r>
            </w:hyperlink>
          </w:p>
        </w:tc>
        <w:tc>
          <w:tcPr/>
          <w:p>
            <w:pPr>
              <w:pStyle w:val="Compact"/>
              <w:jc w:val="left"/>
            </w:pPr>
            <w:r>
              <w:t xml:space="preserve">PO single dose administration of 0.5 mg</w:t>
            </w:r>
          </w:p>
        </w:tc>
      </w:tr>
      <w:tr>
        <w:tc>
          <w:tcPr/>
          <w:p>
            <w:pPr>
              <w:pStyle w:val="Compact"/>
              <w:jc w:val="left"/>
            </w:pPr>
            <w:hyperlink w:anchor="Xa559bd5247f9128e74e6edcc17de37648e8cde6">
              <w:r>
                <w:rPr>
                  <w:rStyle w:val="Hyperlink"/>
                </w:rPr>
                <w:t xml:space="preserve">Smith 1987</w:t>
              </w:r>
            </w:hyperlink>
          </w:p>
        </w:tc>
        <w:tc>
          <w:tcPr/>
          <w:p>
            <w:pPr>
              <w:pStyle w:val="Compact"/>
              <w:jc w:val="left"/>
            </w:pPr>
            <w:r>
              <w:t xml:space="preserve">IV single dose administration of 0.125 mg, 0.25 mg, 0.5 mg, 0.75 mg, and 1 mg</w:t>
            </w:r>
          </w:p>
        </w:tc>
      </w:tr>
      <w:tr>
        <w:tc>
          <w:tcPr/>
          <w:p>
            <w:pPr>
              <w:pStyle w:val="Compact"/>
              <w:jc w:val="left"/>
            </w:pPr>
            <w:hyperlink w:anchor="Xa559bd5247f9128e74e6edcc17de37648e8cde6">
              <w:r>
                <w:rPr>
                  <w:rStyle w:val="Hyperlink"/>
                </w:rPr>
                <w:t xml:space="preserve">Varhe 1994</w:t>
              </w:r>
            </w:hyperlink>
          </w:p>
        </w:tc>
        <w:tc>
          <w:tcPr/>
          <w:p>
            <w:pPr>
              <w:pStyle w:val="Compact"/>
              <w:jc w:val="left"/>
            </w:pPr>
            <w:r>
              <w:t xml:space="preserve">PO single dose administration of 0.25 mg</w:t>
            </w:r>
          </w:p>
        </w:tc>
      </w:tr>
      <w:tr>
        <w:tc>
          <w:tcPr/>
          <w:p>
            <w:pPr>
              <w:pStyle w:val="Compact"/>
              <w:jc w:val="left"/>
            </w:pPr>
            <w:hyperlink w:anchor="Xa559bd5247f9128e74e6edcc17de37648e8cde6">
              <w:r>
                <w:rPr>
                  <w:rStyle w:val="Hyperlink"/>
                </w:rPr>
                <w:t xml:space="preserve">Varhe 1996a</w:t>
              </w:r>
            </w:hyperlink>
          </w:p>
        </w:tc>
        <w:tc>
          <w:tcPr/>
          <w:p>
            <w:pPr>
              <w:pStyle w:val="Compact"/>
              <w:jc w:val="left"/>
            </w:pPr>
            <w:r>
              <w:t xml:space="preserve">PO single dose administration of 0.25 mg</w:t>
            </w:r>
          </w:p>
        </w:tc>
      </w:tr>
      <w:tr>
        <w:tc>
          <w:tcPr/>
          <w:p>
            <w:pPr>
              <w:pStyle w:val="Compact"/>
              <w:jc w:val="left"/>
            </w:pPr>
            <w:hyperlink w:anchor="Xa559bd5247f9128e74e6edcc17de37648e8cde6">
              <w:r>
                <w:rPr>
                  <w:rStyle w:val="Hyperlink"/>
                </w:rPr>
                <w:t xml:space="preserve">Varhe 1996b</w:t>
              </w:r>
            </w:hyperlink>
          </w:p>
        </w:tc>
        <w:tc>
          <w:tcPr/>
          <w:p>
            <w:pPr>
              <w:pStyle w:val="Compact"/>
              <w:jc w:val="left"/>
            </w:pPr>
            <w:r>
              <w:t xml:space="preserve">PO single dose administration of 0.25 mg</w:t>
            </w:r>
          </w:p>
        </w:tc>
      </w:tr>
      <w:tr>
        <w:tc>
          <w:tcPr/>
          <w:p>
            <w:pPr>
              <w:pStyle w:val="Compact"/>
              <w:jc w:val="left"/>
            </w:pPr>
            <w:hyperlink w:anchor="Xa559bd5247f9128e74e6edcc17de37648e8cde6">
              <w:r>
                <w:rPr>
                  <w:rStyle w:val="Hyperlink"/>
                </w:rPr>
                <w:t xml:space="preserve">Varhe 1996c</w:t>
              </w:r>
            </w:hyperlink>
          </w:p>
        </w:tc>
        <w:tc>
          <w:tcPr/>
          <w:p>
            <w:pPr>
              <w:pStyle w:val="Compact"/>
              <w:jc w:val="left"/>
            </w:pPr>
            <w:r>
              <w:t xml:space="preserve">PO single dose administration of 0.25 mg</w:t>
            </w:r>
          </w:p>
        </w:tc>
      </w:tr>
      <w:tr>
        <w:tc>
          <w:tcPr/>
          <w:p>
            <w:pPr>
              <w:pStyle w:val="Compact"/>
              <w:jc w:val="left"/>
            </w:pPr>
            <w:hyperlink w:anchor="Xa559bd5247f9128e74e6edcc17de37648e8cde6">
              <w:r>
                <w:rPr>
                  <w:rStyle w:val="Hyperlink"/>
                </w:rPr>
                <w:t xml:space="preserve">Villikka 1997</w:t>
              </w:r>
            </w:hyperlink>
          </w:p>
        </w:tc>
        <w:tc>
          <w:tcPr/>
          <w:p>
            <w:pPr>
              <w:pStyle w:val="Compact"/>
              <w:jc w:val="left"/>
            </w:pPr>
            <w:r>
              <w:t xml:space="preserve">PO single dose administration of 0.5 mg</w:t>
            </w:r>
          </w:p>
        </w:tc>
      </w:tr>
      <w:tr>
        <w:tc>
          <w:tcPr/>
          <w:p>
            <w:pPr>
              <w:pStyle w:val="Compact"/>
              <w:jc w:val="left"/>
            </w:pPr>
            <w:hyperlink w:anchor="Xa559bd5247f9128e74e6edcc17de37648e8cde6">
              <w:r>
                <w:rPr>
                  <w:rStyle w:val="Hyperlink"/>
                </w:rPr>
                <w:t xml:space="preserve">Villikka 1998</w:t>
              </w:r>
            </w:hyperlink>
          </w:p>
        </w:tc>
        <w:tc>
          <w:tcPr/>
          <w:p>
            <w:pPr>
              <w:pStyle w:val="Compact"/>
              <w:jc w:val="left"/>
            </w:pPr>
            <w:r>
              <w:t xml:space="preserve">PO single dose administration of 0.5 mg</w:t>
            </w:r>
          </w:p>
        </w:tc>
      </w:tr>
      <w:tr>
        <w:tc>
          <w:tcPr/>
          <w:p>
            <w:pPr>
              <w:pStyle w:val="Compact"/>
              <w:jc w:val="left"/>
            </w:pPr>
            <w:hyperlink w:anchor="Xa559bd5247f9128e74e6edcc17de37648e8cde6">
              <w:r>
                <w:rPr>
                  <w:rStyle w:val="Hyperlink"/>
                </w:rPr>
                <w:t xml:space="preserve">von Moltke 1996</w:t>
              </w:r>
            </w:hyperlink>
          </w:p>
        </w:tc>
        <w:tc>
          <w:tcPr/>
          <w:p>
            <w:pPr>
              <w:pStyle w:val="Compact"/>
              <w:jc w:val="left"/>
            </w:pPr>
            <w:r>
              <w:t xml:space="preserve">PO single dose administration of 0.125 mg</w:t>
            </w:r>
          </w:p>
        </w:tc>
      </w:tr>
    </w:tbl>
    <w:bookmarkEnd w:id="23"/>
    <w:bookmarkEnd w:id="24"/>
    <w:bookmarkStart w:id="27" w:name="model-parameters-and-assumptions"/>
    <w:p>
      <w:pPr>
        <w:pStyle w:val="Heading2"/>
      </w:pPr>
      <w:r>
        <w:t xml:space="preserve">Model Parameters and Assumptions</w:t>
      </w:r>
      <w:bookmarkStart w:id="model-parameters-and-assumptions" w:name="model-parameters-and-assumptions"/>
      <w:bookmarkEnd w:id="model-parameters-and-assumptions"/>
    </w:p>
    <w:bookmarkStart w:id="25" w:name="dissolution-and-absorption"/>
    <w:p>
      <w:pPr>
        <w:pStyle w:val="Heading3"/>
      </w:pPr>
      <w:r>
        <w:t xml:space="preserve">2.3.1 Dissolution and absorption</w:t>
      </w:r>
    </w:p>
    <w:p>
      <w:pPr>
        <w:pStyle w:val="FirstParagraph"/>
      </w:pPr>
      <w:r>
        <w:t xml:space="preserve">Dissolution of the immediate release tablet of triazolam was described by a Weibull function with the two parameters</w:t>
      </w:r>
      <w:r>
        <w:t xml:space="preserve"> </w:t>
      </w:r>
      <w:r>
        <w:rPr>
          <w:rStyle w:val="VerbatimChar"/>
        </w:rPr>
        <w:t xml:space="preserve">Dissolution shape</w:t>
      </w:r>
      <w:r>
        <w:t xml:space="preserve"> </w:t>
      </w:r>
      <w:r>
        <w:t xml:space="preserve">and</w:t>
      </w:r>
      <w:r>
        <w:t xml:space="preserve"> </w:t>
      </w:r>
      <w:r>
        <w:rPr>
          <w:rStyle w:val="VerbatimChar"/>
        </w:rPr>
        <w:t xml:space="preserve">Dissolution time (50% dissolved)</w:t>
      </w:r>
      <w:r>
        <w:t xml:space="preserve"> </w:t>
      </w:r>
      <w:r>
        <w:t xml:space="preserve">being fitted, together with the other parameters listed in</w:t>
      </w:r>
      <w:r>
        <w:t xml:space="preserve"> </w:t>
      </w:r>
      <w:hyperlink w:anchor="X7a72706e82db897ead991c3be8b2df83fcab07a">
        <w:r>
          <w:rPr>
            <w:rStyle w:val="Hyperlink"/>
          </w:rPr>
          <w:t xml:space="preserve">Section 2.1</w:t>
        </w:r>
      </w:hyperlink>
      <w:r>
        <w:t xml:space="preserve">, to observed PK data to better match the observations.</w:t>
      </w:r>
      <w:r>
        <w:t xml:space="preserve"> </w:t>
      </w:r>
      <w:r>
        <w:rPr>
          <w:rStyle w:val="VerbatimChar"/>
        </w:rPr>
        <w:t xml:space="preserve">Specific intestinal permeability (transcellular)</w:t>
      </w:r>
      <w:r>
        <w:t xml:space="preserve"> </w:t>
      </w:r>
      <w:r>
        <w:t xml:space="preserve">was also optimized together with the parameters listed in</w:t>
      </w:r>
      <w:r>
        <w:t xml:space="preserve"> </w:t>
      </w:r>
      <w:hyperlink w:anchor="X7a72706e82db897ead991c3be8b2df83fcab07a">
        <w:r>
          <w:rPr>
            <w:rStyle w:val="Hyperlink"/>
          </w:rPr>
          <w:t xml:space="preserve">Section 2.1</w:t>
        </w:r>
      </w:hyperlink>
      <w:r>
        <w:t xml:space="preserve">.</w:t>
      </w:r>
      <w:r>
        <w:t xml:space="preserve"> </w:t>
      </w:r>
      <w:r>
        <w:t xml:space="preserve">### 2.3.2 Distribution</w:t>
      </w:r>
    </w:p>
    <w:p>
      <w:pPr>
        <w:pStyle w:val="BodyText"/>
      </w:pPr>
      <w:r>
        <w:t xml:space="preserve">In the model, the</w:t>
      </w:r>
      <w:r>
        <w:t xml:space="preserve"> </w:t>
      </w:r>
      <w:r>
        <w:rPr>
          <w:rStyle w:val="VerbatimChar"/>
        </w:rPr>
        <w:t xml:space="preserve">fraction unbound (plasma, reference value)</w:t>
      </w:r>
      <w:r>
        <w:t xml:space="preserve"> </w:t>
      </w:r>
      <w:r>
        <w:t xml:space="preserve">was set to 0.174 which is the reported mean value measured in 19 healthy male and female volunteers aged 20 to 45 years (</w:t>
      </w:r>
      <w:hyperlink w:anchor="Xa559bd5247f9128e74e6edcc17de37648e8cde6">
        <w:r>
          <w:rPr>
            <w:rStyle w:val="Hyperlink"/>
          </w:rPr>
          <w:t xml:space="preserve">Friedman 1988</w:t>
        </w:r>
      </w:hyperlink>
      <w:r>
        <w:t xml:space="preserve">). This value is also the approximate average of all pooled values reported in several studies (</w:t>
      </w:r>
      <w:hyperlink w:anchor="Xa559bd5247f9128e74e6edcc17de37648e8cde6">
        <w:r>
          <w:rPr>
            <w:rStyle w:val="Hyperlink"/>
          </w:rPr>
          <w:t xml:space="preserve">Jochemsen 1983</w:t>
        </w:r>
      </w:hyperlink>
      <w:r>
        <w:t xml:space="preserve">,</w:t>
      </w:r>
      <w:r>
        <w:t xml:space="preserve"> </w:t>
      </w:r>
      <w:hyperlink w:anchor="Xa559bd5247f9128e74e6edcc17de37648e8cde6">
        <w:r>
          <w:rPr>
            <w:rStyle w:val="Hyperlink"/>
          </w:rPr>
          <w:t xml:space="preserve">Eberts 1981</w:t>
        </w:r>
      </w:hyperlink>
      <w:r>
        <w:t xml:space="preserve">,</w:t>
      </w:r>
      <w:r>
        <w:t xml:space="preserve"> </w:t>
      </w:r>
      <w:hyperlink w:anchor="Xa559bd5247f9128e74e6edcc17de37648e8cde6">
        <w:r>
          <w:rPr>
            <w:rStyle w:val="Hyperlink"/>
          </w:rPr>
          <w:t xml:space="preserve">Greenblatt 1983</w:t>
        </w:r>
      </w:hyperlink>
      <w:r>
        <w:t xml:space="preserve">,</w:t>
      </w:r>
      <w:r>
        <w:t xml:space="preserve"> </w:t>
      </w:r>
      <w:hyperlink w:anchor="Xa559bd5247f9128e74e6edcc17de37648e8cde6">
        <w:r>
          <w:rPr>
            <w:rStyle w:val="Hyperlink"/>
          </w:rPr>
          <w:t xml:space="preserve">Friedman 1988</w:t>
        </w:r>
      </w:hyperlink>
      <w:r>
        <w:t xml:space="preserve">,</w:t>
      </w:r>
      <w:r>
        <w:t xml:space="preserve"> </w:t>
      </w:r>
      <w:hyperlink w:anchor="Xa559bd5247f9128e74e6edcc17de37648e8cde6">
        <w:r>
          <w:rPr>
            <w:rStyle w:val="Hyperlink"/>
          </w:rPr>
          <w:t xml:space="preserve">Ochs 1987</w:t>
        </w:r>
      </w:hyperlink>
      <w:r>
        <w:t xml:space="preserve">).</w:t>
      </w:r>
      <w:r>
        <w:t xml:space="preserve"> </w:t>
      </w:r>
      <w:r>
        <w:rPr>
          <w:rStyle w:val="VerbatimChar"/>
        </w:rPr>
        <w:t xml:space="preserve">Lipophilicity</w:t>
      </w:r>
      <w:r>
        <w:t xml:space="preserve"> </w:t>
      </w:r>
      <w:r>
        <w:t xml:space="preserve">was optimized together with the other parameters listed in</w:t>
      </w:r>
      <w:r>
        <w:t xml:space="preserve"> </w:t>
      </w:r>
      <w:hyperlink w:anchor="X7a72706e82db897ead991c3be8b2df83fcab07a">
        <w:r>
          <w:rPr>
            <w:rStyle w:val="Hyperlink"/>
          </w:rPr>
          <w:t xml:space="preserve">Section 2.1</w:t>
        </w:r>
      </w:hyperlink>
      <w:r>
        <w:t xml:space="preserve"> </w:t>
      </w:r>
      <w:r>
        <w:t xml:space="preserve">to better match observed PK data. The observed PK data were found to be best described using the model for estimating intracellular-to-plasma partition coefficients according to the method by</w:t>
      </w:r>
      <w:r>
        <w:t xml:space="preserve"> </w:t>
      </w:r>
      <w:r>
        <w:rPr>
          <w:rStyle w:val="VerbatimChar"/>
        </w:rPr>
        <w:t xml:space="preserve">Rodgers and Rowland</w:t>
      </w:r>
      <w:r>
        <w:t xml:space="preserve"> </w:t>
      </w:r>
      <w:r>
        <w:t xml:space="preserve">(</w:t>
      </w:r>
      <w:hyperlink w:anchor="Xa559bd5247f9128e74e6edcc17de37648e8cde6">
        <w:r>
          <w:rPr>
            <w:rStyle w:val="Hyperlink"/>
          </w:rPr>
          <w:t xml:space="preserve">Rodgers 2005</w:t>
        </w:r>
      </w:hyperlink>
      <w:r>
        <w:t xml:space="preserve">,</w:t>
      </w:r>
      <w:r>
        <w:t xml:space="preserve"> </w:t>
      </w:r>
      <w:hyperlink w:anchor="Xa559bd5247f9128e74e6edcc17de37648e8cde6">
        <w:r>
          <w:rPr>
            <w:rStyle w:val="Hyperlink"/>
          </w:rPr>
          <w:t xml:space="preserve">Rodgers 2006</w:t>
        </w:r>
      </w:hyperlink>
      <w:r>
        <w:t xml:space="preserve">). Cellular permeabilities were automatically calculated using the method</w:t>
      </w:r>
      <w:r>
        <w:t xml:space="preserve"> </w:t>
      </w:r>
      <w:r>
        <w:rPr>
          <w:rStyle w:val="VerbatimChar"/>
        </w:rPr>
        <w:t xml:space="preserve">PK-Sim Standard</w:t>
      </w:r>
      <w:r>
        <w:t xml:space="preserve"> </w:t>
      </w:r>
      <w:r>
        <w:t xml:space="preserve">(</w:t>
      </w:r>
      <w:hyperlink w:anchor="Xa559bd5247f9128e74e6edcc17de37648e8cde6">
        <w:r>
          <w:rPr>
            <w:rStyle w:val="Hyperlink"/>
          </w:rPr>
          <w:t xml:space="preserve">Open Systems Pharmacology Documentation</w:t>
        </w:r>
      </w:hyperlink>
      <w:r>
        <w:t xml:space="preserve">).</w:t>
      </w:r>
    </w:p>
    <w:bookmarkEnd w:id="25"/>
    <w:bookmarkStart w:id="26" w:name="elimination"/>
    <w:p>
      <w:pPr>
        <w:pStyle w:val="Heading3"/>
      </w:pPr>
      <w:r>
        <w:t xml:space="preserve">2.3.3 Elimination</w:t>
      </w:r>
    </w:p>
    <w:p>
      <w:pPr>
        <w:pStyle w:val="FirstParagraph"/>
      </w:pPr>
      <w:r>
        <w:t xml:space="preserve">Triazolam is extensively metabolized via CYP3A to the two metabolites α-hydroxy-triazolam and 4-hydroxy-triazolam. In the model, these two biotransformation pathways were separately described via Michaelis-Menten kinetics. The</w:t>
      </w:r>
      <w:r>
        <w:t xml:space="preserve"> </w:t>
      </w:r>
      <w:r>
        <w:rPr>
          <w:rStyle w:val="VerbatimChar"/>
        </w:rPr>
        <w:t xml:space="preserve">Km</w:t>
      </w:r>
      <w:r>
        <w:t xml:space="preserve"> </w:t>
      </w:r>
      <w:r>
        <w:t xml:space="preserve">values for each pathway were fixed to reported literature values, namely 74.2 µmol/L for the α-OH pathway and 305 µmol/L for the 4-OH pathway (</w:t>
      </w:r>
      <w:hyperlink w:anchor="Xa559bd5247f9128e74e6edcc17de37648e8cde6">
        <w:r>
          <w:rPr>
            <w:rStyle w:val="Hyperlink"/>
          </w:rPr>
          <w:t xml:space="preserve">von Moltke 1996</w:t>
        </w:r>
      </w:hyperlink>
      <w:r>
        <w:t xml:space="preserve">). Together with the other parameters listed in</w:t>
      </w:r>
      <w:r>
        <w:t xml:space="preserve"> </w:t>
      </w:r>
      <w:hyperlink w:anchor="X7a72706e82db897ead991c3be8b2df83fcab07a">
        <w:r>
          <w:rPr>
            <w:rStyle w:val="Hyperlink"/>
          </w:rPr>
          <w:t xml:space="preserve">Section 2.1</w:t>
        </w:r>
      </w:hyperlink>
      <w:r>
        <w:t xml:space="preserve">, the</w:t>
      </w:r>
      <w:r>
        <w:t xml:space="preserve"> </w:t>
      </w:r>
      <w:r>
        <w:rPr>
          <w:rStyle w:val="VerbatimChar"/>
        </w:rPr>
        <w:t xml:space="preserve">kcat</w:t>
      </w:r>
      <w:r>
        <w:t xml:space="preserve"> </w:t>
      </w:r>
      <w:r>
        <w:t xml:space="preserve">values were optimized while keeping the ratio between both values constant (by selecting the option</w:t>
      </w:r>
      <w:r>
        <w:t xml:space="preserve"> </w:t>
      </w:r>
      <w:r>
        <w:rPr>
          <w:rStyle w:val="VerbatimChar"/>
        </w:rPr>
        <w:t xml:space="preserve">Use as Factor</w:t>
      </w:r>
      <w:r>
        <w:t xml:space="preserve">). The gene expression profile of CYP3A4 was loaded from the internal PK-Sim</w:t>
      </w:r>
      <w:r>
        <w:rPr>
          <w:vertAlign w:val="superscript"/>
        </w:rPr>
        <w:t xml:space="preserve">®</w:t>
      </w:r>
      <w:r>
        <w:t xml:space="preserve"> </w:t>
      </w:r>
      <w:r>
        <w:t xml:space="preserve">database using the expression data quantified by RT-PCR (</w:t>
      </w:r>
      <w:hyperlink w:anchor="Xa559bd5247f9128e74e6edcc17de37648e8cde6">
        <w:r>
          <w:rPr>
            <w:rStyle w:val="Hyperlink"/>
          </w:rPr>
          <w:t xml:space="preserve">Open Systems Pharmacology Documentation</w:t>
        </w:r>
      </w:hyperlink>
      <w:r>
        <w:t xml:space="preserve">).</w:t>
      </w:r>
    </w:p>
    <w:bookmarkEnd w:id="26"/>
    <w:bookmarkEnd w:id="27"/>
    <w:bookmarkEnd w:id="28"/>
    <w:bookmarkStart w:id="84" w:name="results-and-discussion"/>
    <w:p>
      <w:pPr>
        <w:pStyle w:val="Heading1"/>
      </w:pPr>
      <w:r>
        <w:t xml:space="preserve">Results and Discussion</w:t>
      </w:r>
      <w:bookmarkStart w:id="results-and-discussion" w:name="results-and-discussion"/>
      <w:bookmarkEnd w:id="results-and-discussion"/>
    </w:p>
    <w:p>
      <w:pPr>
        <w:pStyle w:val="FirstParagraph"/>
      </w:pPr>
      <w:r>
        <w:t xml:space="preserve">The PBPK model for triazolam was developed and verified with clinical PK data.</w:t>
      </w:r>
    </w:p>
    <w:p>
      <w:pPr>
        <w:pStyle w:val="BodyText"/>
      </w:pPr>
      <w:r>
        <w:t xml:space="preserve">The next sections show:</w:t>
      </w:r>
    </w:p>
    <w:p>
      <w:pPr>
        <w:numPr>
          <w:ilvl w:val="0"/>
          <w:numId w:val="1003"/>
        </w:numPr>
        <w:pStyle w:val="Compact"/>
      </w:pPr>
      <w:r>
        <w:t xml:space="preserve">the final model parameters for the building blocks:</w:t>
      </w:r>
      <w:r>
        <w:t xml:space="preserve"> </w:t>
      </w:r>
      <w:hyperlink w:anchor="Xc6cf42871317160fa8533d05504fe9284eb5963">
        <w:r>
          <w:rPr>
            <w:rStyle w:val="Hyperlink"/>
          </w:rPr>
          <w:t xml:space="preserve">Section 3.1</w:t>
        </w:r>
      </w:hyperlink>
      <w:r>
        <w:t xml:space="preserve">.</w:t>
      </w:r>
    </w:p>
    <w:p>
      <w:pPr>
        <w:numPr>
          <w:ilvl w:val="0"/>
          <w:numId w:val="1003"/>
        </w:numPr>
        <w:pStyle w:val="Compact"/>
      </w:pPr>
      <w:r>
        <w:t xml:space="preserve">the overall goodness of fit:</w:t>
      </w:r>
      <w:r>
        <w:t xml:space="preserve"> </w:t>
      </w:r>
      <w:hyperlink w:anchor="X8f3aeddcae968e1d328d29ba9adb7d6f485cab0">
        <w:r>
          <w:rPr>
            <w:rStyle w:val="Hyperlink"/>
          </w:rPr>
          <w:t xml:space="preserve">Section 3.2</w:t>
        </w:r>
      </w:hyperlink>
      <w:r>
        <w:t xml:space="preserve">.</w:t>
      </w:r>
    </w:p>
    <w:p>
      <w:pPr>
        <w:numPr>
          <w:ilvl w:val="0"/>
          <w:numId w:val="1003"/>
        </w:numPr>
        <w:pStyle w:val="Compact"/>
      </w:pPr>
      <w:r>
        <w:t xml:space="preserve">simulated vs. observed concentration-time profiles for the clinical studies used for model building:</w:t>
      </w:r>
      <w:r>
        <w:t xml:space="preserve"> </w:t>
      </w:r>
      <w:hyperlink w:anchor="Xdc8b4cf40574b5c39801a4fb59aa003db333782">
        <w:r>
          <w:rPr>
            <w:rStyle w:val="Hyperlink"/>
          </w:rPr>
          <w:t xml:space="preserve">Section 3.3</w:t>
        </w:r>
      </w:hyperlink>
      <w:r>
        <w:t xml:space="preserve">.</w:t>
      </w:r>
    </w:p>
    <w:bookmarkStart w:id="39" w:name="final-input-parameters"/>
    <w:p>
      <w:pPr>
        <w:pStyle w:val="Heading2"/>
      </w:pPr>
      <w:r>
        <w:t xml:space="preserve">Final input parameters</w:t>
      </w:r>
      <w:bookmarkStart w:id="final-input-parameters" w:name="final-input-parameters"/>
      <w:bookmarkEnd w:id="final-input-parameters"/>
    </w:p>
    <w:p>
      <w:pPr>
        <w:pStyle w:val="FirstParagraph"/>
      </w:pPr>
      <w:r>
        <w:t xml:space="preserve">The compound parameter values of the final PBPK model are illustrated below.</w:t>
      </w:r>
    </w:p>
    <w:bookmarkStart w:id="36" w:name="compound-triazolam"/>
    <w:p>
      <w:pPr>
        <w:pStyle w:val="Heading3"/>
      </w:pPr>
      <w:r>
        <w:t xml:space="preserve">Compound: Triazolam</w:t>
      </w:r>
    </w:p>
    <w:bookmarkStart w:id="29" w:name="parameters"/>
    <w:p>
      <w:pPr>
        <w:pStyle w:val="Heading4"/>
      </w:pPr>
      <w:r>
        <w:t xml:space="preserve">Parameters</w:t>
      </w:r>
    </w:p>
    <w:tbl>
      <w:tblPr>
        <w:tblStyle w:val="Table"/>
        <w:tblW w:type="pct" w:w="5000"/>
        <w:tblLook w:firstRow="1" w:lastRow="0" w:firstColumn="0" w:lastColumn="0" w:noHBand="0" w:noVBand="0" w:val="0020"/>
        <w:jc w:val="start"/>
      </w:tblPr>
      <w:tblGrid>
        <w:gridCol w:w="2011"/>
        <w:gridCol w:w="963"/>
        <w:gridCol w:w="4190"/>
        <w:gridCol w:w="460"/>
        <w:gridCol w:w="293"/>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c>
          <w:tcPr/>
          <w:p>
            <w:pPr>
              <w:pStyle w:val="Compact"/>
              <w:jc w:val="left"/>
            </w:pPr>
            <w:r>
              <w:t xml:space="preserve">Alternative</w:t>
            </w:r>
          </w:p>
        </w:tc>
        <w:tc>
          <w:tcPr/>
          <w:p>
            <w:pPr>
              <w:pStyle w:val="Compact"/>
              <w:jc w:val="left"/>
            </w:pPr>
            <w:r>
              <w:t xml:space="preserve">Default</w:t>
            </w:r>
          </w:p>
        </w:tc>
      </w:tr>
      <w:tr>
        <w:tc>
          <w:tcPr/>
          <w:p>
            <w:pPr>
              <w:pStyle w:val="Compact"/>
              <w:jc w:val="left"/>
            </w:pPr>
            <w:r>
              <w:t xml:space="preserve">Solubility at reference pH</w:t>
            </w:r>
          </w:p>
        </w:tc>
        <w:tc>
          <w:tcPr/>
          <w:p>
            <w:pPr>
              <w:pStyle w:val="Compact"/>
              <w:jc w:val="left"/>
            </w:pPr>
            <w:r>
              <w:t xml:space="preserve">4.53 mg/l</w:t>
            </w:r>
          </w:p>
        </w:tc>
        <w:tc>
          <w:tcPr/>
          <w:p>
            <w:pPr>
              <w:pStyle w:val="Compact"/>
              <w:jc w:val="left"/>
            </w:pPr>
            <w:r>
              <w:t xml:space="preserve">Unknown-drugbank.ca</w:t>
            </w:r>
          </w:p>
        </w:tc>
        <w:tc>
          <w:tcPr/>
          <w:p>
            <w:pPr>
              <w:pStyle w:val="Compact"/>
              <w:jc w:val="left"/>
            </w:pPr>
            <w:r>
              <w:t xml:space="preserve">Measurement</w:t>
            </w:r>
          </w:p>
        </w:tc>
        <w:tc>
          <w:tcPr/>
          <w:p>
            <w:pPr>
              <w:pStyle w:val="Compact"/>
              <w:jc w:val="left"/>
            </w:pPr>
            <w:r>
              <w:t xml:space="preserve">True</w:t>
            </w:r>
          </w:p>
        </w:tc>
      </w:tr>
      <w:tr>
        <w:tc>
          <w:tcPr/>
          <w:p>
            <w:pPr>
              <w:pStyle w:val="Compact"/>
              <w:jc w:val="left"/>
            </w:pPr>
            <w:r>
              <w:t xml:space="preserve">Reference pH</w:t>
            </w:r>
          </w:p>
        </w:tc>
        <w:tc>
          <w:tcPr/>
          <w:p>
            <w:pPr>
              <w:pStyle w:val="Compact"/>
              <w:jc w:val="left"/>
            </w:pPr>
            <w:r>
              <w:t xml:space="preserve">7</w:t>
            </w:r>
          </w:p>
        </w:tc>
        <w:tc>
          <w:tcPr/>
          <w:p>
            <w:pPr>
              <w:pStyle w:val="Compact"/>
              <w:jc w:val="left"/>
            </w:pPr>
            <w:r>
              <w:t xml:space="preserve">Unknown-drugbank.ca</w:t>
            </w:r>
          </w:p>
        </w:tc>
        <w:tc>
          <w:tcPr/>
          <w:p>
            <w:pPr>
              <w:pStyle w:val="Compact"/>
              <w:jc w:val="left"/>
            </w:pPr>
            <w:r>
              <w:t xml:space="preserve">Measurement</w:t>
            </w:r>
          </w:p>
        </w:tc>
        <w:tc>
          <w:tcPr/>
          <w:p>
            <w:pPr>
              <w:pStyle w:val="Compact"/>
              <w:jc w:val="left"/>
            </w:pPr>
            <w:r>
              <w:t xml:space="preserve">True</w:t>
            </w:r>
          </w:p>
        </w:tc>
      </w:tr>
      <w:tr>
        <w:tc>
          <w:tcPr/>
          <w:p>
            <w:pPr>
              <w:pStyle w:val="Compact"/>
              <w:jc w:val="left"/>
            </w:pPr>
            <w:r>
              <w:t xml:space="preserve">Lipophilicity</w:t>
            </w:r>
          </w:p>
        </w:tc>
        <w:tc>
          <w:tcPr/>
          <w:p>
            <w:pPr>
              <w:pStyle w:val="Compact"/>
              <w:jc w:val="left"/>
            </w:pPr>
            <w:r>
              <w:t xml:space="preserve">1.897007419 Log Units</w:t>
            </w:r>
          </w:p>
        </w:tc>
        <w:tc>
          <w:tcPr/>
          <w:p>
            <w:pPr>
              <w:pStyle w:val="Compact"/>
              <w:jc w:val="left"/>
            </w:pPr>
            <w:r>
              <w:t xml:space="preserve">Parameter Identification-Parameter Identification-Value updated from</w:t>
            </w:r>
            <w:r>
              <w:t xml:space="preserve"> </w:t>
            </w:r>
            <w:r>
              <w:t xml:space="preserve">‘</w:t>
            </w:r>
            <w:r>
              <w:t xml:space="preserve">IV + Oral</w:t>
            </w:r>
            <w:r>
              <w:t xml:space="preserve">’</w:t>
            </w:r>
            <w:r>
              <w:t xml:space="preserve"> </w:t>
            </w:r>
            <w:r>
              <w:t xml:space="preserve">on 2018-11-13 16:52</w:t>
            </w:r>
          </w:p>
        </w:tc>
        <w:tc>
          <w:tcPr/>
          <w:p>
            <w:pPr>
              <w:pStyle w:val="Compact"/>
              <w:jc w:val="left"/>
            </w:pPr>
            <w:r>
              <w:t xml:space="preserve">Optimized</w:t>
            </w:r>
          </w:p>
        </w:tc>
        <w:tc>
          <w:tcPr/>
          <w:p>
            <w:pPr>
              <w:pStyle w:val="Compact"/>
              <w:jc w:val="left"/>
            </w:pPr>
            <w:r>
              <w:t xml:space="preserve">True</w:t>
            </w:r>
          </w:p>
        </w:tc>
      </w:tr>
      <w:tr>
        <w:tc>
          <w:tcPr/>
          <w:p>
            <w:pPr>
              <w:pStyle w:val="Compact"/>
              <w:jc w:val="left"/>
            </w:pPr>
            <w:r>
              <w:t xml:space="preserve">Fraction unbound (plasma, reference value)</w:t>
            </w:r>
          </w:p>
        </w:tc>
        <w:tc>
          <w:tcPr/>
          <w:p>
            <w:pPr>
              <w:pStyle w:val="Compact"/>
              <w:jc w:val="left"/>
            </w:pPr>
            <w:r>
              <w:t xml:space="preserve">0.174</w:t>
            </w:r>
          </w:p>
        </w:tc>
        <w:tc>
          <w:tcPr/>
          <w:p>
            <w:pPr>
              <w:pStyle w:val="Compact"/>
              <w:jc w:val="left"/>
            </w:pPr>
            <w:r>
              <w:t xml:space="preserve">Publication-In Vivo-PMID: 3360971</w:t>
            </w:r>
          </w:p>
        </w:tc>
        <w:tc>
          <w:tcPr/>
          <w:p>
            <w:pPr>
              <w:pStyle w:val="Compact"/>
              <w:jc w:val="left"/>
            </w:pPr>
            <w:r>
              <w:t xml:space="preserve">Measurement</w:t>
            </w:r>
          </w:p>
        </w:tc>
        <w:tc>
          <w:tcPr/>
          <w:p>
            <w:pPr>
              <w:pStyle w:val="Compact"/>
              <w:jc w:val="left"/>
            </w:pPr>
            <w:r>
              <w:t xml:space="preserve">True</w:t>
            </w:r>
          </w:p>
        </w:tc>
      </w:tr>
      <w:tr>
        <w:tc>
          <w:tcPr/>
          <w:p>
            <w:pPr>
              <w:pStyle w:val="Compact"/>
              <w:jc w:val="left"/>
            </w:pPr>
            <w:r>
              <w:t xml:space="preserve">Specific intestinal permeability (transcellular)</w:t>
            </w:r>
          </w:p>
        </w:tc>
        <w:tc>
          <w:tcPr/>
          <w:p>
            <w:pPr>
              <w:pStyle w:val="Compact"/>
              <w:jc w:val="left"/>
            </w:pPr>
            <w:r>
              <w:t xml:space="preserve">7.0220146601E-05 cm/min</w:t>
            </w:r>
          </w:p>
        </w:tc>
        <w:tc>
          <w:tcPr/>
          <w:p>
            <w:pPr>
              <w:pStyle w:val="Compact"/>
              <w:jc w:val="left"/>
            </w:pPr>
            <w:r>
              <w:t xml:space="preserve">Parameter Identification-Parameter Identification-Value updated from</w:t>
            </w:r>
            <w:r>
              <w:t xml:space="preserve"> </w:t>
            </w:r>
            <w:r>
              <w:t xml:space="preserve">‘</w:t>
            </w:r>
            <w:r>
              <w:t xml:space="preserve">IV + Oral</w:t>
            </w:r>
            <w:r>
              <w:t xml:space="preserve">’</w:t>
            </w:r>
            <w:r>
              <w:t xml:space="preserve"> </w:t>
            </w:r>
            <w:r>
              <w:t xml:space="preserve">on 2018-11-13 16:52</w:t>
            </w:r>
          </w:p>
        </w:tc>
        <w:tc>
          <w:tcPr/>
          <w:p>
            <w:pPr>
              <w:pStyle w:val="Compact"/>
              <w:jc w:val="left"/>
            </w:pPr>
            <w:r>
              <w:t xml:space="preserve">Optimized</w:t>
            </w:r>
          </w:p>
        </w:tc>
        <w:tc>
          <w:tcPr/>
          <w:p>
            <w:pPr>
              <w:pStyle w:val="Compact"/>
              <w:jc w:val="left"/>
            </w:pPr>
            <w:r>
              <w:t xml:space="preserve">True</w:t>
            </w:r>
          </w:p>
        </w:tc>
      </w:tr>
      <w:tr>
        <w:tc>
          <w:tcPr/>
          <w:p>
            <w:pPr>
              <w:pStyle w:val="Compact"/>
              <w:jc w:val="left"/>
            </w:pPr>
            <w:r>
              <w:t xml:space="preserve">Cl</w:t>
            </w:r>
          </w:p>
        </w:tc>
        <w:tc>
          <w:tcPr/>
          <w:p>
            <w:pPr>
              <w:pStyle w:val="Compact"/>
              <w:jc w:val="left"/>
            </w:pPr>
            <w:r>
              <w:t xml:space="preserve">2</w:t>
            </w:r>
          </w:p>
        </w:tc>
        <w:tc>
          <w:tcPr/>
          <w:p>
            <w:pPr>
              <w:pStyle w:val="Compact"/>
            </w:pPr>
          </w:p>
        </w:tc>
        <w:tc>
          <w:tcPr/>
          <w:p>
            <w:pPr>
              <w:pStyle w:val="Compact"/>
            </w:pPr>
          </w:p>
        </w:tc>
        <w:tc>
          <w:tcPr/>
          <w:p>
            <w:pPr>
              <w:pStyle w:val="Compact"/>
            </w:pPr>
          </w:p>
        </w:tc>
      </w:tr>
      <w:tr>
        <w:tc>
          <w:tcPr/>
          <w:p>
            <w:pPr>
              <w:pStyle w:val="Compact"/>
              <w:jc w:val="left"/>
            </w:pPr>
            <w:r>
              <w:t xml:space="preserve">Is small molecule</w:t>
            </w:r>
          </w:p>
        </w:tc>
        <w:tc>
          <w:tcPr/>
          <w:p>
            <w:pPr>
              <w:pStyle w:val="Compact"/>
              <w:jc w:val="left"/>
            </w:pPr>
            <w:r>
              <w:t xml:space="preserve">Yes</w:t>
            </w:r>
          </w:p>
        </w:tc>
        <w:tc>
          <w:tcPr/>
          <w:p>
            <w:pPr>
              <w:pStyle w:val="Compact"/>
            </w:pPr>
          </w:p>
        </w:tc>
        <w:tc>
          <w:tcPr/>
          <w:p>
            <w:pPr>
              <w:pStyle w:val="Compact"/>
            </w:pPr>
          </w:p>
        </w:tc>
        <w:tc>
          <w:tcPr/>
          <w:p>
            <w:pPr>
              <w:pStyle w:val="Compact"/>
            </w:pPr>
          </w:p>
        </w:tc>
      </w:tr>
      <w:tr>
        <w:tc>
          <w:tcPr/>
          <w:p>
            <w:pPr>
              <w:pStyle w:val="Compact"/>
              <w:jc w:val="left"/>
            </w:pPr>
            <w:r>
              <w:t xml:space="preserve">Molecular weight</w:t>
            </w:r>
          </w:p>
        </w:tc>
        <w:tc>
          <w:tcPr/>
          <w:p>
            <w:pPr>
              <w:pStyle w:val="Compact"/>
              <w:jc w:val="left"/>
            </w:pPr>
            <w:r>
              <w:t xml:space="preserve">343.21 g/mol</w:t>
            </w:r>
          </w:p>
        </w:tc>
        <w:tc>
          <w:tcPr/>
          <w:p>
            <w:pPr>
              <w:pStyle w:val="Compact"/>
            </w:pPr>
          </w:p>
        </w:tc>
        <w:tc>
          <w:tcPr/>
          <w:p>
            <w:pPr>
              <w:pStyle w:val="Compact"/>
            </w:pPr>
          </w:p>
        </w:tc>
        <w:tc>
          <w:tcPr/>
          <w:p>
            <w:pPr>
              <w:pStyle w:val="Compact"/>
            </w:pPr>
          </w:p>
        </w:tc>
      </w:tr>
      <w:tr>
        <w:tc>
          <w:tcPr/>
          <w:p>
            <w:pPr>
              <w:pStyle w:val="Compact"/>
              <w:jc w:val="left"/>
            </w:pPr>
            <w:r>
              <w:t xml:space="preserve">Plasma protein binding partner</w:t>
            </w:r>
          </w:p>
        </w:tc>
        <w:tc>
          <w:tcPr/>
          <w:p>
            <w:pPr>
              <w:pStyle w:val="Compact"/>
              <w:jc w:val="left"/>
            </w:pPr>
            <w:r>
              <w:t xml:space="preserve">Unknown</w:t>
            </w:r>
          </w:p>
        </w:tc>
        <w:tc>
          <w:tcPr/>
          <w:p>
            <w:pPr>
              <w:pStyle w:val="Compact"/>
            </w:pPr>
          </w:p>
        </w:tc>
        <w:tc>
          <w:tcPr/>
          <w:p>
            <w:pPr>
              <w:pStyle w:val="Compact"/>
            </w:pPr>
          </w:p>
        </w:tc>
        <w:tc>
          <w:tcPr/>
          <w:p>
            <w:pPr>
              <w:pStyle w:val="Compact"/>
            </w:pPr>
          </w:p>
        </w:tc>
      </w:tr>
    </w:tbl>
    <w:bookmarkEnd w:id="29"/>
    <w:bookmarkStart w:id="30" w:name="calculation-methods"/>
    <w:p>
      <w:pPr>
        <w:pStyle w:val="Heading4"/>
      </w:pPr>
      <w:r>
        <w:t xml:space="preserve">Calculation methods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Name</w:t>
            </w:r>
          </w:p>
        </w:tc>
        <w:tc>
          <w:tcPr/>
          <w:p>
            <w:pPr>
              <w:pStyle w:val="Compact"/>
              <w:jc w:val="left"/>
            </w:pPr>
            <w:r>
              <w:t xml:space="preserve">Value</w:t>
            </w:r>
          </w:p>
        </w:tc>
      </w:tr>
      <w:tr>
        <w:tc>
          <w:tcPr/>
          <w:p>
            <w:pPr>
              <w:pStyle w:val="Compact"/>
              <w:jc w:val="left"/>
            </w:pPr>
            <w:r>
              <w:t xml:space="preserve">Partition coefficients</w:t>
            </w:r>
          </w:p>
        </w:tc>
        <w:tc>
          <w:tcPr/>
          <w:p>
            <w:pPr>
              <w:pStyle w:val="Compact"/>
              <w:jc w:val="left"/>
            </w:pPr>
            <w:r>
              <w:t xml:space="preserve">Rodgers and Rowland</w:t>
            </w:r>
          </w:p>
        </w:tc>
      </w:tr>
      <w:tr>
        <w:tc>
          <w:tcPr/>
          <w:p>
            <w:pPr>
              <w:pStyle w:val="Compact"/>
              <w:jc w:val="left"/>
            </w:pPr>
            <w:r>
              <w:t xml:space="preserve">Cellular permeabilities</w:t>
            </w:r>
          </w:p>
        </w:tc>
        <w:tc>
          <w:tcPr/>
          <w:p>
            <w:pPr>
              <w:pStyle w:val="Compact"/>
              <w:jc w:val="left"/>
            </w:pPr>
            <w:r>
              <w:t xml:space="preserve">PK-Sim Standard</w:t>
            </w:r>
          </w:p>
        </w:tc>
      </w:tr>
    </w:tbl>
    <w:bookmarkEnd w:id="30"/>
    <w:bookmarkStart w:id="35" w:name="processes"/>
    <w:p>
      <w:pPr>
        <w:pStyle w:val="Heading4"/>
      </w:pPr>
      <w:r>
        <w:t xml:space="preserve">Processes</w:t>
      </w:r>
    </w:p>
    <w:bookmarkStart w:id="32" w:name="Xfc01d21fe376bb1d843490883cd318f206141ef"/>
    <w:p>
      <w:pPr>
        <w:pStyle w:val="Heading5"/>
      </w:pPr>
      <w:r>
        <w:t xml:space="preserve">Metabolizing Enzyme: CYP3A4-alpha-OH pathway</w:t>
      </w:r>
    </w:p>
    <w:p>
      <w:pPr>
        <w:pStyle w:val="FirstParagraph"/>
      </w:pPr>
      <w:r>
        <w:t xml:space="preserve">Molecule: CYP3A4</w:t>
      </w:r>
    </w:p>
    <w:bookmarkStart w:id="31" w:name="parameters-1"/>
    <w:p>
      <w:pPr>
        <w:pStyle w:val="Heading6"/>
      </w:pPr>
      <w:r>
        <w:t xml:space="preserve">Parameters</w:t>
      </w:r>
    </w:p>
    <w:tbl>
      <w:tblPr>
        <w:tblStyle w:val="Table"/>
        <w:tblW w:type="pct" w:w="5000"/>
        <w:tblLook w:firstRow="1" w:lastRow="0" w:firstColumn="0" w:lastColumn="0" w:noHBand="0" w:noVBand="0" w:val="0020"/>
        <w:jc w:val="start"/>
      </w:tblPr>
      <w:tblGrid>
        <w:gridCol w:w="1652"/>
        <w:gridCol w:w="1409"/>
        <w:gridCol w:w="4858"/>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In vitro Vmax for liver microsomes</w:t>
            </w:r>
          </w:p>
        </w:tc>
        <w:tc>
          <w:tcPr/>
          <w:p>
            <w:pPr>
              <w:pStyle w:val="Compact"/>
              <w:jc w:val="left"/>
            </w:pPr>
            <w:r>
              <w:t xml:space="preserve">2.36 nmol/min/mg mic. protein</w:t>
            </w:r>
          </w:p>
        </w:tc>
        <w:tc>
          <w:tcPr/>
          <w:p>
            <w:pPr>
              <w:pStyle w:val="Compact"/>
              <w:jc w:val="left"/>
            </w:pPr>
            <w:r>
              <w:t xml:space="preserve">Publication-In Vitro-PMID: 8632299</w:t>
            </w:r>
          </w:p>
        </w:tc>
      </w:tr>
      <w:tr>
        <w:tc>
          <w:tcPr/>
          <w:p>
            <w:pPr>
              <w:pStyle w:val="Compact"/>
              <w:jc w:val="left"/>
            </w:pPr>
            <w:r>
              <w:t xml:space="preserve">Km</w:t>
            </w:r>
          </w:p>
        </w:tc>
        <w:tc>
          <w:tcPr/>
          <w:p>
            <w:pPr>
              <w:pStyle w:val="Compact"/>
              <w:jc w:val="left"/>
            </w:pPr>
            <w:r>
              <w:t xml:space="preserve">74.2 µmol/l</w:t>
            </w:r>
          </w:p>
        </w:tc>
        <w:tc>
          <w:tcPr/>
          <w:p>
            <w:pPr>
              <w:pStyle w:val="Compact"/>
              <w:jc w:val="left"/>
            </w:pPr>
            <w:r>
              <w:t xml:space="preserve">Publication-In Vitro-PMID: 8632299</w:t>
            </w:r>
          </w:p>
        </w:tc>
      </w:tr>
      <w:tr>
        <w:tc>
          <w:tcPr/>
          <w:p>
            <w:pPr>
              <w:pStyle w:val="Compact"/>
              <w:jc w:val="left"/>
            </w:pPr>
            <w:r>
              <w:t xml:space="preserve">kcat</w:t>
            </w:r>
          </w:p>
        </w:tc>
        <w:tc>
          <w:tcPr/>
          <w:p>
            <w:pPr>
              <w:pStyle w:val="Compact"/>
              <w:jc w:val="left"/>
            </w:pPr>
            <w:r>
              <w:t xml:space="preserve">4.0317206142 1/min</w:t>
            </w:r>
          </w:p>
        </w:tc>
        <w:tc>
          <w:tcPr/>
          <w:p>
            <w:pPr>
              <w:pStyle w:val="Compact"/>
              <w:jc w:val="left"/>
            </w:pPr>
            <w:r>
              <w:t xml:space="preserve">Parameter Identification-Parameter Identification-Value updated from</w:t>
            </w:r>
            <w:r>
              <w:t xml:space="preserve"> </w:t>
            </w:r>
            <w:r>
              <w:t xml:space="preserve">‘</w:t>
            </w:r>
            <w:r>
              <w:t xml:space="preserve">IV + Oral</w:t>
            </w:r>
            <w:r>
              <w:t xml:space="preserve">’</w:t>
            </w:r>
            <w:r>
              <w:t xml:space="preserve"> </w:t>
            </w:r>
            <w:r>
              <w:t xml:space="preserve">on 2018-11-13 16:52</w:t>
            </w:r>
          </w:p>
        </w:tc>
      </w:tr>
    </w:tbl>
    <w:bookmarkEnd w:id="31"/>
    <w:bookmarkEnd w:id="32"/>
    <w:bookmarkStart w:id="34" w:name="metabolizing-enzyme-cyp3a4-4-oh-pathway"/>
    <w:p>
      <w:pPr>
        <w:pStyle w:val="Heading5"/>
      </w:pPr>
      <w:r>
        <w:t xml:space="preserve">Metabolizing Enzyme: CYP3A4-4-OH pathway</w:t>
      </w:r>
    </w:p>
    <w:p>
      <w:pPr>
        <w:pStyle w:val="FirstParagraph"/>
      </w:pPr>
      <w:r>
        <w:t xml:space="preserve">Molecule: CYP3A4</w:t>
      </w:r>
    </w:p>
    <w:bookmarkStart w:id="33" w:name="parameters-2"/>
    <w:p>
      <w:pPr>
        <w:pStyle w:val="Heading6"/>
      </w:pPr>
      <w:r>
        <w:t xml:space="preserve">Parameters</w:t>
      </w:r>
    </w:p>
    <w:tbl>
      <w:tblPr>
        <w:tblStyle w:val="Table"/>
        <w:tblW w:type="pct" w:w="5000"/>
        <w:tblLook w:firstRow="1" w:lastRow="0" w:firstColumn="0" w:lastColumn="0" w:noHBand="0" w:noVBand="0" w:val="0020"/>
        <w:jc w:val="start"/>
      </w:tblPr>
      <w:tblGrid>
        <w:gridCol w:w="1641"/>
        <w:gridCol w:w="1448"/>
        <w:gridCol w:w="4829"/>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In vitro Vmax for liver microsomes</w:t>
            </w:r>
          </w:p>
        </w:tc>
        <w:tc>
          <w:tcPr/>
          <w:p>
            <w:pPr>
              <w:pStyle w:val="Compact"/>
              <w:jc w:val="left"/>
            </w:pPr>
            <w:r>
              <w:t xml:space="preserve">10.27 nmol/min/mg mic. protein</w:t>
            </w:r>
          </w:p>
        </w:tc>
        <w:tc>
          <w:tcPr/>
          <w:p>
            <w:pPr>
              <w:pStyle w:val="Compact"/>
              <w:jc w:val="left"/>
            </w:pPr>
            <w:r>
              <w:t xml:space="preserve">Publication-In Vitro-PMID: 8632299</w:t>
            </w:r>
          </w:p>
        </w:tc>
      </w:tr>
      <w:tr>
        <w:tc>
          <w:tcPr/>
          <w:p>
            <w:pPr>
              <w:pStyle w:val="Compact"/>
              <w:jc w:val="left"/>
            </w:pPr>
            <w:r>
              <w:t xml:space="preserve">Km</w:t>
            </w:r>
          </w:p>
        </w:tc>
        <w:tc>
          <w:tcPr/>
          <w:p>
            <w:pPr>
              <w:pStyle w:val="Compact"/>
              <w:jc w:val="left"/>
            </w:pPr>
            <w:r>
              <w:t xml:space="preserve">305 µmol/l</w:t>
            </w:r>
          </w:p>
        </w:tc>
        <w:tc>
          <w:tcPr/>
          <w:p>
            <w:pPr>
              <w:pStyle w:val="Compact"/>
              <w:jc w:val="left"/>
            </w:pPr>
            <w:r>
              <w:t xml:space="preserve">Publication-In Vitro-PMID: 8632299</w:t>
            </w:r>
          </w:p>
        </w:tc>
      </w:tr>
      <w:tr>
        <w:tc>
          <w:tcPr/>
          <w:p>
            <w:pPr>
              <w:pStyle w:val="Compact"/>
              <w:jc w:val="left"/>
            </w:pPr>
            <w:r>
              <w:t xml:space="preserve">kcat</w:t>
            </w:r>
          </w:p>
        </w:tc>
        <w:tc>
          <w:tcPr/>
          <w:p>
            <w:pPr>
              <w:pStyle w:val="Compact"/>
              <w:jc w:val="left"/>
            </w:pPr>
            <w:r>
              <w:t xml:space="preserve">17.5448180963 1/min</w:t>
            </w:r>
          </w:p>
        </w:tc>
        <w:tc>
          <w:tcPr/>
          <w:p>
            <w:pPr>
              <w:pStyle w:val="Compact"/>
              <w:jc w:val="left"/>
            </w:pPr>
            <w:r>
              <w:t xml:space="preserve">Parameter Identification-Parameter Identification-Value updated from</w:t>
            </w:r>
            <w:r>
              <w:t xml:space="preserve"> </w:t>
            </w:r>
            <w:r>
              <w:t xml:space="preserve">‘</w:t>
            </w:r>
            <w:r>
              <w:t xml:space="preserve">IV + Oral</w:t>
            </w:r>
            <w:r>
              <w:t xml:space="preserve">’</w:t>
            </w:r>
            <w:r>
              <w:t xml:space="preserve"> </w:t>
            </w:r>
            <w:r>
              <w:t xml:space="preserve">on 2018-11-13 16:52</w:t>
            </w:r>
          </w:p>
        </w:tc>
      </w:tr>
    </w:tbl>
    <w:bookmarkEnd w:id="33"/>
    <w:bookmarkEnd w:id="34"/>
    <w:bookmarkEnd w:id="35"/>
    <w:bookmarkEnd w:id="36"/>
    <w:bookmarkStart w:id="38" w:name="formulation-halcion"/>
    <w:p>
      <w:pPr>
        <w:pStyle w:val="Heading3"/>
      </w:pPr>
      <w:r>
        <w:t xml:space="preserve">Formulation: Halcion</w:t>
      </w:r>
    </w:p>
    <w:p>
      <w:pPr>
        <w:pStyle w:val="FirstParagraph"/>
      </w:pPr>
      <w:r>
        <w:t xml:space="preserve">Type: Weibull</w:t>
      </w:r>
    </w:p>
    <w:bookmarkStart w:id="37" w:name="parameters-3"/>
    <w:p>
      <w:pPr>
        <w:pStyle w:val="Heading4"/>
      </w:pPr>
      <w:r>
        <w:t xml:space="preserve">Parameters</w:t>
      </w:r>
    </w:p>
    <w:tbl>
      <w:tblPr>
        <w:tblStyle w:val="Table"/>
        <w:tblW w:type="pct" w:w="5000"/>
        <w:tblLook w:firstRow="1" w:lastRow="0" w:firstColumn="0" w:lastColumn="0" w:noHBand="0" w:noVBand="0" w:val="0020"/>
        <w:jc w:val="start"/>
      </w:tblPr>
      <w:tblGrid>
        <w:gridCol w:w="1712"/>
        <w:gridCol w:w="856"/>
        <w:gridCol w:w="5351"/>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Dissolution time (50% dissolved)</w:t>
            </w:r>
          </w:p>
        </w:tc>
        <w:tc>
          <w:tcPr/>
          <w:p>
            <w:pPr>
              <w:pStyle w:val="Compact"/>
              <w:jc w:val="left"/>
            </w:pPr>
            <w:r>
              <w:t xml:space="preserve">1.7958147418 min</w:t>
            </w:r>
          </w:p>
        </w:tc>
        <w:tc>
          <w:tcPr/>
          <w:p>
            <w:pPr>
              <w:pStyle w:val="Compact"/>
              <w:jc w:val="left"/>
            </w:pPr>
            <w:r>
              <w:t xml:space="preserve">Parameter Identification-Parameter Identification-Value updated from</w:t>
            </w:r>
            <w:r>
              <w:t xml:space="preserve"> </w:t>
            </w:r>
            <w:r>
              <w:t xml:space="preserve">‘</w:t>
            </w:r>
            <w:r>
              <w:t xml:space="preserve">IV + Oral</w:t>
            </w:r>
            <w:r>
              <w:t xml:space="preserve">’</w:t>
            </w:r>
            <w:r>
              <w:t xml:space="preserve"> </w:t>
            </w:r>
            <w:r>
              <w:t xml:space="preserve">on 2018-11-13 16:52</w:t>
            </w:r>
          </w:p>
        </w:tc>
      </w:tr>
      <w:tr>
        <w:tc>
          <w:tcPr/>
          <w:p>
            <w:pPr>
              <w:pStyle w:val="Compact"/>
              <w:jc w:val="left"/>
            </w:pPr>
            <w:r>
              <w:t xml:space="preserve">Lag time</w:t>
            </w:r>
          </w:p>
        </w:tc>
        <w:tc>
          <w:tcPr/>
          <w:p>
            <w:pPr>
              <w:pStyle w:val="Compact"/>
              <w:jc w:val="left"/>
            </w:pPr>
            <w:r>
              <w:t xml:space="preserve">0 min</w:t>
            </w:r>
          </w:p>
        </w:tc>
        <w:tc>
          <w:tcPr/>
          <w:p>
            <w:pPr>
              <w:pStyle w:val="Compact"/>
            </w:pPr>
          </w:p>
        </w:tc>
      </w:tr>
      <w:tr>
        <w:tc>
          <w:tcPr/>
          <w:p>
            <w:pPr>
              <w:pStyle w:val="Compact"/>
              <w:jc w:val="left"/>
            </w:pPr>
            <w:r>
              <w:t xml:space="preserve">Dissolution shape</w:t>
            </w:r>
          </w:p>
        </w:tc>
        <w:tc>
          <w:tcPr/>
          <w:p>
            <w:pPr>
              <w:pStyle w:val="Compact"/>
              <w:jc w:val="left"/>
            </w:pPr>
            <w:r>
              <w:t xml:space="preserve">2.5169993312</w:t>
            </w:r>
          </w:p>
        </w:tc>
        <w:tc>
          <w:tcPr/>
          <w:p>
            <w:pPr>
              <w:pStyle w:val="Compact"/>
              <w:jc w:val="left"/>
            </w:pPr>
            <w:r>
              <w:t xml:space="preserve">Parameter Identification-Parameter Identification-Value updated from</w:t>
            </w:r>
            <w:r>
              <w:t xml:space="preserve"> </w:t>
            </w:r>
            <w:r>
              <w:t xml:space="preserve">‘</w:t>
            </w:r>
            <w:r>
              <w:t xml:space="preserve">IV + Oral</w:t>
            </w:r>
            <w:r>
              <w:t xml:space="preserve">’</w:t>
            </w:r>
            <w:r>
              <w:t xml:space="preserve"> </w:t>
            </w:r>
            <w:r>
              <w:t xml:space="preserve">on 2018-11-13 16:52</w:t>
            </w:r>
          </w:p>
        </w:tc>
      </w:tr>
      <w:tr>
        <w:tc>
          <w:tcPr/>
          <w:p>
            <w:pPr>
              <w:pStyle w:val="Compact"/>
              <w:jc w:val="left"/>
            </w:pPr>
            <w:r>
              <w:t xml:space="preserve">Use as suspension</w:t>
            </w:r>
          </w:p>
        </w:tc>
        <w:tc>
          <w:tcPr/>
          <w:p>
            <w:pPr>
              <w:pStyle w:val="Compact"/>
              <w:jc w:val="left"/>
            </w:pPr>
            <w:r>
              <w:t xml:space="preserve">Yes</w:t>
            </w:r>
          </w:p>
        </w:tc>
        <w:tc>
          <w:tcPr/>
          <w:p>
            <w:pPr>
              <w:pStyle w:val="Compact"/>
            </w:pPr>
          </w:p>
        </w:tc>
      </w:tr>
    </w:tbl>
    <w:bookmarkEnd w:id="37"/>
    <w:bookmarkEnd w:id="38"/>
    <w:bookmarkEnd w:id="39"/>
    <w:bookmarkStart w:id="46" w:name="diagnostics-plots"/>
    <w:p>
      <w:pPr>
        <w:pStyle w:val="Heading2"/>
      </w:pPr>
      <w:r>
        <w:t xml:space="preserve">Diagnostics Plots</w:t>
      </w:r>
      <w:bookmarkStart w:id="diagnostics-plots" w:name="diagnostics-plots"/>
      <w:bookmarkEnd w:id="diagnostics-plots"/>
    </w:p>
    <w:p>
      <w:pPr>
        <w:pStyle w:val="FirstParagraph"/>
      </w:pPr>
      <w:r>
        <w:t xml:space="preserve">Below you find the goodness-of-fit visual diagnostic plots for the PBPK model performance of all data used presented in</w:t>
      </w:r>
      <w:r>
        <w:t xml:space="preserve"> </w:t>
      </w:r>
      <w:hyperlink w:anchor="X7ecbd1fd734a207de60ff9705c88346a68b0398">
        <w:r>
          <w:rPr>
            <w:rStyle w:val="Hyperlink"/>
          </w:rPr>
          <w:t xml:space="preserve">Section 2.2.2</w:t>
        </w:r>
      </w:hyperlink>
      <w:r>
        <w:t xml:space="preserve">.</w:t>
      </w:r>
    </w:p>
    <w:p>
      <w:pPr>
        <w:pStyle w:val="BodyText"/>
      </w:pPr>
      <w:r>
        <w:t xml:space="preserve">The first plot shows observed versus simulated plasma concentration, the second weighted residuals versus time.</w:t>
      </w:r>
    </w:p>
    <w:br w:type="page"/>
    <w:p>
      <w:pPr>
        <w:pStyle w:val="BodyText"/>
      </w:pPr>
      <w:bookmarkStart w:id="table-3-1" w:name="table-3-1"/>
      <w:bookmarkEnd w:id="table-3-1"/>
    </w:p>
    <w:p>
      <w:pPr>
        <w:pStyle w:val="BodyText"/>
      </w:pPr>
      <w:r>
        <w:rPr>
          <w:bCs/>
          <w:b/>
        </w:rPr>
        <w:t xml:space="preserve">Table 3-1: GMFE for Goodness of fit plot for concentration in plasma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Group</w:t>
            </w:r>
          </w:p>
        </w:tc>
        <w:tc>
          <w:tcPr/>
          <w:p>
            <w:pPr>
              <w:pStyle w:val="Compact"/>
              <w:jc w:val="left"/>
            </w:pPr>
            <w:r>
              <w:t xml:space="preserve">GMFE</w:t>
            </w:r>
          </w:p>
        </w:tc>
      </w:tr>
      <w:tr>
        <w:tc>
          <w:tcPr/>
          <w:p>
            <w:pPr>
              <w:pStyle w:val="Compact"/>
              <w:jc w:val="left"/>
            </w:pPr>
            <w:r>
              <w:t xml:space="preserve">IV</w:t>
            </w:r>
          </w:p>
        </w:tc>
        <w:tc>
          <w:tcPr/>
          <w:p>
            <w:pPr>
              <w:pStyle w:val="Compact"/>
              <w:jc w:val="left"/>
            </w:pPr>
            <w:r>
              <w:t xml:space="preserve">1.24</w:t>
            </w:r>
          </w:p>
        </w:tc>
      </w:tr>
      <w:tr>
        <w:tc>
          <w:tcPr/>
          <w:p>
            <w:pPr>
              <w:pStyle w:val="Compact"/>
              <w:jc w:val="left"/>
            </w:pPr>
            <w:r>
              <w:t xml:space="preserve">PO</w:t>
            </w:r>
          </w:p>
        </w:tc>
        <w:tc>
          <w:tcPr/>
          <w:p>
            <w:pPr>
              <w:pStyle w:val="Compact"/>
              <w:jc w:val="left"/>
            </w:pPr>
            <w:r>
              <w:t xml:space="preserve">1.28</w:t>
            </w:r>
          </w:p>
        </w:tc>
      </w:tr>
      <w:tr>
        <w:tc>
          <w:tcPr/>
          <w:p>
            <w:pPr>
              <w:pStyle w:val="Compact"/>
              <w:jc w:val="left"/>
            </w:pPr>
            <w:r>
              <w:t xml:space="preserve">All</w:t>
            </w:r>
          </w:p>
        </w:tc>
        <w:tc>
          <w:tcPr/>
          <w:p>
            <w:pPr>
              <w:pStyle w:val="Compact"/>
              <w:jc w:val="left"/>
            </w:pPr>
            <w:r>
              <w:t xml:space="preserve">1.27</w:t>
            </w:r>
          </w:p>
        </w:tc>
      </w:tr>
    </w:tbl>
    <w:p>
      <w:pPr>
        <w:pStyle w:val="BodyText"/>
      </w:pPr>
      <w:r>
        <w:t xml:space="preserve"> </w:t>
      </w:r>
    </w:p>
    <w:br w:type="page"/>
    <w:p>
      <w:pPr>
        <w:pStyle w:val="BodyText"/>
      </w:pPr>
      <w:bookmarkStart w:id="figure-3-1" w:name="figure-3-1"/>
      <w:bookmarkEnd w:id="figure-3-1"/>
    </w:p>
    <w:p>
      <w:pPr>
        <w:pStyle w:val="BodyText"/>
      </w:pPr>
      <w:r>
        <w:drawing>
          <wp:inline>
            <wp:extent cx="5969000" cy="6507536"/>
            <wp:effectExtent b="0" l="0" r="0" t="0"/>
            <wp:docPr descr="" title="" id="41" name="Picture"/>
            <a:graphic>
              <a:graphicData uri="http://schemas.openxmlformats.org/drawingml/2006/picture">
                <pic:pic>
                  <pic:nvPicPr>
                    <pic:cNvPr descr="images/006_section_results-and-discussion/008_section_diagnostics-plots/2_gof_plot_predictedVsObserved.png" id="42" name="Picture"/>
                    <pic:cNvPicPr>
                      <a:picLocks noChangeArrowheads="1" noChangeAspect="1"/>
                    </pic:cNvPicPr>
                  </pic:nvPicPr>
                  <pic:blipFill>
                    <a:blip r:embed="rId40"/>
                    <a:stretch>
                      <a:fillRect/>
                    </a:stretch>
                  </pic:blipFill>
                  <pic:spPr bwMode="auto">
                    <a:xfrm>
                      <a:off x="0" y="0"/>
                      <a:ext cx="5969000" cy="6507536"/>
                    </a:xfrm>
                    <a:prstGeom prst="rect">
                      <a:avLst/>
                    </a:prstGeom>
                    <a:noFill/>
                    <a:ln w="9525">
                      <a:noFill/>
                      <a:headEnd/>
                      <a:tailEnd/>
                    </a:ln>
                  </pic:spPr>
                </pic:pic>
              </a:graphicData>
            </a:graphic>
          </wp:inline>
        </w:drawing>
      </w:r>
    </w:p>
    <w:p>
      <w:pPr>
        <w:pStyle w:val="BodyText"/>
      </w:pPr>
      <w:r>
        <w:rPr>
          <w:bCs/>
          <w:b/>
        </w:rPr>
        <w:t xml:space="preserve">Figure 3-1: Goodness of fit plot for concentration in plasma</w:t>
      </w:r>
    </w:p>
    <w:p>
      <w:pPr>
        <w:pStyle w:val="BodyText"/>
      </w:pPr>
      <w:r>
        <w:t xml:space="preserve"> </w:t>
      </w:r>
    </w:p>
    <w:br w:type="page"/>
    <w:p>
      <w:pPr>
        <w:pStyle w:val="BodyText"/>
      </w:pPr>
      <w:bookmarkStart w:id="figure-3-2" w:name="figure-3-2"/>
      <w:bookmarkEnd w:id="figure-3-2"/>
    </w:p>
    <w:p>
      <w:pPr>
        <w:pStyle w:val="BodyText"/>
      </w:pPr>
      <w:r>
        <w:drawing>
          <wp:inline>
            <wp:extent cx="5969000" cy="4304842"/>
            <wp:effectExtent b="0" l="0" r="0" t="0"/>
            <wp:docPr descr="" title="" id="44" name="Picture"/>
            <a:graphic>
              <a:graphicData uri="http://schemas.openxmlformats.org/drawingml/2006/picture">
                <pic:pic>
                  <pic:nvPicPr>
                    <pic:cNvPr descr="images/006_section_results-and-discussion/008_section_diagnostics-plots/3_gof_plot_residualsOverTime.png" id="45" name="Picture"/>
                    <pic:cNvPicPr>
                      <a:picLocks noChangeArrowheads="1" noChangeAspect="1"/>
                    </pic:cNvPicPr>
                  </pic:nvPicPr>
                  <pic:blipFill>
                    <a:blip r:embed="rId43"/>
                    <a:stretch>
                      <a:fillRect/>
                    </a:stretch>
                  </pic:blipFill>
                  <pic:spPr bwMode="auto">
                    <a:xfrm>
                      <a:off x="0" y="0"/>
                      <a:ext cx="5969000" cy="4304842"/>
                    </a:xfrm>
                    <a:prstGeom prst="rect">
                      <a:avLst/>
                    </a:prstGeom>
                    <a:noFill/>
                    <a:ln w="9525">
                      <a:noFill/>
                      <a:headEnd/>
                      <a:tailEnd/>
                    </a:ln>
                  </pic:spPr>
                </pic:pic>
              </a:graphicData>
            </a:graphic>
          </wp:inline>
        </w:drawing>
      </w:r>
    </w:p>
    <w:p>
      <w:pPr>
        <w:pStyle w:val="BodyText"/>
      </w:pPr>
      <w:r>
        <w:rPr>
          <w:bCs/>
          <w:b/>
        </w:rPr>
        <w:t xml:space="preserve">Figure 3-2: Goodness of fit plot for concentration in plasma</w:t>
      </w:r>
    </w:p>
    <w:p>
      <w:pPr>
        <w:pStyle w:val="BodyText"/>
      </w:pPr>
      <w:r>
        <w:t xml:space="preserve"> </w:t>
      </w:r>
    </w:p>
    <w:bookmarkEnd w:id="46"/>
    <w:bookmarkStart w:id="83" w:name="concentration-time-profiles"/>
    <w:p>
      <w:pPr>
        <w:pStyle w:val="Heading2"/>
      </w:pPr>
      <w:r>
        <w:t xml:space="preserve">Concentration-Time Profiles</w:t>
      </w:r>
      <w:bookmarkStart w:id="ct-profiles" w:name="ct-profiles"/>
      <w:bookmarkEnd w:id="ct-profiles"/>
    </w:p>
    <w:p>
      <w:pPr>
        <w:pStyle w:val="FirstParagraph"/>
      </w:pPr>
      <w:r>
        <w:t xml:space="preserve">Simulated versus observed concentration-time profiles of all data listed in</w:t>
      </w:r>
      <w:r>
        <w:t xml:space="preserve"> </w:t>
      </w:r>
      <w:hyperlink w:anchor="X7ecbd1fd734a207de60ff9705c88346a68b0398">
        <w:r>
          <w:rPr>
            <w:rStyle w:val="Hyperlink"/>
          </w:rPr>
          <w:t xml:space="preserve">Section 2.2.2</w:t>
        </w:r>
      </w:hyperlink>
      <w:r>
        <w:t xml:space="preserve"> </w:t>
      </w:r>
      <w:r>
        <w:t xml:space="preserve">are presented below.</w:t>
      </w:r>
    </w:p>
    <w:br w:type="page"/>
    <w:p>
      <w:pPr>
        <w:pStyle w:val="BodyText"/>
      </w:pPr>
      <w:bookmarkStart w:id="figure-3-3" w:name="figure-3-3"/>
      <w:bookmarkEnd w:id="figure-3-3"/>
    </w:p>
    <w:p>
      <w:pPr>
        <w:pStyle w:val="BodyText"/>
      </w:pPr>
      <w:r>
        <w:drawing>
          <wp:inline>
            <wp:extent cx="5969000" cy="4634331"/>
            <wp:effectExtent b="0" l="0" r="0" t="0"/>
            <wp:docPr descr="" title="" id="48" name="Picture"/>
            <a:graphic>
              <a:graphicData uri="http://schemas.openxmlformats.org/drawingml/2006/picture">
                <pic:pic>
                  <pic:nvPicPr>
                    <pic:cNvPr descr="images/006_section_results-and-discussion/009_section_ct-profiles/1_time_profile_plot_Triazolam_Kroboth1995_0_25mg_iv.png" id="49" name="Picture"/>
                    <pic:cNvPicPr>
                      <a:picLocks noChangeArrowheads="1" noChangeAspect="1"/>
                    </pic:cNvPicPr>
                  </pic:nvPicPr>
                  <pic:blipFill>
                    <a:blip r:embed="rId47"/>
                    <a:stretch>
                      <a:fillRect/>
                    </a:stretch>
                  </pic:blipFill>
                  <pic:spPr bwMode="auto">
                    <a:xfrm>
                      <a:off x="0" y="0"/>
                      <a:ext cx="5969000" cy="4634331"/>
                    </a:xfrm>
                    <a:prstGeom prst="rect">
                      <a:avLst/>
                    </a:prstGeom>
                    <a:noFill/>
                    <a:ln w="9525">
                      <a:noFill/>
                      <a:headEnd/>
                      <a:tailEnd/>
                    </a:ln>
                  </pic:spPr>
                </pic:pic>
              </a:graphicData>
            </a:graphic>
          </wp:inline>
        </w:drawing>
      </w:r>
    </w:p>
    <w:p>
      <w:pPr>
        <w:pStyle w:val="BodyText"/>
      </w:pPr>
      <w:r>
        <w:rPr>
          <w:bCs/>
          <w:b/>
        </w:rPr>
        <w:t xml:space="preserve">Figure 3-3: Time Profile Analysis</w:t>
      </w:r>
    </w:p>
    <w:p>
      <w:pPr>
        <w:pStyle w:val="BodyText"/>
      </w:pPr>
      <w:r>
        <w:t xml:space="preserve"> </w:t>
      </w:r>
    </w:p>
    <w:br w:type="page"/>
    <w:p>
      <w:pPr>
        <w:pStyle w:val="BodyText"/>
      </w:pPr>
      <w:bookmarkStart w:id="figure-3-4" w:name="figure-3-4"/>
      <w:bookmarkEnd w:id="figure-3-4"/>
    </w:p>
    <w:p>
      <w:pPr>
        <w:pStyle w:val="BodyText"/>
      </w:pPr>
      <w:r>
        <w:drawing>
          <wp:inline>
            <wp:extent cx="5969000" cy="4634331"/>
            <wp:effectExtent b="0" l="0" r="0" t="0"/>
            <wp:docPr descr="" title="" id="51" name="Picture"/>
            <a:graphic>
              <a:graphicData uri="http://schemas.openxmlformats.org/drawingml/2006/picture">
                <pic:pic>
                  <pic:nvPicPr>
                    <pic:cNvPr descr="images/006_section_results-and-discussion/009_section_ct-profiles/2_time_profile_plot_Triazolam_Smith1987_0_125mg.png" id="52" name="Picture"/>
                    <pic:cNvPicPr>
                      <a:picLocks noChangeArrowheads="1" noChangeAspect="1"/>
                    </pic:cNvPicPr>
                  </pic:nvPicPr>
                  <pic:blipFill>
                    <a:blip r:embed="rId50"/>
                    <a:stretch>
                      <a:fillRect/>
                    </a:stretch>
                  </pic:blipFill>
                  <pic:spPr bwMode="auto">
                    <a:xfrm>
                      <a:off x="0" y="0"/>
                      <a:ext cx="5969000" cy="4634331"/>
                    </a:xfrm>
                    <a:prstGeom prst="rect">
                      <a:avLst/>
                    </a:prstGeom>
                    <a:noFill/>
                    <a:ln w="9525">
                      <a:noFill/>
                      <a:headEnd/>
                      <a:tailEnd/>
                    </a:ln>
                  </pic:spPr>
                </pic:pic>
              </a:graphicData>
            </a:graphic>
          </wp:inline>
        </w:drawing>
      </w:r>
    </w:p>
    <w:p>
      <w:pPr>
        <w:pStyle w:val="BodyText"/>
      </w:pPr>
      <w:r>
        <w:rPr>
          <w:bCs/>
          <w:b/>
        </w:rPr>
        <w:t xml:space="preserve">Figure 3-4: Time Profile Analysis</w:t>
      </w:r>
    </w:p>
    <w:p>
      <w:pPr>
        <w:pStyle w:val="BodyText"/>
      </w:pPr>
      <w:r>
        <w:t xml:space="preserve"> </w:t>
      </w:r>
    </w:p>
    <w:br w:type="page"/>
    <w:p>
      <w:pPr>
        <w:pStyle w:val="BodyText"/>
      </w:pPr>
      <w:bookmarkStart w:id="figure-3-5" w:name="figure-3-5"/>
      <w:bookmarkEnd w:id="figure-3-5"/>
    </w:p>
    <w:p>
      <w:pPr>
        <w:pStyle w:val="BodyText"/>
      </w:pPr>
      <w:r>
        <w:drawing>
          <wp:inline>
            <wp:extent cx="5969000" cy="4548378"/>
            <wp:effectExtent b="0" l="0" r="0" t="0"/>
            <wp:docPr descr="" title="" id="54" name="Picture"/>
            <a:graphic>
              <a:graphicData uri="http://schemas.openxmlformats.org/drawingml/2006/picture">
                <pic:pic>
                  <pic:nvPicPr>
                    <pic:cNvPr descr="images/006_section_results-and-discussion/009_section_ct-profiles/3_time_profile_plot_Triazolam_Smith1987_0_25mg.png" id="55" name="Picture"/>
                    <pic:cNvPicPr>
                      <a:picLocks noChangeArrowheads="1" noChangeAspect="1"/>
                    </pic:cNvPicPr>
                  </pic:nvPicPr>
                  <pic:blipFill>
                    <a:blip r:embed="rId53"/>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3-5: Time Profile Analysis</w:t>
      </w:r>
    </w:p>
    <w:p>
      <w:pPr>
        <w:pStyle w:val="BodyText"/>
      </w:pPr>
      <w:r>
        <w:t xml:space="preserve"> </w:t>
      </w:r>
    </w:p>
    <w:br w:type="page"/>
    <w:p>
      <w:pPr>
        <w:pStyle w:val="BodyText"/>
      </w:pPr>
      <w:bookmarkStart w:id="figure-3-6" w:name="figure-3-6"/>
      <w:bookmarkEnd w:id="figure-3-6"/>
    </w:p>
    <w:p>
      <w:pPr>
        <w:pStyle w:val="BodyText"/>
      </w:pPr>
      <w:r>
        <w:drawing>
          <wp:inline>
            <wp:extent cx="5969000" cy="4548378"/>
            <wp:effectExtent b="0" l="0" r="0" t="0"/>
            <wp:docPr descr="" title="" id="57" name="Picture"/>
            <a:graphic>
              <a:graphicData uri="http://schemas.openxmlformats.org/drawingml/2006/picture">
                <pic:pic>
                  <pic:nvPicPr>
                    <pic:cNvPr descr="images/006_section_results-and-discussion/009_section_ct-profiles/4_time_profile_plot_Triazolam_Smith1987_0_5mg.png" id="58" name="Picture"/>
                    <pic:cNvPicPr>
                      <a:picLocks noChangeArrowheads="1" noChangeAspect="1"/>
                    </pic:cNvPicPr>
                  </pic:nvPicPr>
                  <pic:blipFill>
                    <a:blip r:embed="rId56"/>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3-6: Time Profile Analysis</w:t>
      </w:r>
    </w:p>
    <w:p>
      <w:pPr>
        <w:pStyle w:val="BodyText"/>
      </w:pPr>
      <w:r>
        <w:t xml:space="preserve"> </w:t>
      </w:r>
    </w:p>
    <w:br w:type="page"/>
    <w:p>
      <w:pPr>
        <w:pStyle w:val="BodyText"/>
      </w:pPr>
      <w:bookmarkStart w:id="figure-3-7" w:name="figure-3-7"/>
      <w:bookmarkEnd w:id="figure-3-7"/>
    </w:p>
    <w:p>
      <w:pPr>
        <w:pStyle w:val="BodyText"/>
      </w:pPr>
      <w:r>
        <w:drawing>
          <wp:inline>
            <wp:extent cx="5969000" cy="4548378"/>
            <wp:effectExtent b="0" l="0" r="0" t="0"/>
            <wp:docPr descr="" title="" id="60" name="Picture"/>
            <a:graphic>
              <a:graphicData uri="http://schemas.openxmlformats.org/drawingml/2006/picture">
                <pic:pic>
                  <pic:nvPicPr>
                    <pic:cNvPr descr="images/006_section_results-and-discussion/009_section_ct-profiles/5_time_profile_plot_Triazolam_Smith1987_0_75mg.png" id="61" name="Picture"/>
                    <pic:cNvPicPr>
                      <a:picLocks noChangeArrowheads="1" noChangeAspect="1"/>
                    </pic:cNvPicPr>
                  </pic:nvPicPr>
                  <pic:blipFill>
                    <a:blip r:embed="rId59"/>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3-7: Time Profile Analysis</w:t>
      </w:r>
    </w:p>
    <w:p>
      <w:pPr>
        <w:pStyle w:val="BodyText"/>
      </w:pPr>
      <w:r>
        <w:t xml:space="preserve"> </w:t>
      </w:r>
    </w:p>
    <w:br w:type="page"/>
    <w:p>
      <w:pPr>
        <w:pStyle w:val="BodyText"/>
      </w:pPr>
      <w:bookmarkStart w:id="figure-3-8" w:name="figure-3-8"/>
      <w:bookmarkEnd w:id="figure-3-8"/>
    </w:p>
    <w:p>
      <w:pPr>
        <w:pStyle w:val="BodyText"/>
      </w:pPr>
      <w:r>
        <w:drawing>
          <wp:inline>
            <wp:extent cx="5969000" cy="4548378"/>
            <wp:effectExtent b="0" l="0" r="0" t="0"/>
            <wp:docPr descr="" title="" id="63" name="Picture"/>
            <a:graphic>
              <a:graphicData uri="http://schemas.openxmlformats.org/drawingml/2006/picture">
                <pic:pic>
                  <pic:nvPicPr>
                    <pic:cNvPr descr="images/006_section_results-and-discussion/009_section_ct-profiles/6_time_profile_plot_Triazolam_Smith1987_1mg.png" id="64" name="Picture"/>
                    <pic:cNvPicPr>
                      <a:picLocks noChangeArrowheads="1" noChangeAspect="1"/>
                    </pic:cNvPicPr>
                  </pic:nvPicPr>
                  <pic:blipFill>
                    <a:blip r:embed="rId62"/>
                    <a:stretch>
                      <a:fillRect/>
                    </a:stretch>
                  </pic:blipFill>
                  <pic:spPr bwMode="auto">
                    <a:xfrm>
                      <a:off x="0" y="0"/>
                      <a:ext cx="5969000" cy="4548378"/>
                    </a:xfrm>
                    <a:prstGeom prst="rect">
                      <a:avLst/>
                    </a:prstGeom>
                    <a:noFill/>
                    <a:ln w="9525">
                      <a:noFill/>
                      <a:headEnd/>
                      <a:tailEnd/>
                    </a:ln>
                  </pic:spPr>
                </pic:pic>
              </a:graphicData>
            </a:graphic>
          </wp:inline>
        </w:drawing>
      </w:r>
    </w:p>
    <w:p>
      <w:pPr>
        <w:pStyle w:val="BodyText"/>
      </w:pPr>
      <w:r>
        <w:rPr>
          <w:bCs/>
          <w:b/>
        </w:rPr>
        <w:t xml:space="preserve">Figure 3-8: Time Profile Analysis</w:t>
      </w:r>
    </w:p>
    <w:p>
      <w:pPr>
        <w:pStyle w:val="BodyText"/>
      </w:pPr>
      <w:r>
        <w:t xml:space="preserve"> </w:t>
      </w:r>
    </w:p>
    <w:br w:type="page"/>
    <w:p>
      <w:pPr>
        <w:pStyle w:val="BodyText"/>
      </w:pPr>
      <w:bookmarkStart w:id="figure-3-9" w:name="figure-3-9"/>
      <w:bookmarkEnd w:id="figure-3-9"/>
    </w:p>
    <w:p>
      <w:pPr>
        <w:pStyle w:val="BodyText"/>
      </w:pPr>
      <w:r>
        <w:drawing>
          <wp:inline>
            <wp:extent cx="5969000" cy="5073650"/>
            <wp:effectExtent b="0" l="0" r="0" t="0"/>
            <wp:docPr descr="" title="" id="66" name="Picture"/>
            <a:graphic>
              <a:graphicData uri="http://schemas.openxmlformats.org/drawingml/2006/picture">
                <pic:pic>
                  <pic:nvPicPr>
                    <pic:cNvPr descr="images/006_section_results-and-discussion/009_section_ct-profiles/7_time_profile_plot_Triazolam_PO_0_125mg.png" id="67" name="Picture"/>
                    <pic:cNvPicPr>
                      <a:picLocks noChangeArrowheads="1" noChangeAspect="1"/>
                    </pic:cNvPicPr>
                  </pic:nvPicPr>
                  <pic:blipFill>
                    <a:blip r:embed="rId65"/>
                    <a:stretch>
                      <a:fillRect/>
                    </a:stretch>
                  </pic:blipFill>
                  <pic:spPr bwMode="auto">
                    <a:xfrm>
                      <a:off x="0" y="0"/>
                      <a:ext cx="5969000" cy="5073650"/>
                    </a:xfrm>
                    <a:prstGeom prst="rect">
                      <a:avLst/>
                    </a:prstGeom>
                    <a:noFill/>
                    <a:ln w="9525">
                      <a:noFill/>
                      <a:headEnd/>
                      <a:tailEnd/>
                    </a:ln>
                  </pic:spPr>
                </pic:pic>
              </a:graphicData>
            </a:graphic>
          </wp:inline>
        </w:drawing>
      </w:r>
    </w:p>
    <w:p>
      <w:pPr>
        <w:pStyle w:val="BodyText"/>
      </w:pPr>
      <w:r>
        <w:rPr>
          <w:bCs/>
          <w:b/>
        </w:rPr>
        <w:t xml:space="preserve">Figure 3-9: Time Profile Analysis</w:t>
      </w:r>
    </w:p>
    <w:p>
      <w:pPr>
        <w:pStyle w:val="BodyText"/>
      </w:pPr>
      <w:r>
        <w:t xml:space="preserve"> </w:t>
      </w:r>
    </w:p>
    <w:br w:type="page"/>
    <w:p>
      <w:pPr>
        <w:pStyle w:val="BodyText"/>
      </w:pPr>
      <w:bookmarkStart w:id="figure-3-10" w:name="figure-3-10"/>
      <w:bookmarkEnd w:id="figure-3-10"/>
    </w:p>
    <w:p>
      <w:pPr>
        <w:pStyle w:val="BodyText"/>
      </w:pPr>
      <w:r>
        <w:drawing>
          <wp:inline>
            <wp:extent cx="5969000" cy="5073650"/>
            <wp:effectExtent b="0" l="0" r="0" t="0"/>
            <wp:docPr descr="" title="" id="69" name="Picture"/>
            <a:graphic>
              <a:graphicData uri="http://schemas.openxmlformats.org/drawingml/2006/picture">
                <pic:pic>
                  <pic:nvPicPr>
                    <pic:cNvPr descr="images/006_section_results-and-discussion/009_section_ct-profiles/8_time_profile_plot_Triazolam_PO_0_125mg.png" id="70" name="Picture"/>
                    <pic:cNvPicPr>
                      <a:picLocks noChangeArrowheads="1" noChangeAspect="1"/>
                    </pic:cNvPicPr>
                  </pic:nvPicPr>
                  <pic:blipFill>
                    <a:blip r:embed="rId68"/>
                    <a:stretch>
                      <a:fillRect/>
                    </a:stretch>
                  </pic:blipFill>
                  <pic:spPr bwMode="auto">
                    <a:xfrm>
                      <a:off x="0" y="0"/>
                      <a:ext cx="5969000" cy="5073650"/>
                    </a:xfrm>
                    <a:prstGeom prst="rect">
                      <a:avLst/>
                    </a:prstGeom>
                    <a:noFill/>
                    <a:ln w="9525">
                      <a:noFill/>
                      <a:headEnd/>
                      <a:tailEnd/>
                    </a:ln>
                  </pic:spPr>
                </pic:pic>
              </a:graphicData>
            </a:graphic>
          </wp:inline>
        </w:drawing>
      </w:r>
    </w:p>
    <w:p>
      <w:pPr>
        <w:pStyle w:val="BodyText"/>
      </w:pPr>
      <w:r>
        <w:rPr>
          <w:bCs/>
          <w:b/>
        </w:rPr>
        <w:t xml:space="preserve">Figure 3-10: Time Profile Analysis 1</w:t>
      </w:r>
    </w:p>
    <w:p>
      <w:pPr>
        <w:pStyle w:val="BodyText"/>
      </w:pPr>
      <w:r>
        <w:t xml:space="preserve"> </w:t>
      </w:r>
    </w:p>
    <w:br w:type="page"/>
    <w:p>
      <w:pPr>
        <w:pStyle w:val="BodyText"/>
      </w:pPr>
      <w:bookmarkStart w:id="figure-3-11" w:name="figure-3-11"/>
      <w:bookmarkEnd w:id="figure-3-11"/>
    </w:p>
    <w:p>
      <w:pPr>
        <w:pStyle w:val="BodyText"/>
      </w:pPr>
      <w:r>
        <w:drawing>
          <wp:inline>
            <wp:extent cx="5969000" cy="8019948"/>
            <wp:effectExtent b="0" l="0" r="0" t="0"/>
            <wp:docPr descr="" title="" id="72" name="Picture"/>
            <a:graphic>
              <a:graphicData uri="http://schemas.openxmlformats.org/drawingml/2006/picture">
                <pic:pic>
                  <pic:nvPicPr>
                    <pic:cNvPr descr="images/006_section_results-and-discussion/009_section_ct-profiles/9_time_profile_plot_Triazolam_PO_0_25mg.png" id="73" name="Picture"/>
                    <pic:cNvPicPr>
                      <a:picLocks noChangeArrowheads="1" noChangeAspect="1"/>
                    </pic:cNvPicPr>
                  </pic:nvPicPr>
                  <pic:blipFill>
                    <a:blip r:embed="rId71"/>
                    <a:stretch>
                      <a:fillRect/>
                    </a:stretch>
                  </pic:blipFill>
                  <pic:spPr bwMode="auto">
                    <a:xfrm>
                      <a:off x="0" y="0"/>
                      <a:ext cx="5969000" cy="8019948"/>
                    </a:xfrm>
                    <a:prstGeom prst="rect">
                      <a:avLst/>
                    </a:prstGeom>
                    <a:noFill/>
                    <a:ln w="9525">
                      <a:noFill/>
                      <a:headEnd/>
                      <a:tailEnd/>
                    </a:ln>
                  </pic:spPr>
                </pic:pic>
              </a:graphicData>
            </a:graphic>
          </wp:inline>
        </w:drawing>
      </w:r>
    </w:p>
    <w:p>
      <w:pPr>
        <w:pStyle w:val="BodyText"/>
      </w:pPr>
      <w:r>
        <w:rPr>
          <w:bCs/>
          <w:b/>
        </w:rPr>
        <w:t xml:space="preserve">Figure 3-11: Time Profile Analysis</w:t>
      </w:r>
    </w:p>
    <w:p>
      <w:pPr>
        <w:pStyle w:val="BodyText"/>
      </w:pPr>
      <w:r>
        <w:t xml:space="preserve"> </w:t>
      </w:r>
    </w:p>
    <w:br w:type="page"/>
    <w:p>
      <w:pPr>
        <w:pStyle w:val="BodyText"/>
      </w:pPr>
      <w:bookmarkStart w:id="figure-3-12" w:name="figure-3-12"/>
      <w:bookmarkEnd w:id="figure-3-12"/>
    </w:p>
    <w:p>
      <w:pPr>
        <w:pStyle w:val="BodyText"/>
      </w:pPr>
      <w:r>
        <w:drawing>
          <wp:inline>
            <wp:extent cx="5969000" cy="8019948"/>
            <wp:effectExtent b="0" l="0" r="0" t="0"/>
            <wp:docPr descr="" title="" id="75" name="Picture"/>
            <a:graphic>
              <a:graphicData uri="http://schemas.openxmlformats.org/drawingml/2006/picture">
                <pic:pic>
                  <pic:nvPicPr>
                    <pic:cNvPr descr="images/006_section_results-and-discussion/009_section_ct-profiles/10_time_profile_plot_Triazolam_PO_0_25mg.png" id="76" name="Picture"/>
                    <pic:cNvPicPr>
                      <a:picLocks noChangeArrowheads="1" noChangeAspect="1"/>
                    </pic:cNvPicPr>
                  </pic:nvPicPr>
                  <pic:blipFill>
                    <a:blip r:embed="rId74"/>
                    <a:stretch>
                      <a:fillRect/>
                    </a:stretch>
                  </pic:blipFill>
                  <pic:spPr bwMode="auto">
                    <a:xfrm>
                      <a:off x="0" y="0"/>
                      <a:ext cx="5969000" cy="8019948"/>
                    </a:xfrm>
                    <a:prstGeom prst="rect">
                      <a:avLst/>
                    </a:prstGeom>
                    <a:noFill/>
                    <a:ln w="9525">
                      <a:noFill/>
                      <a:headEnd/>
                      <a:tailEnd/>
                    </a:ln>
                  </pic:spPr>
                </pic:pic>
              </a:graphicData>
            </a:graphic>
          </wp:inline>
        </w:drawing>
      </w:r>
    </w:p>
    <w:p>
      <w:pPr>
        <w:pStyle w:val="BodyText"/>
      </w:pPr>
      <w:r>
        <w:rPr>
          <w:bCs/>
          <w:b/>
        </w:rPr>
        <w:t xml:space="preserve">Figure 3-12: Time Profile Analysis 1</w:t>
      </w:r>
    </w:p>
    <w:p>
      <w:pPr>
        <w:pStyle w:val="BodyText"/>
      </w:pPr>
      <w:r>
        <w:t xml:space="preserve"> </w:t>
      </w:r>
    </w:p>
    <w:br w:type="page"/>
    <w:p>
      <w:pPr>
        <w:pStyle w:val="BodyText"/>
      </w:pPr>
      <w:bookmarkStart w:id="figure-3-13" w:name="figure-3-13"/>
      <w:bookmarkEnd w:id="figure-3-13"/>
    </w:p>
    <w:p>
      <w:pPr>
        <w:pStyle w:val="BodyText"/>
      </w:pPr>
      <w:r>
        <w:drawing>
          <wp:inline>
            <wp:extent cx="5969000" cy="5797092"/>
            <wp:effectExtent b="0" l="0" r="0" t="0"/>
            <wp:docPr descr="" title="" id="78" name="Picture"/>
            <a:graphic>
              <a:graphicData uri="http://schemas.openxmlformats.org/drawingml/2006/picture">
                <pic:pic>
                  <pic:nvPicPr>
                    <pic:cNvPr descr="images/006_section_results-and-discussion/009_section_ct-profiles/11_time_profile_plot_Triazolam_PO_0_5mg.png" id="79" name="Picture"/>
                    <pic:cNvPicPr>
                      <a:picLocks noChangeArrowheads="1" noChangeAspect="1"/>
                    </pic:cNvPicPr>
                  </pic:nvPicPr>
                  <pic:blipFill>
                    <a:blip r:embed="rId77"/>
                    <a:stretch>
                      <a:fillRect/>
                    </a:stretch>
                  </pic:blipFill>
                  <pic:spPr bwMode="auto">
                    <a:xfrm>
                      <a:off x="0" y="0"/>
                      <a:ext cx="5969000" cy="5797092"/>
                    </a:xfrm>
                    <a:prstGeom prst="rect">
                      <a:avLst/>
                    </a:prstGeom>
                    <a:noFill/>
                    <a:ln w="9525">
                      <a:noFill/>
                      <a:headEnd/>
                      <a:tailEnd/>
                    </a:ln>
                  </pic:spPr>
                </pic:pic>
              </a:graphicData>
            </a:graphic>
          </wp:inline>
        </w:drawing>
      </w:r>
    </w:p>
    <w:p>
      <w:pPr>
        <w:pStyle w:val="BodyText"/>
      </w:pPr>
      <w:r>
        <w:rPr>
          <w:bCs/>
          <w:b/>
        </w:rPr>
        <w:t xml:space="preserve">Figure 3-13: Time Profile Analysis</w:t>
      </w:r>
    </w:p>
    <w:p>
      <w:pPr>
        <w:pStyle w:val="BodyText"/>
      </w:pPr>
      <w:r>
        <w:t xml:space="preserve"> </w:t>
      </w:r>
    </w:p>
    <w:br w:type="page"/>
    <w:p>
      <w:pPr>
        <w:pStyle w:val="BodyText"/>
      </w:pPr>
      <w:bookmarkStart w:id="figure-3-14" w:name="figure-3-14"/>
      <w:bookmarkEnd w:id="figure-3-14"/>
    </w:p>
    <w:p>
      <w:pPr>
        <w:pStyle w:val="BodyText"/>
      </w:pPr>
      <w:r>
        <w:drawing>
          <wp:inline>
            <wp:extent cx="5969000" cy="5797092"/>
            <wp:effectExtent b="0" l="0" r="0" t="0"/>
            <wp:docPr descr="" title="" id="81" name="Picture"/>
            <a:graphic>
              <a:graphicData uri="http://schemas.openxmlformats.org/drawingml/2006/picture">
                <pic:pic>
                  <pic:nvPicPr>
                    <pic:cNvPr descr="images/006_section_results-and-discussion/009_section_ct-profiles/12_time_profile_plot_Triazolam_PO_0_5mg.png" id="82" name="Picture"/>
                    <pic:cNvPicPr>
                      <a:picLocks noChangeArrowheads="1" noChangeAspect="1"/>
                    </pic:cNvPicPr>
                  </pic:nvPicPr>
                  <pic:blipFill>
                    <a:blip r:embed="rId80"/>
                    <a:stretch>
                      <a:fillRect/>
                    </a:stretch>
                  </pic:blipFill>
                  <pic:spPr bwMode="auto">
                    <a:xfrm>
                      <a:off x="0" y="0"/>
                      <a:ext cx="5969000" cy="5797092"/>
                    </a:xfrm>
                    <a:prstGeom prst="rect">
                      <a:avLst/>
                    </a:prstGeom>
                    <a:noFill/>
                    <a:ln w="9525">
                      <a:noFill/>
                      <a:headEnd/>
                      <a:tailEnd/>
                    </a:ln>
                  </pic:spPr>
                </pic:pic>
              </a:graphicData>
            </a:graphic>
          </wp:inline>
        </w:drawing>
      </w:r>
    </w:p>
    <w:p>
      <w:pPr>
        <w:pStyle w:val="BodyText"/>
      </w:pPr>
      <w:r>
        <w:rPr>
          <w:bCs/>
          <w:b/>
        </w:rPr>
        <w:t xml:space="preserve">Figure 3-14: Time Profile Analysis 1</w:t>
      </w:r>
    </w:p>
    <w:p>
      <w:pPr>
        <w:pStyle w:val="BodyText"/>
      </w:pPr>
      <w:r>
        <w:t xml:space="preserve"> </w:t>
      </w:r>
    </w:p>
    <w:bookmarkEnd w:id="83"/>
    <w:bookmarkEnd w:id="84"/>
    <w:bookmarkStart w:id="85" w:name="conclusion"/>
    <w:p>
      <w:pPr>
        <w:pStyle w:val="Heading1"/>
      </w:pPr>
      <w:r>
        <w:t xml:space="preserve">Conclusion</w:t>
      </w:r>
      <w:bookmarkStart w:id="conclusion" w:name="conclusion"/>
      <w:bookmarkEnd w:id="conclusion"/>
    </w:p>
    <w:p>
      <w:pPr>
        <w:pStyle w:val="FirstParagraph"/>
      </w:pPr>
      <w:r>
        <w:t xml:space="preserve">The final triazolam PBPK model applies metabolism by CYP3A4, modelled as two separate pathways yielding α-hydroxy-triazolam and 4-hydroxy-triazolam as metabolites. Overall, the model adequately describes the observed PK of triazolam in healthy, non-obese adults receiving different single IV or PO doses of triazolam. The model is deemed fit for purpose to be applied as victim drug for the investigation of CYP3A4 drug-drug interactions.</w:t>
      </w:r>
    </w:p>
    <w:bookmarkEnd w:id="85"/>
    <w:bookmarkStart w:id="86" w:name="references"/>
    <w:p>
      <w:pPr>
        <w:pStyle w:val="Heading1"/>
      </w:pPr>
      <w:r>
        <w:t xml:space="preserve">References</w:t>
      </w:r>
      <w:bookmarkStart w:id="main-references" w:name="main-references"/>
      <w:bookmarkEnd w:id="main-references"/>
    </w:p>
    <w:p>
      <w:pPr>
        <w:pStyle w:val="FirstParagraph"/>
      </w:pPr>
      <w:r>
        <w:rPr>
          <w:bCs/>
          <w:b/>
        </w:rPr>
        <w:t xml:space="preserve">drugbank.ca</w:t>
      </w:r>
      <w:r>
        <w:t xml:space="preserve">. (https://www.drugbank.ca/drugs/DB00897), accessed on 11-19-2019.</w:t>
      </w:r>
    </w:p>
    <w:p>
      <w:pPr>
        <w:pStyle w:val="BodyText"/>
      </w:pPr>
      <w:r>
        <w:rPr>
          <w:bCs/>
          <w:b/>
        </w:rPr>
        <w:t xml:space="preserve">Eberts 1981</w:t>
      </w:r>
      <w:r>
        <w:t xml:space="preserve"> </w:t>
      </w:r>
      <w:r>
        <w:t xml:space="preserve">Eberts FS Jr, Philopoulos Y, Reineke LM, Vliek RW. Triazolam disposition.</w:t>
      </w:r>
      <w:r>
        <w:t xml:space="preserve"> </w:t>
      </w:r>
      <w:r>
        <w:rPr>
          <w:iCs/>
          <w:i/>
        </w:rPr>
        <w:t xml:space="preserve">Clin Pharmacol Ther</w:t>
      </w:r>
      <w:r>
        <w:t xml:space="preserve"> </w:t>
      </w:r>
      <w:r>
        <w:t xml:space="preserve">1981, 29(1): 81-93.</w:t>
      </w:r>
    </w:p>
    <w:p>
      <w:pPr>
        <w:pStyle w:val="BodyText"/>
      </w:pPr>
      <w:r>
        <w:rPr>
          <w:bCs/>
          <w:b/>
        </w:rPr>
        <w:t xml:space="preserve">Friedman 1986</w:t>
      </w:r>
      <w:r>
        <w:t xml:space="preserve"> </w:t>
      </w:r>
      <w:r>
        <w:t xml:space="preserve">Friedman H, Greenblatt DJ, Burstein ES, Harmatz JS, Shader RI. Population study of triazolam pharmacokinetics.</w:t>
      </w:r>
      <w:r>
        <w:t xml:space="preserve"> </w:t>
      </w:r>
      <w:r>
        <w:rPr>
          <w:iCs/>
          <w:i/>
        </w:rPr>
        <w:t xml:space="preserve">Br J Clin Pharmacol</w:t>
      </w:r>
      <w:r>
        <w:t xml:space="preserve"> </w:t>
      </w:r>
      <w:r>
        <w:t xml:space="preserve">1986, 22(6): 639-642.</w:t>
      </w:r>
    </w:p>
    <w:p>
      <w:pPr>
        <w:pStyle w:val="BodyText"/>
      </w:pPr>
      <w:r>
        <w:rPr>
          <w:bCs/>
          <w:b/>
        </w:rPr>
        <w:t xml:space="preserve">Friedman 1988</w:t>
      </w:r>
      <w:r>
        <w:t xml:space="preserve"> </w:t>
      </w:r>
      <w:r>
        <w:t xml:space="preserve">Friedman H, Greenblatt DJ, Burstein ES, Scavone JM, Harmatz JS, Shader RI. kinetics: interaction with cimetidine, propranolol, and the combination.</w:t>
      </w:r>
      <w:r>
        <w:t xml:space="preserve"> </w:t>
      </w:r>
      <w:r>
        <w:rPr>
          <w:iCs/>
          <w:i/>
        </w:rPr>
        <w:t xml:space="preserve">J Clin Pharmacol</w:t>
      </w:r>
      <w:r>
        <w:t xml:space="preserve"> </w:t>
      </w:r>
      <w:r>
        <w:t xml:space="preserve">1988, 28(3): 228-233.</w:t>
      </w:r>
    </w:p>
    <w:p>
      <w:pPr>
        <w:pStyle w:val="BodyText"/>
      </w:pPr>
      <w:r>
        <w:rPr>
          <w:bCs/>
          <w:b/>
        </w:rPr>
        <w:t xml:space="preserve">Greenblatt 1983a</w:t>
      </w:r>
      <w:r>
        <w:t xml:space="preserve"> </w:t>
      </w:r>
      <w:r>
        <w:t xml:space="preserve">Greenblatt DJ, Arendt RM, Abernethy DR, Giles HG, Sellers EM, Shader RI. In vitro quantitation of benzodiazepine lipophilicity: relation to in vivo distribution.</w:t>
      </w:r>
      <w:r>
        <w:t xml:space="preserve"> </w:t>
      </w:r>
      <w:r>
        <w:rPr>
          <w:iCs/>
          <w:i/>
        </w:rPr>
        <w:t xml:space="preserve">Br J Anaesth</w:t>
      </w:r>
      <w:r>
        <w:t xml:space="preserve"> </w:t>
      </w:r>
      <w:r>
        <w:t xml:space="preserve">1983, 55(10): 985-989.</w:t>
      </w:r>
    </w:p>
    <w:p>
      <w:pPr>
        <w:pStyle w:val="BodyText"/>
      </w:pPr>
      <w:r>
        <w:rPr>
          <w:bCs/>
          <w:b/>
        </w:rPr>
        <w:t xml:space="preserve">Greenblatt 1983</w:t>
      </w:r>
      <w:r>
        <w:t xml:space="preserve"> </w:t>
      </w:r>
      <w:r>
        <w:t xml:space="preserve">Greenblatt DJ, Divoll M, Abernethy DR, Moschitto LJ, Smith RB, Shader RI. Reduced clearance of triazolam in old age: relation to antipyrine oxidizing capacity.</w:t>
      </w:r>
      <w:r>
        <w:t xml:space="preserve"> </w:t>
      </w:r>
      <w:r>
        <w:rPr>
          <w:iCs/>
          <w:i/>
        </w:rPr>
        <w:t xml:space="preserve">Br J Clin Pharmacol</w:t>
      </w:r>
      <w:r>
        <w:t xml:space="preserve"> </w:t>
      </w:r>
      <w:r>
        <w:t xml:space="preserve">1983, 15(3): 303-309.</w:t>
      </w:r>
    </w:p>
    <w:p>
      <w:pPr>
        <w:pStyle w:val="BodyText"/>
      </w:pPr>
      <w:r>
        <w:rPr>
          <w:bCs/>
          <w:b/>
        </w:rPr>
        <w:t xml:space="preserve">Greenblatt 1989</w:t>
      </w:r>
      <w:r>
        <w:t xml:space="preserve"> </w:t>
      </w:r>
      <w:r>
        <w:t xml:space="preserve">Greenblatt DJ, Harmatz JS, Engelhardt N, Shader RI. Pharmacokinetic determinants of dynamic differences among three benzodiazepine hypnotics. Flurazepam, temazepam, and triazolam.</w:t>
      </w:r>
      <w:r>
        <w:t xml:space="preserve"> </w:t>
      </w:r>
      <w:r>
        <w:rPr>
          <w:iCs/>
          <w:i/>
        </w:rPr>
        <w:t xml:space="preserve">Arch Gen Psychiatry</w:t>
      </w:r>
      <w:r>
        <w:t xml:space="preserve"> </w:t>
      </w:r>
      <w:r>
        <w:t xml:space="preserve">1989, 46(4): 326-332.</w:t>
      </w:r>
    </w:p>
    <w:p>
      <w:pPr>
        <w:pStyle w:val="BodyText"/>
      </w:pPr>
      <w:r>
        <w:rPr>
          <w:bCs/>
          <w:b/>
        </w:rPr>
        <w:t xml:space="preserve">Greenblatt 1991</w:t>
      </w:r>
      <w:r>
        <w:t xml:space="preserve"> </w:t>
      </w:r>
      <w:r>
        <w:t xml:space="preserve">Greenblatt DJ, Harmatz JS, Shapiro L, Engelhardt N, Gouthro TA, Shader RI. Sensitivity to triazolam in the elderly.</w:t>
      </w:r>
      <w:r>
        <w:t xml:space="preserve"> </w:t>
      </w:r>
      <w:r>
        <w:rPr>
          <w:iCs/>
          <w:i/>
        </w:rPr>
        <w:t xml:space="preserve">N Engl J Med</w:t>
      </w:r>
      <w:r>
        <w:t xml:space="preserve"> </w:t>
      </w:r>
      <w:r>
        <w:t xml:space="preserve">1991, 324(24): 1691-1698.</w:t>
      </w:r>
    </w:p>
    <w:p>
      <w:pPr>
        <w:pStyle w:val="BodyText"/>
      </w:pPr>
      <w:r>
        <w:rPr>
          <w:bCs/>
          <w:b/>
        </w:rPr>
        <w:t xml:space="preserve">Greenblatt 2000</w:t>
      </w:r>
      <w:r>
        <w:t xml:space="preserve"> </w:t>
      </w:r>
      <w:r>
        <w:t xml:space="preserve">Greenblatt DJ, Harmatz JS, von Moltke LL, Wright CE, Durol AL, Harrel-Joseph LM, Shader RI. Comparative kinetics and response to the benzodiazepine agonists triazolam and zolpidem: evaluation of sex-dependent differences.</w:t>
      </w:r>
      <w:r>
        <w:t xml:space="preserve"> </w:t>
      </w:r>
      <w:r>
        <w:rPr>
          <w:iCs/>
          <w:i/>
        </w:rPr>
        <w:t xml:space="preserve">J Pharmacol Exp Ther</w:t>
      </w:r>
      <w:r>
        <w:t xml:space="preserve"> </w:t>
      </w:r>
      <w:r>
        <w:t xml:space="preserve">2000, 293(2): 435-443.</w:t>
      </w:r>
    </w:p>
    <w:p>
      <w:pPr>
        <w:pStyle w:val="BodyText"/>
      </w:pPr>
      <w:r>
        <w:rPr>
          <w:bCs/>
          <w:b/>
        </w:rPr>
        <w:t xml:space="preserve">Greenblatt 2004</w:t>
      </w:r>
      <w:r>
        <w:t xml:space="preserve"> </w:t>
      </w:r>
      <w:r>
        <w:t xml:space="preserve">Greenblatt DJ, Harmatz JS, von Moltke LL, Wright CE, Shader RI. Age and gender effects on the pharmacokinetics and pharmacodynamics of triazolam, a cytochrome P450 3A substrate.</w:t>
      </w:r>
      <w:r>
        <w:t xml:space="preserve"> </w:t>
      </w:r>
      <w:r>
        <w:rPr>
          <w:iCs/>
          <w:i/>
        </w:rPr>
        <w:t xml:space="preserve">Clin Pharmacol Ther</w:t>
      </w:r>
      <w:r>
        <w:t xml:space="preserve"> </w:t>
      </w:r>
      <w:r>
        <w:t xml:space="preserve">2004, 76(5): 467-479.</w:t>
      </w:r>
    </w:p>
    <w:p>
      <w:pPr>
        <w:pStyle w:val="BodyText"/>
      </w:pPr>
      <w:r>
        <w:rPr>
          <w:bCs/>
          <w:b/>
        </w:rPr>
        <w:t xml:space="preserve">Hukkinen 1995</w:t>
      </w:r>
      <w:r>
        <w:t xml:space="preserve"> </w:t>
      </w:r>
      <w:r>
        <w:t xml:space="preserve">Hukkinen SK, Varhe A, Olkkola KT, Neuvonen PJ. Plasma concentrations of triazolam are increased by concomitant ingestion of grapefruit juice.</w:t>
      </w:r>
      <w:r>
        <w:t xml:space="preserve"> </w:t>
      </w:r>
      <w:r>
        <w:rPr>
          <w:iCs/>
          <w:i/>
        </w:rPr>
        <w:t xml:space="preserve">Clin Pharmacol Ther</w:t>
      </w:r>
      <w:r>
        <w:t xml:space="preserve"> </w:t>
      </w:r>
      <w:r>
        <w:t xml:space="preserve">1995, 58(2): 127-131.</w:t>
      </w:r>
    </w:p>
    <w:p>
      <w:pPr>
        <w:pStyle w:val="BodyText"/>
      </w:pPr>
      <w:r>
        <w:rPr>
          <w:bCs/>
          <w:b/>
        </w:rPr>
        <w:t xml:space="preserve">Jochemsen 1983</w:t>
      </w:r>
      <w:r>
        <w:t xml:space="preserve"> </w:t>
      </w:r>
      <w:r>
        <w:t xml:space="preserve">Jochemsen R, Wesselman JG, van Boxtel CJ, Hermans J, Breimer DD. Comparative pharmacokinetics of brotizolam and triazolam in healthy subjects.</w:t>
      </w:r>
      <w:r>
        <w:t xml:space="preserve"> </w:t>
      </w:r>
      <w:r>
        <w:rPr>
          <w:iCs/>
          <w:i/>
        </w:rPr>
        <w:t xml:space="preserve">Br J Clin Pharmacol</w:t>
      </w:r>
      <w:r>
        <w:t xml:space="preserve"> </w:t>
      </w:r>
      <w:r>
        <w:t xml:space="preserve">1983, 16 Suppl 2: 291S-297S.</w:t>
      </w:r>
    </w:p>
    <w:p>
      <w:pPr>
        <w:pStyle w:val="BodyText"/>
      </w:pPr>
      <w:r>
        <w:rPr>
          <w:bCs/>
          <w:b/>
        </w:rPr>
        <w:t xml:space="preserve">Konishi 1982</w:t>
      </w:r>
      <w:r>
        <w:t xml:space="preserve"> </w:t>
      </w:r>
      <w:r>
        <w:t xml:space="preserve">Konishi M, Hirai K, Mori Y. Kinetics and mechanism of the equilibrium reaction of triazolam in aqueous solution.</w:t>
      </w:r>
      <w:r>
        <w:t xml:space="preserve"> </w:t>
      </w:r>
      <w:r>
        <w:rPr>
          <w:iCs/>
          <w:i/>
        </w:rPr>
        <w:t xml:space="preserve">J Pharm Sci</w:t>
      </w:r>
      <w:r>
        <w:t xml:space="preserve"> </w:t>
      </w:r>
      <w:r>
        <w:t xml:space="preserve">1982, 71(12): 1328-1334.</w:t>
      </w:r>
    </w:p>
    <w:p>
      <w:pPr>
        <w:pStyle w:val="BodyText"/>
      </w:pPr>
      <w:r>
        <w:rPr>
          <w:bCs/>
          <w:b/>
        </w:rPr>
        <w:t xml:space="preserve">Kroboth 1995</w:t>
      </w:r>
      <w:r>
        <w:t xml:space="preserve"> </w:t>
      </w:r>
      <w:r>
        <w:t xml:space="preserve">Kroboth PD, McAuley JW, Kroboth FJ, Bertz RJ, Smith RB. Triazolam pharmacokinetics after intravenous, oral, and sublingual administration.</w:t>
      </w:r>
      <w:r>
        <w:t xml:space="preserve"> </w:t>
      </w:r>
      <w:r>
        <w:rPr>
          <w:iCs/>
          <w:i/>
        </w:rPr>
        <w:t xml:space="preserve">J Clin Psychopharmacol</w:t>
      </w:r>
      <w:r>
        <w:t xml:space="preserve"> </w:t>
      </w:r>
      <w:r>
        <w:t xml:space="preserve">1995, 15(4): 259-262.</w:t>
      </w:r>
    </w:p>
    <w:p>
      <w:pPr>
        <w:pStyle w:val="BodyText"/>
      </w:pPr>
      <w:r>
        <w:rPr>
          <w:bCs/>
          <w:b/>
        </w:rPr>
        <w:t xml:space="preserve">Kronbach 1989</w:t>
      </w:r>
      <w:r>
        <w:t xml:space="preserve"> </w:t>
      </w:r>
      <w:r>
        <w:t xml:space="preserve">Kronbach T, Mathys D, Umeno M, Gonzalez FJ, Meyer UA. Oxidation of midazolam and triazolam by human liver cytochrome P450IIIA4.</w:t>
      </w:r>
      <w:r>
        <w:t xml:space="preserve"> </w:t>
      </w:r>
      <w:r>
        <w:rPr>
          <w:iCs/>
          <w:i/>
        </w:rPr>
        <w:t xml:space="preserve">Mol Pharmacol</w:t>
      </w:r>
      <w:r>
        <w:t xml:space="preserve"> </w:t>
      </w:r>
      <w:r>
        <w:t xml:space="preserve">1989, 36(1): 89-96.</w:t>
      </w:r>
    </w:p>
    <w:p>
      <w:pPr>
        <w:pStyle w:val="BodyText"/>
      </w:pPr>
      <w:r>
        <w:rPr>
          <w:bCs/>
          <w:b/>
        </w:rPr>
        <w:t xml:space="preserve">Kuepfer 2016</w:t>
      </w:r>
      <w:r>
        <w:t xml:space="preserve"> </w:t>
      </w:r>
      <w:r>
        <w:t xml:space="preserve">Kuepfer L, Niederalt C, Wendl T, Schlender JF, Willmann S, Lippert J, Block M, Eissing T, Teutonico D. Applied concepts in PBPK modeling: how to build a PBPK/PD model.</w:t>
      </w:r>
      <w:r>
        <w:t xml:space="preserve"> </w:t>
      </w:r>
      <w:r>
        <w:rPr>
          <w:iCs/>
          <w:i/>
        </w:rPr>
        <w:t xml:space="preserve">CPT Pharmacometrics Syst Pharmacol</w:t>
      </w:r>
      <w:r>
        <w:t xml:space="preserve"> </w:t>
      </w:r>
      <w:r>
        <w:t xml:space="preserve">2016, 5(10): 516-531.</w:t>
      </w:r>
    </w:p>
    <w:p>
      <w:pPr>
        <w:pStyle w:val="BodyText"/>
      </w:pPr>
      <w:r>
        <w:rPr>
          <w:bCs/>
          <w:b/>
        </w:rPr>
        <w:t xml:space="preserve">Lilja 2000</w:t>
      </w:r>
      <w:r>
        <w:t xml:space="preserve"> </w:t>
      </w:r>
      <w:r>
        <w:t xml:space="preserve">Lilja JJ, Kivistö KT, Backman JT, Neuvonen PJ. Effect of grapefruit juice dose on grapefruit juice-triazolam interaction: repeated consumption prolongs triazolam half-life.</w:t>
      </w:r>
      <w:r>
        <w:t xml:space="preserve"> </w:t>
      </w:r>
      <w:r>
        <w:rPr>
          <w:iCs/>
          <w:i/>
        </w:rPr>
        <w:t xml:space="preserve">Eur J Clin Pharmacol</w:t>
      </w:r>
      <w:r>
        <w:t xml:space="preserve"> </w:t>
      </w:r>
      <w:r>
        <w:t xml:space="preserve">2000, 56(5): 411-415.</w:t>
      </w:r>
    </w:p>
    <w:p>
      <w:pPr>
        <w:pStyle w:val="BodyText"/>
      </w:pPr>
      <w:r>
        <w:rPr>
          <w:bCs/>
          <w:b/>
        </w:rPr>
        <w:t xml:space="preserve">O’Connor-Semmes 2001</w:t>
      </w:r>
      <w:r>
        <w:t xml:space="preserve"> </w:t>
      </w:r>
      <w:r>
        <w:t xml:space="preserve">O’Connor-Semmes RL, Kersey K, Williams DH, Lam R, Koch KM. Effect of ranitidine on the pharmacokinetics of triazolam and alpha-hydroxytriazolam in both young (19-60 years) and older (61-78 years) people.</w:t>
      </w:r>
      <w:r>
        <w:t xml:space="preserve"> </w:t>
      </w:r>
      <w:r>
        <w:rPr>
          <w:iCs/>
          <w:i/>
        </w:rPr>
        <w:t xml:space="preserve">Clin Pharmacol Ther</w:t>
      </w:r>
      <w:r>
        <w:t xml:space="preserve"> </w:t>
      </w:r>
      <w:r>
        <w:t xml:space="preserve">2001, 70(2): 126-131.</w:t>
      </w:r>
    </w:p>
    <w:p>
      <w:pPr>
        <w:pStyle w:val="BodyText"/>
      </w:pPr>
      <w:r>
        <w:rPr>
          <w:bCs/>
          <w:b/>
        </w:rPr>
        <w:t xml:space="preserve">Ochs 1984</w:t>
      </w:r>
      <w:r>
        <w:t xml:space="preserve"> </w:t>
      </w:r>
      <w:r>
        <w:t xml:space="preserve">Ochs HR, Greenblatt DJ, Arendt RM, Hübbel W, Shader RI. Pharmacokinetic noninteraction of triazolam and ethanol.</w:t>
      </w:r>
      <w:r>
        <w:t xml:space="preserve"> </w:t>
      </w:r>
      <w:r>
        <w:rPr>
          <w:iCs/>
          <w:i/>
        </w:rPr>
        <w:t xml:space="preserve">J Clin Psychopharmacol</w:t>
      </w:r>
      <w:r>
        <w:t xml:space="preserve"> </w:t>
      </w:r>
      <w:r>
        <w:t xml:space="preserve">1984, 4(2): 106-107.</w:t>
      </w:r>
    </w:p>
    <w:p>
      <w:pPr>
        <w:pStyle w:val="BodyText"/>
      </w:pPr>
      <w:r>
        <w:rPr>
          <w:bCs/>
          <w:b/>
        </w:rPr>
        <w:t xml:space="preserve">Ochs 1987</w:t>
      </w:r>
      <w:r>
        <w:t xml:space="preserve"> </w:t>
      </w:r>
      <w:r>
        <w:t xml:space="preserve">Ochs HR, Greenblatt DJ, Burstein ES. Lack of influence of cigarette smoking on triazolam pharmacokinetics.</w:t>
      </w:r>
      <w:r>
        <w:t xml:space="preserve"> </w:t>
      </w:r>
      <w:r>
        <w:rPr>
          <w:iCs/>
          <w:i/>
        </w:rPr>
        <w:t xml:space="preserve">Br J Clin Pharmacol</w:t>
      </w:r>
      <w:r>
        <w:t xml:space="preserve"> </w:t>
      </w:r>
      <w:r>
        <w:t xml:space="preserve">1987, 23(6): 759-763.</w:t>
      </w:r>
    </w:p>
    <w:p>
      <w:pPr>
        <w:pStyle w:val="BodyText"/>
      </w:pPr>
      <w:r>
        <w:rPr>
          <w:bCs/>
          <w:b/>
        </w:rPr>
        <w:t xml:space="preserve">Open Systems Pharmacology Documentation</w:t>
      </w:r>
      <w:r>
        <w:t xml:space="preserve">. (https://docs.open-systems-pharmacology.org/), accessed on 07-30-2019.</w:t>
      </w:r>
    </w:p>
    <w:p>
      <w:pPr>
        <w:pStyle w:val="BodyText"/>
      </w:pPr>
      <w:r>
        <w:rPr>
          <w:bCs/>
          <w:b/>
        </w:rPr>
        <w:t xml:space="preserve">Phillips 1986</w:t>
      </w:r>
      <w:r>
        <w:t xml:space="preserve"> </w:t>
      </w:r>
      <w:r>
        <w:t xml:space="preserve">Phillips JP, Antal EJ, Smith RB. A pharmacokinetic drug interaction between erythromycin and triazolam.</w:t>
      </w:r>
      <w:r>
        <w:t xml:space="preserve"> </w:t>
      </w:r>
      <w:r>
        <w:rPr>
          <w:iCs/>
          <w:i/>
        </w:rPr>
        <w:t xml:space="preserve">J Clin Psychopharmacol</w:t>
      </w:r>
      <w:r>
        <w:t xml:space="preserve"> </w:t>
      </w:r>
      <w:r>
        <w:t xml:space="preserve">1986, 6(5): 297-299.</w:t>
      </w:r>
    </w:p>
    <w:p>
      <w:pPr>
        <w:pStyle w:val="BodyText"/>
      </w:pPr>
      <w:r>
        <w:rPr>
          <w:bCs/>
          <w:b/>
        </w:rPr>
        <w:t xml:space="preserve">PK-Sim Ontogeny Database Version 7.3</w:t>
      </w:r>
      <w:r>
        <w:t xml:space="preserve">. (https://github.com/Open-Systems-Pharmacology/OSPSuite.Documentation/blob/38cf71b384cfc25cfa0ce4d2f3addfd32757e13b/PK-Sim%20Ontogeny%20Database%20Version%207.3.pdf), accessed on 07-30-2019.</w:t>
      </w:r>
    </w:p>
    <w:p>
      <w:pPr>
        <w:pStyle w:val="BodyText"/>
      </w:pPr>
      <w:r>
        <w:rPr>
          <w:bCs/>
          <w:b/>
        </w:rPr>
        <w:t xml:space="preserve">Smith 1987</w:t>
      </w:r>
      <w:r>
        <w:t xml:space="preserve"> </w:t>
      </w:r>
      <w:r>
        <w:t xml:space="preserve">Smith RB, Kroboth PD, Varner PD. Pharmacodynamics of triazolam after intravenous administration.</w:t>
      </w:r>
      <w:r>
        <w:t xml:space="preserve"> </w:t>
      </w:r>
      <w:r>
        <w:rPr>
          <w:iCs/>
          <w:i/>
        </w:rPr>
        <w:t xml:space="preserve">J Clin Pharmacol</w:t>
      </w:r>
      <w:r>
        <w:t xml:space="preserve"> </w:t>
      </w:r>
      <w:r>
        <w:t xml:space="preserve">1987, 27(12): 971-979.</w:t>
      </w:r>
    </w:p>
    <w:p>
      <w:pPr>
        <w:pStyle w:val="BodyText"/>
      </w:pPr>
      <w:r>
        <w:rPr>
          <w:bCs/>
          <w:b/>
        </w:rPr>
        <w:t xml:space="preserve">Varhe 1994</w:t>
      </w:r>
      <w:r>
        <w:t xml:space="preserve"> </w:t>
      </w:r>
      <w:r>
        <w:t xml:space="preserve">Varhe A, Olkkola KT, Neuvonen PJ. Oral triazolam is potentially hazardous to patients receiving systemic antimycotics ketoconazole or itraconazole.</w:t>
      </w:r>
      <w:r>
        <w:t xml:space="preserve"> </w:t>
      </w:r>
      <w:r>
        <w:rPr>
          <w:iCs/>
          <w:i/>
        </w:rPr>
        <w:t xml:space="preserve">Clin Pharmacol Ther</w:t>
      </w:r>
      <w:r>
        <w:t xml:space="preserve"> </w:t>
      </w:r>
      <w:r>
        <w:t xml:space="preserve">1994, 56(6 Pt 1): 601-607.</w:t>
      </w:r>
    </w:p>
    <w:p>
      <w:pPr>
        <w:pStyle w:val="BodyText"/>
      </w:pPr>
      <w:r>
        <w:rPr>
          <w:bCs/>
          <w:b/>
        </w:rPr>
        <w:t xml:space="preserve">Varhe 1996a</w:t>
      </w:r>
      <w:r>
        <w:t xml:space="preserve"> </w:t>
      </w:r>
      <w:r>
        <w:t xml:space="preserve">Varhe A, Olkkola KT, Neuvonen PJ. Fluconazole, but not terbinafine, enhances the effects of triazolam by inhibiting its metabolism.</w:t>
      </w:r>
      <w:r>
        <w:t xml:space="preserve"> </w:t>
      </w:r>
      <w:r>
        <w:rPr>
          <w:iCs/>
          <w:i/>
        </w:rPr>
        <w:t xml:space="preserve">Br J Clin Pharmacol</w:t>
      </w:r>
      <w:r>
        <w:t xml:space="preserve"> </w:t>
      </w:r>
      <w:r>
        <w:t xml:space="preserve">1996, 41(4): 319-323.</w:t>
      </w:r>
    </w:p>
    <w:p>
      <w:pPr>
        <w:pStyle w:val="BodyText"/>
      </w:pPr>
      <w:r>
        <w:rPr>
          <w:bCs/>
          <w:b/>
        </w:rPr>
        <w:t xml:space="preserve">Varhe 1996b</w:t>
      </w:r>
      <w:r>
        <w:t xml:space="preserve"> </w:t>
      </w:r>
      <w:r>
        <w:t xml:space="preserve">Varhe A, Olkkola KT, Neuvonen PJ. Diltiazem enhances the effects of triazolam by inhibiting its metabolism.</w:t>
      </w:r>
      <w:r>
        <w:t xml:space="preserve"> </w:t>
      </w:r>
      <w:r>
        <w:rPr>
          <w:iCs/>
          <w:i/>
        </w:rPr>
        <w:t xml:space="preserve">Clin Pharmacol Ther</w:t>
      </w:r>
      <w:r>
        <w:t xml:space="preserve"> </w:t>
      </w:r>
      <w:r>
        <w:t xml:space="preserve">1996, 59(4): 369-375.</w:t>
      </w:r>
    </w:p>
    <w:p>
      <w:pPr>
        <w:pStyle w:val="BodyText"/>
      </w:pPr>
      <w:r>
        <w:rPr>
          <w:bCs/>
          <w:b/>
        </w:rPr>
        <w:t xml:space="preserve">Varhe 1996c</w:t>
      </w:r>
      <w:r>
        <w:t xml:space="preserve"> </w:t>
      </w:r>
      <w:r>
        <w:t xml:space="preserve">Varhe A, Olkkola KT, Neuvonen PJ. Effect of fluconazole dose on the extent of fluconazole-triazolam interaction.</w:t>
      </w:r>
      <w:r>
        <w:t xml:space="preserve"> </w:t>
      </w:r>
      <w:r>
        <w:rPr>
          <w:iCs/>
          <w:i/>
        </w:rPr>
        <w:t xml:space="preserve">Br J Clin Pharmacol</w:t>
      </w:r>
      <w:r>
        <w:t xml:space="preserve"> </w:t>
      </w:r>
      <w:r>
        <w:t xml:space="preserve">1996, 42(4): 465-470.</w:t>
      </w:r>
    </w:p>
    <w:p>
      <w:pPr>
        <w:pStyle w:val="BodyText"/>
      </w:pPr>
      <w:r>
        <w:rPr>
          <w:bCs/>
          <w:b/>
        </w:rPr>
        <w:t xml:space="preserve">Villikka 1997</w:t>
      </w:r>
      <w:r>
        <w:t xml:space="preserve"> </w:t>
      </w:r>
      <w:r>
        <w:t xml:space="preserve">Villikka K, Kivistö KT, Backman JT, Olkkola KT, Neuvonen PJ. Triazolam is ineffective in patients taking rifampin.</w:t>
      </w:r>
      <w:r>
        <w:t xml:space="preserve"> </w:t>
      </w:r>
      <w:r>
        <w:rPr>
          <w:iCs/>
          <w:i/>
        </w:rPr>
        <w:t xml:space="preserve">Clin Pharmacol Ther</w:t>
      </w:r>
      <w:r>
        <w:t xml:space="preserve"> </w:t>
      </w:r>
      <w:r>
        <w:t xml:space="preserve">1997, 61(1): 8-14.</w:t>
      </w:r>
    </w:p>
    <w:p>
      <w:pPr>
        <w:pStyle w:val="BodyText"/>
      </w:pPr>
      <w:r>
        <w:rPr>
          <w:bCs/>
          <w:b/>
        </w:rPr>
        <w:t xml:space="preserve">Villikka 1998</w:t>
      </w:r>
      <w:r>
        <w:t xml:space="preserve"> </w:t>
      </w:r>
      <w:r>
        <w:t xml:space="preserve">Villikka K, Kivistö KT, Neuvonen PJ. The effect of dexamethasone on the pharmacokinetics of triazolam.</w:t>
      </w:r>
      <w:r>
        <w:t xml:space="preserve"> </w:t>
      </w:r>
      <w:r>
        <w:rPr>
          <w:iCs/>
          <w:i/>
        </w:rPr>
        <w:t xml:space="preserve">Pharmacol Toxicol</w:t>
      </w:r>
      <w:r>
        <w:t xml:space="preserve"> </w:t>
      </w:r>
      <w:r>
        <w:t xml:space="preserve">1998, 83(3): 135-138.</w:t>
      </w:r>
    </w:p>
    <w:p>
      <w:pPr>
        <w:pStyle w:val="BodyText"/>
      </w:pPr>
      <w:r>
        <w:rPr>
          <w:bCs/>
          <w:b/>
        </w:rPr>
        <w:t xml:space="preserve">von Moltke 1996</w:t>
      </w:r>
      <w:r>
        <w:t xml:space="preserve"> </w:t>
      </w:r>
      <w:r>
        <w:t xml:space="preserve">von Moltke LL, Greenblatt DJ, Harmatz JS, Duan SX, Harrel LM, Cotreau-Bibbo MM, Pritchard GA, Wright CE, Shader RI. Triazolam biotransformation by human liver microsomes in vitro: effects of metabolic inhibitors and clinical confirmation of a predicted interaction with ketoconazole.</w:t>
      </w:r>
      <w:r>
        <w:t xml:space="preserve"> </w:t>
      </w:r>
      <w:r>
        <w:rPr>
          <w:iCs/>
          <w:i/>
        </w:rPr>
        <w:t xml:space="preserve">J Pharmacol Exp Ther</w:t>
      </w:r>
      <w:r>
        <w:t xml:space="preserve"> </w:t>
      </w:r>
      <w:r>
        <w:t xml:space="preserve">1996, 276(2): 370-379.</w:t>
      </w:r>
    </w:p>
    <w:p>
      <w:pPr>
        <w:pStyle w:val="BodyText"/>
      </w:pPr>
      <w:r>
        <w:rPr>
          <w:bCs/>
          <w:b/>
        </w:rPr>
        <w:t xml:space="preserve">Willmann 2007</w:t>
      </w:r>
      <w:r>
        <w:t xml:space="preserve"> </w:t>
      </w:r>
      <w:r>
        <w:t xml:space="preserve">Willmann S, Höhn K, Edginton A, Sevestre M, Solodenko J, Weiss W, Lippert J, Schmitt W. Development of a physiology-based whole-body population model for assessing the influence of individual variability on the pharmacokinetics of drugs.</w:t>
      </w:r>
      <w:r>
        <w:t xml:space="preserve"> </w:t>
      </w:r>
      <w:r>
        <w:rPr>
          <w:iCs/>
          <w:i/>
        </w:rPr>
        <w:t xml:space="preserve">J Pharmacokinet Pharmacodyn</w:t>
      </w:r>
      <w:r>
        <w:t xml:space="preserve"> </w:t>
      </w:r>
      <w:r>
        <w:t xml:space="preserve">2007, 34(3): 401-431.</w:t>
      </w:r>
    </w:p>
    <w:bookmarkEnd w:id="86"/>
    <w:sectPr w:rsidR="00B470D9">
      <w:headerReference r:id="rId9" w:type="default"/>
      <w:footerReference r:id="rId10" w:type="default"/>
      <w:pgSz w:h="15840" w:w="12240"/>
      <w:pgMar w:bottom="1134"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720" w:rsidRDefault="00237720">
    <w:pPr>
      <w:pStyle w:val="Footer"/>
      <w:jc w:val="center"/>
    </w:pPr>
  </w:p>
  <w:p w:rsidR="00237720" w:rsidRDefault="0023772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620381891"/>
      <w:docPartObj>
        <w:docPartGallery w:val="Page Numbers (Top of Page)"/>
        <w:docPartUnique/>
      </w:docPartObj>
    </w:sdtPr>
    <w:sdtEndPr/>
    <w:sdtContent>
      <w:p w:rsidR="000F07F1" w:rsidRPr="007E2361" w:rsidRDefault="000F07F1" w:rsidP="000F07F1">
        <w:pPr>
          <w:pStyle w:val="Header"/>
          <w:jc w:val="right"/>
          <w:rPr>
            <w:rFonts w:ascii="Times New Roman" w:hAnsi="Times New Roman" w:cs="Times New Roman"/>
          </w:rPr>
        </w:pPr>
        <w:r w:rsidRPr="007E2361">
          <w:rPr>
            <w:rFonts w:ascii="Times New Roman" w:hAnsi="Times New Roman" w:cs="Times New Roman"/>
            <w:lang w:val="de-DE"/>
          </w:rPr>
          <w:t xml:space="preserve">Page </w:t>
        </w:r>
        <w:r w:rsidRPr="007E2361">
          <w:rPr>
            <w:rFonts w:ascii="Times New Roman" w:hAnsi="Times New Roman" w:cs="Times New Roman"/>
          </w:rPr>
          <w:fldChar w:fldCharType="begin"/>
        </w:r>
        <w:r w:rsidRPr="007E2361">
          <w:rPr>
            <w:rFonts w:ascii="Times New Roman" w:hAnsi="Times New Roman" w:cs="Times New Roman"/>
          </w:rPr>
          <w:instrText>PAGE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rPr>
          <w:fldChar w:fldCharType="end"/>
        </w:r>
        <w:r w:rsidRPr="007E2361">
          <w:rPr>
            <w:rFonts w:ascii="Times New Roman" w:hAnsi="Times New Roman" w:cs="Times New Roman"/>
            <w:lang w:val="de-DE"/>
          </w:rPr>
          <w:t xml:space="preserve"> of </w:t>
        </w:r>
        <w:r w:rsidRPr="007E2361">
          <w:rPr>
            <w:rFonts w:ascii="Times New Roman" w:hAnsi="Times New Roman" w:cs="Times New Roman"/>
          </w:rPr>
          <w:fldChar w:fldCharType="begin"/>
        </w:r>
        <w:r w:rsidRPr="007E2361">
          <w:rPr>
            <w:rFonts w:ascii="Times New Roman" w:hAnsi="Times New Roman" w:cs="Times New Roman"/>
          </w:rPr>
          <w:instrText>NUMPAGES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lang w:val="de-DE"/>
          </w:rPr>
          <w:fldChar w:fldCharType="end"/>
        </w:r>
      </w:p>
    </w:sdtContent>
  </w:sdt>
  <w:p w:rsidR="000F07F1" w:rsidRDefault="000F07F1">
    <w:pPr>
      <w:pStyle w:val="Header"/>
    </w:pPr>
  </w:p>
</w:hdr>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52D2BCA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AD6823F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FD149514"/>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EB28122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966F83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9746C57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51D6116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6DCFC3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8EB43C6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3B06E4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E7ACBA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E6E7027"/>
    <w:multiLevelType w:val="multilevel"/>
    <w:tmpl w:val="CFB603AE"/>
    <w:styleLink w:val="REVersuch2"/>
    <w:lvl w:ilvl="0">
      <w:start w:val="1"/>
      <w:numFmt w:val="decimal"/>
      <w:lvlText w:val="%1"/>
      <w:lvlJc w:val="left"/>
      <w:pPr>
        <w:ind w:hanging="360" w:left="360"/>
      </w:pPr>
      <w:rPr>
        <w:rFonts w:hint="default"/>
      </w:rPr>
    </w:lvl>
    <w:lvl w:ilvl="1">
      <w:start w:val="1"/>
      <w:numFmt w:val="decimal"/>
      <w:lvlText w:val="%1.%2"/>
      <w:lvlJc w:val="left"/>
      <w:pPr>
        <w:ind w:hanging="360" w:left="720"/>
      </w:pPr>
      <w:rPr>
        <w:rFonts w:hint="default"/>
      </w:rPr>
    </w:lvl>
    <w:lvl w:ilvl="2">
      <w:start w:val="1"/>
      <w:numFmt w:val="decimal"/>
      <w:lvlText w:val="%1.%2.%3"/>
      <w:lvlJc w:val="left"/>
      <w:pPr>
        <w:ind w:hanging="360" w:left="1080"/>
      </w:pPr>
      <w:rPr>
        <w:rFonts w:hint="default"/>
      </w:rPr>
    </w:lvl>
    <w:lvl w:ilvl="3">
      <w:start w:val="1"/>
      <w:numFmt w:val="decimal"/>
      <w:lvlText w:val="%1.%2.%3.%4"/>
      <w:lvlJc w:val="left"/>
      <w:pPr>
        <w:ind w:hanging="360" w:left="1440"/>
      </w:pPr>
      <w:rPr>
        <w:rFonts w:hint="default"/>
      </w:rPr>
    </w:lvl>
    <w:lvl w:ilvl="4">
      <w:start w:val="1"/>
      <w:numFmt w:val="decimal"/>
      <w:lvlText w:val="%1.%2.%3.%4.%5"/>
      <w:lvlJc w:val="left"/>
      <w:pPr>
        <w:ind w:hanging="360" w:left="1800"/>
      </w:pPr>
      <w:rPr>
        <w:rFonts w:hint="default"/>
      </w:rPr>
    </w:lvl>
    <w:lvl w:ilvl="5">
      <w:start w:val="1"/>
      <w:numFmt w:val="decimal"/>
      <w:lvlText w:val="%1.%2.%3.%4.%5.%6"/>
      <w:lvlJc w:val="left"/>
      <w:pPr>
        <w:ind w:hanging="360" w:left="2160"/>
      </w:pPr>
      <w:rPr>
        <w:rFonts w:hint="default"/>
      </w:rPr>
    </w:lvl>
    <w:lvl w:ilvl="6">
      <w:start w:val="1"/>
      <w:numFmt w:val="decimal"/>
      <w:lvlText w:val="%1.%2.%3.%4.%5.%6.%7"/>
      <w:lvlJc w:val="left"/>
      <w:pPr>
        <w:ind w:hanging="360" w:left="2520"/>
      </w:pPr>
      <w:rPr>
        <w:rFonts w:hint="default"/>
      </w:rPr>
    </w:lvl>
    <w:lvl w:ilvl="7">
      <w:start w:val="1"/>
      <w:numFmt w:val="decimal"/>
      <w:lvlText w:val="%1.%2.%3.%4.%5.%6.%7.%8"/>
      <w:lvlJc w:val="left"/>
      <w:pPr>
        <w:ind w:hanging="360" w:left="2880"/>
      </w:pPr>
      <w:rPr>
        <w:rFonts w:hint="default"/>
      </w:rPr>
    </w:lvl>
    <w:lvl w:ilvl="8">
      <w:start w:val="1"/>
      <w:numFmt w:val="decimal"/>
      <w:lvlText w:val="%1.%2.%3.%4.%5.%6.%7.%8.%9"/>
      <w:lvlJc w:val="left"/>
      <w:pPr>
        <w:ind w:hanging="360" w:left="3240"/>
      </w:pPr>
      <w:rPr>
        <w:rFonts w:hint="default"/>
      </w:rPr>
    </w:lvl>
  </w:abstractNum>
  <w:abstractNum w15:restartNumberingAfterBreak="0" w:abstractNumId="12">
    <w:nsid w:val="2F4367A2"/>
    <w:multiLevelType w:val="hybridMultilevel"/>
    <w:tmpl w:val="0E94A3F2"/>
    <w:lvl w:ilvl="0" w:tplc="6FFEDB94">
      <w:start w:val="1"/>
      <w:numFmt w:val="decimal"/>
      <w:lvlText w:val="Figure %1: "/>
      <w:lvlJc w:val="left"/>
      <w:pPr>
        <w:ind w:hanging="360" w:left="720"/>
      </w:pPr>
      <w:rPr>
        <w:rFonts w:hint="default"/>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3">
    <w:nsid w:val="439D272C"/>
    <w:multiLevelType w:val="multilevel"/>
    <w:tmpl w:val="5E8A4980"/>
    <w:lvl w:ilvl="0">
      <w:start w:val="1"/>
      <w:numFmt w:val="decimal"/>
      <w:pStyle w:val="Heading1"/>
      <w:lvlText w:val="%1"/>
      <w:lvlJc w:val="left"/>
      <w:pPr>
        <w:ind w:hanging="1134" w:left="1134"/>
      </w:pPr>
      <w:rPr>
        <w:rFonts w:hint="default"/>
      </w:rPr>
    </w:lvl>
    <w:lvl w:ilvl="1">
      <w:start w:val="1"/>
      <w:numFmt w:val="decimal"/>
      <w:pStyle w:val="Heading2"/>
      <w:lvlText w:val="%1.%2"/>
      <w:lvlJc w:val="left"/>
      <w:pPr>
        <w:ind w:hanging="1134" w:left="1134"/>
      </w:pPr>
      <w:rPr>
        <w:rFonts w:hint="default"/>
      </w:rPr>
    </w:lvl>
    <w:lvl w:ilvl="2">
      <w:start w:val="1"/>
      <w:numFmt w:val="decimal"/>
      <w:pStyle w:val="Heading3"/>
      <w:lvlText w:val="%1.%2.%3"/>
      <w:lvlJc w:val="left"/>
      <w:pPr>
        <w:ind w:hanging="1134" w:left="1134"/>
      </w:pPr>
      <w:rPr>
        <w:rFonts w:hint="default"/>
      </w:rPr>
    </w:lvl>
    <w:lvl w:ilvl="3">
      <w:start w:val="1"/>
      <w:numFmt w:val="decimal"/>
      <w:pStyle w:val="Heading4"/>
      <w:lvlText w:val="%1.%2.%3.%4"/>
      <w:lvlJc w:val="left"/>
      <w:pPr>
        <w:ind w:hanging="1134" w:left="1134"/>
      </w:pPr>
      <w:rPr>
        <w:rFonts w:hint="default"/>
      </w:rPr>
    </w:lvl>
    <w:lvl w:ilvl="4">
      <w:start w:val="1"/>
      <w:numFmt w:val="decimal"/>
      <w:pStyle w:val="Heading5"/>
      <w:lvlText w:val="%1.%2.%3.%4.%5"/>
      <w:lvlJc w:val="left"/>
      <w:pPr>
        <w:ind w:hanging="1134" w:left="1134"/>
      </w:pPr>
      <w:rPr>
        <w:rFonts w:hint="default"/>
      </w:rPr>
    </w:lvl>
    <w:lvl w:ilvl="5">
      <w:start w:val="1"/>
      <w:numFmt w:val="decimal"/>
      <w:pStyle w:val="Heading6"/>
      <w:lvlText w:val="%1.%2.%3.%4.%5.%6"/>
      <w:lvlJc w:val="left"/>
      <w:pPr>
        <w:ind w:hanging="1134" w:left="1134"/>
      </w:pPr>
      <w:rPr>
        <w:rFonts w:hint="default"/>
      </w:rPr>
    </w:lvl>
    <w:lvl w:ilvl="6">
      <w:start w:val="1"/>
      <w:numFmt w:val="decimal"/>
      <w:pStyle w:val="Heading7"/>
      <w:lvlText w:val="%1.%2.%3.%4.%5.%6.%7"/>
      <w:lvlJc w:val="left"/>
      <w:pPr>
        <w:ind w:hanging="1134" w:left="1134"/>
      </w:pPr>
      <w:rPr>
        <w:rFonts w:hint="default"/>
      </w:rPr>
    </w:lvl>
    <w:lvl w:ilvl="7">
      <w:start w:val="1"/>
      <w:numFmt w:val="decimal"/>
      <w:pStyle w:val="Heading8"/>
      <w:lvlText w:val="%1.%2.%3.%4.%5.%6.%7.%8"/>
      <w:lvlJc w:val="left"/>
      <w:pPr>
        <w:ind w:hanging="1134" w:left="1134"/>
      </w:pPr>
      <w:rPr>
        <w:rFonts w:hint="default"/>
      </w:rPr>
    </w:lvl>
    <w:lvl w:ilvl="8">
      <w:start w:val="1"/>
      <w:numFmt w:val="decimal"/>
      <w:pStyle w:val="Heading9"/>
      <w:lvlText w:val="%1.%2.%3.%4.%5.%6.%7.%8.%9"/>
      <w:lvlJc w:val="left"/>
      <w:pPr>
        <w:ind w:hanging="1134" w:left="1134"/>
      </w:pPr>
      <w:rPr>
        <w:rFonts w:hint="default"/>
      </w:rPr>
    </w:lvl>
  </w:abstractNum>
  <w:abstractNum w15:restartNumberingAfterBreak="0" w:abstractNumId="14">
    <w:nsid w:val="4E027060"/>
    <w:multiLevelType w:val="hybridMultilevel"/>
    <w:tmpl w:val="BDE6AA42"/>
    <w:lvl w:ilvl="0" w:tplc="9976DFBA">
      <w:start w:val="1"/>
      <w:numFmt w:val="decimal"/>
      <w:lvlText w:val="Table %1: "/>
      <w:lvlJc w:val="left"/>
      <w:pPr>
        <w:ind w:hanging="360" w:left="720"/>
      </w:pPr>
      <w:rPr>
        <w:rFonts w:hint="default"/>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5">
    <w:nsid w:val="57675838"/>
    <w:multiLevelType w:val="multilevel"/>
    <w:tmpl w:val="CFB603AE"/>
    <w:numStyleLink w:val="REVersuch2"/>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5"/>
  </w:num>
  <w:num w:numId="14">
    <w:abstractNumId w:val="13"/>
  </w:num>
  <w:num w:numId="15">
    <w:abstractNumId w:val="12"/>
  </w:num>
  <w:num w:numId="16">
    <w:abstractNumId w:val="14"/>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style>
  <w:style w:styleId="Heading1" w:type="paragraph">
    <w:name w:val="heading 1"/>
    <w:basedOn w:val="Normal"/>
    <w:next w:val="BodyText"/>
    <w:uiPriority w:val="9"/>
    <w:qFormat/>
    <w:rsid w:val="00DF4C3C"/>
    <w:pPr>
      <w:keepNext/>
      <w:keepLines/>
      <w:pageBreakBefore/>
      <w:numPr>
        <w:numId w:val="14"/>
      </w:numPr>
      <w:spacing w:after="0" w:before="480"/>
      <w:outlineLvl w:val="0"/>
    </w:pPr>
    <w:rPr>
      <w:rFonts w:ascii="Times New Roman" w:cstheme="majorBidi" w:eastAsiaTheme="majorEastAsia" w:hAnsi="Times New Roman"/>
      <w:b/>
      <w:bCs/>
      <w:sz w:val="28"/>
      <w:szCs w:val="32"/>
    </w:rPr>
  </w:style>
  <w:style w:styleId="Heading2" w:type="paragraph">
    <w:name w:val="heading 2"/>
    <w:basedOn w:val="Normal"/>
    <w:next w:val="BodyText"/>
    <w:uiPriority w:val="9"/>
    <w:unhideWhenUsed/>
    <w:qFormat/>
    <w:rsid w:val="00D500C1"/>
    <w:pPr>
      <w:keepNext/>
      <w:keepLines/>
      <w:numPr>
        <w:ilvl w:val="1"/>
        <w:numId w:val="14"/>
      </w:numPr>
      <w:spacing w:after="0" w:before="200"/>
      <w:outlineLvl w:val="1"/>
    </w:pPr>
    <w:rPr>
      <w:rFonts w:ascii="Times New Roman" w:cstheme="majorBidi" w:eastAsiaTheme="majorEastAsia" w:hAnsi="Times New Roman"/>
      <w:b/>
      <w:bCs/>
      <w:sz w:val="26"/>
      <w:szCs w:val="28"/>
    </w:rPr>
  </w:style>
  <w:style w:styleId="Heading3" w:type="paragraph">
    <w:name w:val="heading 3"/>
    <w:basedOn w:val="Normal"/>
    <w:next w:val="BodyText"/>
    <w:uiPriority w:val="9"/>
    <w:unhideWhenUsed/>
    <w:qFormat/>
    <w:rsid w:val="00D500C1"/>
    <w:pPr>
      <w:keepNext/>
      <w:keepLines/>
      <w:numPr>
        <w:ilvl w:val="2"/>
        <w:numId w:val="14"/>
      </w:numPr>
      <w:spacing w:after="0" w:before="200"/>
      <w:outlineLvl w:val="2"/>
    </w:pPr>
    <w:rPr>
      <w:rFonts w:ascii="Times New Roman" w:cstheme="majorBidi" w:eastAsiaTheme="majorEastAsia" w:hAnsi="Times New Roman"/>
      <w:b/>
      <w:bCs/>
      <w:sz w:val="26"/>
    </w:rPr>
  </w:style>
  <w:style w:styleId="Heading4" w:type="paragraph">
    <w:name w:val="heading 4"/>
    <w:basedOn w:val="Normal"/>
    <w:next w:val="BodyText"/>
    <w:uiPriority w:val="9"/>
    <w:unhideWhenUsed/>
    <w:qFormat/>
    <w:rsid w:val="00D500C1"/>
    <w:pPr>
      <w:keepNext/>
      <w:keepLines/>
      <w:numPr>
        <w:ilvl w:val="3"/>
        <w:numId w:val="14"/>
      </w:numPr>
      <w:spacing w:after="0" w:before="200"/>
      <w:outlineLvl w:val="3"/>
    </w:pPr>
    <w:rPr>
      <w:rFonts w:ascii="Times New Roman" w:cstheme="majorBidi" w:eastAsiaTheme="majorEastAsia" w:hAnsi="Times New Roman"/>
      <w:b/>
      <w:bCs/>
      <w:sz w:val="26"/>
    </w:rPr>
  </w:style>
  <w:style w:styleId="Heading5" w:type="paragraph">
    <w:name w:val="heading 5"/>
    <w:basedOn w:val="Normal"/>
    <w:next w:val="BodyText"/>
    <w:uiPriority w:val="9"/>
    <w:unhideWhenUsed/>
    <w:qFormat/>
    <w:rsid w:val="00D500C1"/>
    <w:pPr>
      <w:keepNext/>
      <w:keepLines/>
      <w:numPr>
        <w:ilvl w:val="4"/>
        <w:numId w:val="14"/>
      </w:numPr>
      <w:spacing w:after="0" w:before="200"/>
      <w:outlineLvl w:val="4"/>
    </w:pPr>
    <w:rPr>
      <w:rFonts w:ascii="Times New Roman" w:cstheme="majorBidi" w:eastAsiaTheme="majorEastAsia" w:hAnsi="Times New Roman"/>
      <w:b/>
      <w:iCs/>
      <w:sz w:val="26"/>
    </w:rPr>
  </w:style>
  <w:style w:styleId="Heading6" w:type="paragraph">
    <w:name w:val="heading 6"/>
    <w:basedOn w:val="Normal"/>
    <w:next w:val="BodyText"/>
    <w:uiPriority w:val="9"/>
    <w:unhideWhenUsed/>
    <w:qFormat/>
    <w:rsid w:val="00D500C1"/>
    <w:pPr>
      <w:keepNext/>
      <w:keepLines/>
      <w:numPr>
        <w:ilvl w:val="5"/>
        <w:numId w:val="14"/>
      </w:numPr>
      <w:spacing w:after="0" w:before="200"/>
      <w:outlineLvl w:val="5"/>
    </w:pPr>
    <w:rPr>
      <w:rFonts w:ascii="Times New Roman" w:cstheme="majorBidi" w:eastAsiaTheme="majorEastAsia" w:hAnsi="Times New Roman"/>
      <w:b/>
      <w:sz w:val="26"/>
    </w:rPr>
  </w:style>
  <w:style w:styleId="Heading7" w:type="paragraph">
    <w:name w:val="heading 7"/>
    <w:basedOn w:val="Normal"/>
    <w:next w:val="BodyText"/>
    <w:uiPriority w:val="9"/>
    <w:unhideWhenUsed/>
    <w:qFormat/>
    <w:rsid w:val="00D500C1"/>
    <w:pPr>
      <w:keepNext/>
      <w:keepLines/>
      <w:numPr>
        <w:ilvl w:val="6"/>
        <w:numId w:val="14"/>
      </w:numPr>
      <w:spacing w:after="0" w:before="200"/>
      <w:outlineLvl w:val="6"/>
    </w:pPr>
    <w:rPr>
      <w:rFonts w:ascii="Times New Roman" w:cstheme="majorBidi" w:eastAsiaTheme="majorEastAsia" w:hAnsi="Times New Roman"/>
      <w:b/>
      <w:sz w:val="26"/>
    </w:rPr>
  </w:style>
  <w:style w:styleId="Heading8" w:type="paragraph">
    <w:name w:val="heading 8"/>
    <w:basedOn w:val="Normal"/>
    <w:next w:val="BodyText"/>
    <w:uiPriority w:val="9"/>
    <w:unhideWhenUsed/>
    <w:qFormat/>
    <w:rsid w:val="00D500C1"/>
    <w:pPr>
      <w:keepNext/>
      <w:keepLines/>
      <w:numPr>
        <w:ilvl w:val="7"/>
        <w:numId w:val="14"/>
      </w:numPr>
      <w:spacing w:after="0" w:before="200"/>
      <w:outlineLvl w:val="7"/>
    </w:pPr>
    <w:rPr>
      <w:rFonts w:ascii="Times New Roman" w:cstheme="majorBidi" w:eastAsiaTheme="majorEastAsia" w:hAnsi="Times New Roman"/>
      <w:b/>
      <w:sz w:val="26"/>
    </w:rPr>
  </w:style>
  <w:style w:styleId="Heading9" w:type="paragraph">
    <w:name w:val="heading 9"/>
    <w:basedOn w:val="Normal"/>
    <w:next w:val="BodyText"/>
    <w:uiPriority w:val="9"/>
    <w:unhideWhenUsed/>
    <w:qFormat/>
    <w:rsid w:val="00D500C1"/>
    <w:pPr>
      <w:keepNext/>
      <w:keepLines/>
      <w:numPr>
        <w:ilvl w:val="8"/>
        <w:numId w:val="14"/>
      </w:numPr>
      <w:spacing w:after="0" w:before="200"/>
      <w:outlineLvl w:val="8"/>
    </w:pPr>
    <w:rPr>
      <w:rFonts w:ascii="Times New Roman" w:cstheme="majorBidi" w:eastAsiaTheme="majorEastAsia" w:hAnsi="Times New Roman"/>
      <w:b/>
      <w:sz w:val="26"/>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B034F3"/>
    <w:pPr>
      <w:spacing w:after="180" w:before="180" w:line="360" w:lineRule="auto"/>
    </w:pPr>
    <w:rPr>
      <w:rFonts w:ascii="Arial" w:hAnsi="Arial"/>
      <w:sz w:val="20"/>
    </w:rPr>
  </w:style>
  <w:style w:customStyle="1" w:styleId="FirstParagraph" w:type="paragraph">
    <w:name w:val="First Paragraph"/>
    <w:basedOn w:val="BodyText"/>
    <w:next w:val="BodyText"/>
    <w:autoRedefine/>
    <w:qFormat/>
    <w:rsid w:val="008D31A4"/>
  </w:style>
  <w:style w:customStyle="1" w:styleId="Compact" w:type="paragraph">
    <w:name w:val="Compact"/>
    <w:basedOn w:val="BodyText"/>
    <w:autoRedefine/>
    <w:qFormat/>
    <w:rsid w:val="008D31A4"/>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8D31A4"/>
    <w:pPr>
      <w:keepNext/>
      <w:keepLines/>
      <w:jc w:val="center"/>
    </w:pPr>
    <w:rPr>
      <w:rFonts w:ascii="Arial" w:hAnsi="Arial"/>
    </w:rPr>
  </w:style>
  <w:style w:styleId="Date" w:type="paragraph">
    <w:name w:val="Date"/>
    <w:next w:val="BodyText"/>
    <w:autoRedefine/>
    <w:qFormat/>
    <w:rsid w:val="008D31A4"/>
    <w:pPr>
      <w:keepNext/>
      <w:keepLines/>
      <w:jc w:val="center"/>
    </w:pPr>
    <w:rPr>
      <w:rFonts w:ascii="Arial" w:hAnsi="Arial"/>
    </w:rPr>
  </w:style>
  <w:style w:customStyle="1" w:styleId="Abstract" w:type="paragraph">
    <w:name w:val="Abstract"/>
    <w:basedOn w:val="Normal"/>
    <w:next w:val="BodyText"/>
    <w:autoRedefine/>
    <w:qFormat/>
    <w:rsid w:val="008D31A4"/>
    <w:pPr>
      <w:keepNext/>
      <w:keepLines/>
      <w:spacing w:after="300" w:before="300"/>
      <w:jc w:val="both"/>
    </w:pPr>
    <w:rPr>
      <w:rFonts w:ascii="Arial" w:hAnsi="Arial"/>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basedOn w:val="GridTable1Light"/>
    <w:semiHidden/>
    <w:unhideWhenUsed/>
    <w:qFormat/>
    <w:rsid w:val="008F3A26"/>
    <w:rPr>
      <w:rFonts w:ascii="Arial" w:hAnsi="Arial"/>
      <w:sz w:val="20"/>
      <w:szCs w:val="20"/>
      <w:lang w:eastAsia="en-CA" w:val="en-CA"/>
    </w:rPr>
    <w:tblPr/>
    <w:tcPr>
      <w:vAlign w:val="center"/>
    </w:tcPr>
    <w:tblStylePr w:type="firstRow">
      <w:rPr>
        <w:b/>
        <w:bCs/>
      </w:rPr>
      <w:tblPr/>
      <w:tcPr>
        <w:tcBorders>
          <w:bottom w:color="666666" w:space="0" w:sz="12" w:themeColor="text1" w:themeTint="99" w:val="single"/>
        </w:tcBorders>
      </w:tcPr>
    </w:tblStylePr>
    <w:tblStylePr w:type="lastRow">
      <w:rPr>
        <w:b w:val="0"/>
        <w:bCs/>
      </w:rPr>
      <w:tblPr/>
      <w:tcPr>
        <w:tcBorders>
          <w:top w:color="BFBFBF" w:space="0" w:sz="4" w:themeColor="background1" w:themeShade="BF" w:val="single"/>
        </w:tcBorders>
      </w:tcPr>
    </w:tblStylePr>
    <w:tblStylePr w:type="firstCol">
      <w:rPr>
        <w:b/>
        <w:bCs/>
      </w:rPr>
    </w:tblStylePr>
    <w:tblStylePr w:type="lastCol">
      <w:rPr>
        <w:b w:val="0"/>
        <w:bCs/>
      </w:rPr>
    </w:tblStylePr>
    <w:tblStylePr w:type="swCell">
      <w:rPr>
        <w:b/>
      </w:r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CB69FF"/>
    <w:pPr>
      <w:keepNext/>
      <w:spacing w:before="120"/>
    </w:pPr>
    <w:rPr>
      <w:rFonts w:ascii="Arial" w:hAnsi="Arial"/>
      <w:b/>
      <w:i w:val="0"/>
      <w:sz w:val="20"/>
    </w:rPr>
  </w:style>
  <w:style w:customStyle="1" w:styleId="ImageCaption" w:type="paragraph">
    <w:name w:val="Image Caption"/>
    <w:basedOn w:val="Caption"/>
    <w:rsid w:val="00CB69FF"/>
    <w:rPr>
      <w:rFonts w:ascii="Arial" w:hAnsi="Arial"/>
      <w:b/>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styleId="FootnoteReference" w:type="character">
    <w:name w:val="footnote reference"/>
    <w:basedOn w:val="CaptionChar"/>
    <w:rPr>
      <w:vertAlign w:val="superscript"/>
    </w:rPr>
  </w:style>
  <w:style w:styleId="Hyperlink" w:type="character">
    <w:name w:val="Hyperlink"/>
    <w:uiPriority w:val="99"/>
    <w:rsid w:val="007E2361"/>
    <w:rPr>
      <w:color w:val="0000FF"/>
    </w:rPr>
  </w:style>
  <w:style w:styleId="TOCHeading" w:type="paragraph">
    <w:name w:val="TOC Heading"/>
    <w:aliases w:val="RE_TableOfContent"/>
    <w:next w:val="BodyText"/>
    <w:uiPriority w:val="39"/>
    <w:unhideWhenUsed/>
    <w:qFormat/>
    <w:rsid w:val="00D500C1"/>
    <w:pPr>
      <w:spacing w:before="240" w:line="259" w:lineRule="auto"/>
    </w:pPr>
    <w:rPr>
      <w:rFonts w:ascii="Times New Roman" w:cstheme="majorBidi" w:eastAsiaTheme="majorEastAsia" w:hAnsi="Times New Roman"/>
      <w:b/>
      <w:szCs w:val="32"/>
    </w:rPr>
  </w:style>
  <w:style w:styleId="Header" w:type="paragraph">
    <w:name w:val="header"/>
    <w:basedOn w:val="Normal"/>
    <w:link w:val="HeaderChar"/>
    <w:unhideWhenUsed/>
    <w:rsid w:val="00237720"/>
    <w:pPr>
      <w:tabs>
        <w:tab w:pos="4536" w:val="center"/>
        <w:tab w:pos="9072" w:val="right"/>
      </w:tabs>
      <w:spacing w:after="0"/>
    </w:pPr>
  </w:style>
  <w:style w:customStyle="1" w:styleId="HeaderChar" w:type="character">
    <w:name w:val="Header Char"/>
    <w:basedOn w:val="DefaultParagraphFont"/>
    <w:link w:val="Header"/>
    <w:rsid w:val="00237720"/>
  </w:style>
  <w:style w:styleId="Footer" w:type="paragraph">
    <w:name w:val="footer"/>
    <w:basedOn w:val="Normal"/>
    <w:link w:val="FooterChar"/>
    <w:uiPriority w:val="99"/>
    <w:unhideWhenUsed/>
    <w:rsid w:val="00237720"/>
    <w:pPr>
      <w:tabs>
        <w:tab w:pos="4536" w:val="center"/>
        <w:tab w:pos="9072" w:val="right"/>
      </w:tabs>
      <w:spacing w:after="0"/>
    </w:pPr>
  </w:style>
  <w:style w:customStyle="1" w:styleId="FooterChar" w:type="character">
    <w:name w:val="Footer Char"/>
    <w:basedOn w:val="DefaultParagraphFont"/>
    <w:link w:val="Footer"/>
    <w:uiPriority w:val="99"/>
    <w:rsid w:val="00237720"/>
  </w:style>
  <w:style w:customStyle="1" w:styleId="REVersuch2" w:type="numbering">
    <w:name w:val="RE_Versuch_2"/>
    <w:uiPriority w:val="99"/>
    <w:rsid w:val="00F5435A"/>
    <w:pPr>
      <w:numPr>
        <w:numId w:val="12"/>
      </w:numPr>
    </w:pPr>
  </w:style>
  <w:style w:customStyle="1" w:styleId="BodyTextChar" w:type="character">
    <w:name w:val="Body Text Char"/>
    <w:basedOn w:val="DefaultParagraphFont"/>
    <w:link w:val="BodyText"/>
    <w:rsid w:val="00B034F3"/>
    <w:rPr>
      <w:rFonts w:ascii="Arial" w:hAnsi="Arial"/>
      <w:sz w:val="20"/>
    </w:rPr>
  </w:style>
  <w:style w:styleId="TOC2" w:type="paragraph">
    <w:name w:val="toc 2"/>
    <w:basedOn w:val="Normal"/>
    <w:next w:val="Normal"/>
    <w:autoRedefine/>
    <w:uiPriority w:val="39"/>
    <w:unhideWhenUsed/>
    <w:rsid w:val="00F45D3A"/>
    <w:pPr>
      <w:tabs>
        <w:tab w:pos="880" w:val="left"/>
        <w:tab w:leader="dot" w:pos="9396" w:val="right"/>
      </w:tabs>
      <w:spacing w:after="0"/>
      <w:ind w:hanging="624" w:left="624" w:right="284"/>
    </w:pPr>
    <w:rPr>
      <w:rFonts w:ascii="Times New Roman" w:hAnsi="Times New Roman"/>
      <w:color w:val="0000FF"/>
    </w:rPr>
  </w:style>
  <w:style w:styleId="TOC1" w:type="paragraph">
    <w:name w:val="toc 1"/>
    <w:basedOn w:val="Normal"/>
    <w:next w:val="Normal"/>
    <w:autoRedefine/>
    <w:uiPriority w:val="39"/>
    <w:unhideWhenUsed/>
    <w:rsid w:val="00F45D3A"/>
    <w:pPr>
      <w:spacing w:after="0" w:before="120"/>
      <w:ind w:hanging="425" w:left="425" w:right="284"/>
    </w:pPr>
    <w:rPr>
      <w:rFonts w:ascii="Times New Roman" w:hAnsi="Times New Roman"/>
      <w:b/>
      <w:color w:val="0000FF"/>
    </w:rPr>
  </w:style>
  <w:style w:styleId="TOC3" w:type="paragraph">
    <w:name w:val="toc 3"/>
    <w:basedOn w:val="Normal"/>
    <w:next w:val="Normal"/>
    <w:autoRedefine/>
    <w:uiPriority w:val="39"/>
    <w:unhideWhenUsed/>
    <w:rsid w:val="00F45D3A"/>
    <w:pPr>
      <w:tabs>
        <w:tab w:pos="1320" w:val="left"/>
        <w:tab w:leader="dot" w:pos="9396" w:val="right"/>
      </w:tabs>
      <w:spacing w:after="0"/>
      <w:ind w:hanging="822" w:left="822" w:right="284"/>
    </w:pPr>
    <w:rPr>
      <w:rFonts w:ascii="Times New Roman" w:hAnsi="Times New Roman"/>
      <w:color w:val="0000FF"/>
    </w:rPr>
  </w:style>
  <w:style w:styleId="TOC4" w:type="paragraph">
    <w:name w:val="toc 4"/>
    <w:basedOn w:val="Normal"/>
    <w:next w:val="Normal"/>
    <w:autoRedefine/>
    <w:uiPriority w:val="39"/>
    <w:unhideWhenUsed/>
    <w:rsid w:val="00F45D3A"/>
    <w:pPr>
      <w:tabs>
        <w:tab w:pos="1540" w:val="left"/>
        <w:tab w:leader="dot" w:pos="9396" w:val="right"/>
      </w:tabs>
      <w:spacing w:after="0"/>
      <w:ind w:hanging="1021" w:left="1021" w:right="284"/>
    </w:pPr>
    <w:rPr>
      <w:rFonts w:ascii="Times New Roman" w:hAnsi="Times New Roman"/>
      <w:color w:val="0000FF"/>
    </w:rPr>
  </w:style>
  <w:style w:styleId="TOC5" w:type="paragraph">
    <w:name w:val="toc 5"/>
    <w:basedOn w:val="Normal"/>
    <w:next w:val="Normal"/>
    <w:autoRedefine/>
    <w:uiPriority w:val="39"/>
    <w:unhideWhenUsed/>
    <w:rsid w:val="00F45D3A"/>
    <w:pPr>
      <w:tabs>
        <w:tab w:pos="1880" w:val="left"/>
        <w:tab w:leader="dot" w:pos="9396" w:val="right"/>
      </w:tabs>
      <w:spacing w:after="0"/>
      <w:ind w:hanging="1219" w:left="1219" w:right="284"/>
    </w:pPr>
    <w:rPr>
      <w:rFonts w:ascii="Times New Roman" w:hAnsi="Times New Roman"/>
      <w:color w:val="0000FF"/>
    </w:rPr>
  </w:style>
  <w:style w:styleId="Index1" w:type="paragraph">
    <w:name w:val="index 1"/>
    <w:basedOn w:val="Normal"/>
    <w:next w:val="Normal"/>
    <w:autoRedefine/>
    <w:rsid w:val="00830389"/>
    <w:pPr>
      <w:spacing w:after="0"/>
      <w:ind w:hanging="240" w:left="240"/>
    </w:pPr>
  </w:style>
  <w:style w:styleId="TableofFigures" w:type="paragraph">
    <w:name w:val="table of figures"/>
    <w:basedOn w:val="Normal"/>
    <w:next w:val="Normal"/>
    <w:uiPriority w:val="99"/>
    <w:unhideWhenUsed/>
    <w:rsid w:val="00162E8B"/>
    <w:pPr>
      <w:spacing w:after="0"/>
    </w:pPr>
    <w:rPr>
      <w:rFonts w:ascii="Times New Roman" w:hAnsi="Times New Roman"/>
      <w:color w:val="0000FF"/>
    </w:rPr>
  </w:style>
  <w:style w:styleId="GridTable1Light" w:type="table">
    <w:name w:val="Grid Table 1 Light"/>
    <w:basedOn w:val="TableNormal"/>
    <w:rsid w:val="008D31A4"/>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2</Pages>
  <Words>118</Words>
  <Characters>679</Characters>
  <Application>Microsoft Office Word</Application>
  <DocSecurity>0</DocSecurity>
  <Lines>5</Lines>
  <Paragraphs>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
  <LinksUpToDate>false</LinksUpToDate>
  <CharactersWithSpaces>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and evaluation of a PBPK model for triazolam in healthy adults</dc:title>
  <dc:creator/>
  <cp:keywords/>
  <dcterms:created xsi:type="dcterms:W3CDTF">2025-05-19T11:45:06Z</dcterms:created>
  <dcterms:modified xsi:type="dcterms:W3CDTF">2025-05-19T11:45:06Z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Version1.0-OSP12.0based on Model Snapshot and Evaluation Planhttps://github.com/Open-Systems-Pharmacology/Triazolam-Model/releases/tag/v1.0OSP Version12.0Qualification Framework Version3.3This evaluation report and the corresponding PK-Sim project file are filed at:https://github.com/Open-Systems-Pharmacology/OSP-PBPK-Model-Library/</vt:lpwstr>
  </property>
  <property fmtid="{D5CDD505-2E9C-101B-9397-08002B2CF9AE}" pid="3" name="subtitle">
    <vt:lpwstr/>
  </property>
</Properties>
</file>